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F73E58">
      <w:pPr>
        <w:adjustRightInd w:val="0"/>
        <w:snapToGrid w:val="0"/>
        <w:jc w:val="center"/>
        <w:outlineLvl w:val="0"/>
        <w:rPr>
          <w:rFonts w:hint="eastAsia" w:ascii="方正小标宋_GBK" w:eastAsia="方正小标宋_GBK"/>
          <w:bCs/>
          <w:sz w:val="72"/>
          <w:szCs w:val="72"/>
          <w:lang w:val="en-US" w:eastAsia="zh-CN"/>
        </w:rPr>
      </w:pPr>
      <w:r>
        <w:rPr>
          <w:rFonts w:hint="eastAsia" w:ascii="方正小标宋_GBK" w:eastAsia="方正小标宋_GBK"/>
          <w:bCs/>
          <w:sz w:val="72"/>
          <w:szCs w:val="72"/>
          <w:lang w:val="en-US" w:eastAsia="zh-CN"/>
        </w:rPr>
        <w:t xml:space="preserve">   </w:t>
      </w:r>
    </w:p>
    <w:p w14:paraId="1E650923">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58B2349A">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（污染影响类）</w:t>
      </w:r>
    </w:p>
    <w:p w14:paraId="4616512C">
      <w:pPr>
        <w:adjustRightInd w:val="0"/>
        <w:snapToGrid w:val="0"/>
        <w:spacing w:line="288" w:lineRule="auto"/>
        <w:jc w:val="center"/>
        <w:outlineLvl w:val="0"/>
        <w:rPr>
          <w:rFonts w:ascii="华文仿宋" w:hAnsi="华文仿宋" w:eastAsia="华文仿宋" w:cs="华文仿宋"/>
          <w:color w:val="000000"/>
          <w:kern w:val="44"/>
          <w:sz w:val="44"/>
          <w:szCs w:val="44"/>
        </w:rPr>
      </w:pPr>
    </w:p>
    <w:p w14:paraId="0B0A7CB1">
      <w:pPr>
        <w:jc w:val="center"/>
        <w:rPr>
          <w:rFonts w:eastAsia="仿宋"/>
          <w:sz w:val="52"/>
          <w:szCs w:val="52"/>
        </w:rPr>
      </w:pPr>
    </w:p>
    <w:p w14:paraId="199FA50F">
      <w:pPr>
        <w:ind w:firstLine="1040"/>
        <w:rPr>
          <w:rFonts w:eastAsia="仿宋"/>
          <w:sz w:val="44"/>
          <w:szCs w:val="44"/>
        </w:rPr>
      </w:pPr>
    </w:p>
    <w:p w14:paraId="7F83643C">
      <w:pPr>
        <w:ind w:firstLine="1040"/>
        <w:rPr>
          <w:rFonts w:eastAsia="仿宋"/>
          <w:sz w:val="44"/>
          <w:szCs w:val="44"/>
        </w:rPr>
      </w:pPr>
    </w:p>
    <w:p w14:paraId="76382DB6">
      <w:pPr>
        <w:ind w:firstLine="1040"/>
        <w:rPr>
          <w:rFonts w:hint="default" w:eastAsia="仿宋"/>
          <w:sz w:val="44"/>
          <w:szCs w:val="44"/>
          <w:lang w:val="en-US" w:eastAsia="zh-CN"/>
        </w:rPr>
      </w:pPr>
      <w:r>
        <w:rPr>
          <w:rFonts w:hint="eastAsia" w:eastAsia="仿宋"/>
          <w:sz w:val="44"/>
          <w:szCs w:val="44"/>
          <w:lang w:val="en-US" w:eastAsia="zh-CN"/>
        </w:rPr>
        <w:t xml:space="preserve"> </w:t>
      </w:r>
    </w:p>
    <w:p w14:paraId="4174BE39">
      <w:pPr>
        <w:ind w:firstLine="1040"/>
        <w:rPr>
          <w:rFonts w:eastAsia="仿宋"/>
          <w:sz w:val="44"/>
          <w:szCs w:val="44"/>
        </w:rPr>
      </w:pPr>
    </w:p>
    <w:p w14:paraId="48AE1F33">
      <w:pPr>
        <w:ind w:firstLine="1040"/>
        <w:rPr>
          <w:rFonts w:eastAsia="仿宋"/>
          <w:sz w:val="44"/>
          <w:szCs w:val="44"/>
        </w:rPr>
      </w:pPr>
    </w:p>
    <w:p w14:paraId="7942317D">
      <w:pPr>
        <w:ind w:firstLine="1040"/>
        <w:rPr>
          <w:rFonts w:eastAsia="仿宋"/>
          <w:sz w:val="44"/>
          <w:szCs w:val="44"/>
        </w:rPr>
      </w:pPr>
    </w:p>
    <w:p w14:paraId="527F2A04">
      <w:pPr>
        <w:adjustRightInd w:val="0"/>
        <w:snapToGrid w:val="0"/>
        <w:spacing w:line="288" w:lineRule="auto"/>
        <w:rPr>
          <w:rFonts w:hint="eastAsia"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2"/>
          <w:szCs w:val="32"/>
          <w:u w:val="single"/>
          <w:lang w:val="en-US" w:eastAsia="zh-CN"/>
        </w:rPr>
        <w:t>年产16万吨低温脆化技术固态再生资源综合利用项目</w:t>
      </w:r>
      <w:r>
        <w:rPr>
          <w:rFonts w:hint="eastAsia" w:ascii="仿宋_GB2312" w:eastAsia="仿宋_GB2312"/>
          <w:sz w:val="36"/>
          <w:szCs w:val="36"/>
          <w:u w:val="single"/>
        </w:rPr>
        <w:t xml:space="preserve"> </w:t>
      </w:r>
    </w:p>
    <w:p w14:paraId="73F1B1FF">
      <w:pPr>
        <w:adjustRightInd w:val="0"/>
        <w:snapToGrid w:val="0"/>
        <w:spacing w:line="288" w:lineRule="auto"/>
        <w:rPr>
          <w:rFonts w:hint="default" w:ascii="仿宋_GB2312" w:eastAsia="仿宋_GB2312"/>
          <w:sz w:val="36"/>
          <w:szCs w:val="36"/>
          <w:u w:val="single"/>
          <w:lang w:val="en-US"/>
        </w:rPr>
      </w:pPr>
      <w:r>
        <w:rPr>
          <w:rFonts w:hint="eastAsia" w:ascii="仿宋_GB2312" w:eastAsia="仿宋_GB2312"/>
          <w:sz w:val="36"/>
          <w:szCs w:val="36"/>
        </w:rPr>
        <w:t>建设单位（盖章）：</w:t>
      </w:r>
      <w:r>
        <w:rPr>
          <w:rFonts w:hint="eastAsia" w:ascii="仿宋_GB2312" w:eastAsia="仿宋_GB2312"/>
          <w:sz w:val="32"/>
          <w:szCs w:val="32"/>
          <w:u w:val="single"/>
          <w:lang w:val="en-US" w:eastAsia="zh-CN"/>
        </w:rPr>
        <w:t xml:space="preserve">南乐县融投汇华能源有限公司      </w:t>
      </w:r>
    </w:p>
    <w:p w14:paraId="57A29588">
      <w:pPr>
        <w:adjustRightInd w:val="0"/>
        <w:snapToGrid w:val="0"/>
        <w:spacing w:line="288" w:lineRule="auto"/>
        <w:rPr>
          <w:rFonts w:hint="eastAsia" w:ascii="仿宋_GB2312" w:eastAsia="仿宋_GB2312"/>
          <w:sz w:val="36"/>
          <w:szCs w:val="36"/>
          <w:u w:val="single"/>
        </w:rPr>
      </w:pPr>
      <w:r>
        <w:rPr>
          <w:rFonts w:hint="eastAsia" w:ascii="仿宋_GB2312" w:eastAsia="仿宋_GB2312"/>
          <w:sz w:val="36"/>
          <w:szCs w:val="36"/>
        </w:rPr>
        <w:t>编制日期：</w:t>
      </w:r>
      <w:r>
        <w:rPr>
          <w:rFonts w:hint="eastAsia" w:ascii="仿宋_GB2312" w:eastAsia="仿宋_GB2312"/>
          <w:sz w:val="36"/>
          <w:szCs w:val="36"/>
          <w:u w:val="single"/>
        </w:rPr>
        <w:t xml:space="preserve"> </w:t>
      </w:r>
      <w:r>
        <w:rPr>
          <w:rFonts w:ascii="仿宋_GB2312" w:eastAsia="仿宋_GB2312"/>
          <w:sz w:val="36"/>
          <w:szCs w:val="36"/>
          <w:u w:val="single"/>
        </w:rPr>
        <w:t xml:space="preserve">    </w:t>
      </w:r>
      <w:r>
        <w:rPr>
          <w:rFonts w:hint="eastAsia" w:ascii="仿宋_GB2312" w:eastAsia="仿宋_GB2312"/>
          <w:sz w:val="36"/>
          <w:szCs w:val="36"/>
          <w:u w:val="single"/>
          <w:lang w:val="en-US" w:eastAsia="zh-CN"/>
        </w:rPr>
        <w:t xml:space="preserve">     </w:t>
      </w:r>
      <w:r>
        <w:rPr>
          <w:rFonts w:hint="eastAsia" w:ascii="仿宋_GB2312" w:eastAsia="仿宋_GB2312"/>
          <w:sz w:val="32"/>
          <w:szCs w:val="32"/>
          <w:u w:val="single"/>
          <w:lang w:val="en-US" w:eastAsia="zh-CN"/>
        </w:rPr>
        <w:t>2024年5月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14:paraId="4225AB30">
      <w:pPr>
        <w:adjustRightInd w:val="0"/>
        <w:snapToGrid w:val="0"/>
        <w:spacing w:line="288" w:lineRule="auto"/>
        <w:ind w:firstLine="1040"/>
        <w:rPr>
          <w:rFonts w:ascii="仿宋_GB2312" w:eastAsia="仿宋_GB2312"/>
          <w:sz w:val="36"/>
          <w:szCs w:val="36"/>
          <w:u w:val="single"/>
        </w:rPr>
      </w:pPr>
      <w:bookmarkStart w:id="0" w:name="_Hlk57884087"/>
    </w:p>
    <w:p w14:paraId="2BEDDBCB">
      <w:pPr>
        <w:adjustRightInd w:val="0"/>
        <w:snapToGrid w:val="0"/>
        <w:spacing w:line="288" w:lineRule="auto"/>
        <w:ind w:firstLine="1040"/>
        <w:rPr>
          <w:rFonts w:ascii="仿宋_GB2312" w:eastAsia="仿宋_GB2312"/>
          <w:sz w:val="36"/>
          <w:szCs w:val="36"/>
          <w:u w:val="single"/>
        </w:rPr>
      </w:pPr>
    </w:p>
    <w:p w14:paraId="57F5104B">
      <w:pPr>
        <w:adjustRightInd w:val="0"/>
        <w:snapToGrid w:val="0"/>
        <w:spacing w:line="288" w:lineRule="auto"/>
        <w:ind w:firstLine="1040"/>
        <w:rPr>
          <w:rFonts w:hint="eastAsia" w:ascii="仿宋_GB2312" w:eastAsia="仿宋_GB2312"/>
          <w:sz w:val="36"/>
          <w:szCs w:val="36"/>
        </w:rPr>
      </w:pPr>
    </w:p>
    <w:bookmarkEnd w:id="0"/>
    <w:p w14:paraId="2CD574C4">
      <w:pPr>
        <w:adjustRightInd w:val="0"/>
        <w:snapToGrid w:val="0"/>
        <w:spacing w:line="288" w:lineRule="auto"/>
        <w:jc w:val="center"/>
        <w:rPr>
          <w:rFonts w:hint="eastAsia" w:ascii="楷体_GB2312" w:eastAsia="楷体_GB2312"/>
          <w:sz w:val="36"/>
          <w:szCs w:val="36"/>
        </w:rPr>
        <w:sectPr>
          <w:pgSz w:w="11906" w:h="16838"/>
          <w:pgMar w:top="1440" w:right="1800" w:bottom="1440" w:left="1800" w:header="851" w:footer="992" w:gutter="0"/>
          <w:pgNumType w:fmt="numberInDash"/>
          <w:cols w:space="425" w:num="1"/>
          <w:docGrid w:type="lines" w:linePitch="312" w:charSpace="0"/>
        </w:sectPr>
      </w:pPr>
      <w:r>
        <w:rPr>
          <w:rFonts w:hint="eastAsia" w:ascii="楷体_GB2312" w:eastAsia="楷体_GB2312"/>
          <w:sz w:val="36"/>
          <w:szCs w:val="36"/>
        </w:rPr>
        <w:t>中华人民共和国生态环境部制</w:t>
      </w:r>
    </w:p>
    <w:p w14:paraId="7D52527D">
      <w:pPr>
        <w:adjustRightInd w:val="0"/>
        <w:snapToGrid w:val="0"/>
        <w:spacing w:line="288" w:lineRule="auto"/>
        <w:jc w:val="center"/>
        <w:rPr>
          <w:rFonts w:hint="eastAsia" w:ascii="楷体_GB2312" w:eastAsia="楷体_GB2312"/>
          <w:sz w:val="36"/>
          <w:szCs w:val="36"/>
        </w:rPr>
      </w:pPr>
      <w:r>
        <w:drawing>
          <wp:inline distT="0" distB="0" distL="114300" distR="114300">
            <wp:extent cx="5273040" cy="6912610"/>
            <wp:effectExtent l="0" t="0" r="381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7"/>
                    <a:stretch>
                      <a:fillRect/>
                    </a:stretch>
                  </pic:blipFill>
                  <pic:spPr>
                    <a:xfrm>
                      <a:off x="0" y="0"/>
                      <a:ext cx="5273040" cy="6912610"/>
                    </a:xfrm>
                    <a:prstGeom prst="rect">
                      <a:avLst/>
                    </a:prstGeom>
                    <a:noFill/>
                    <a:ln>
                      <a:noFill/>
                    </a:ln>
                  </pic:spPr>
                </pic:pic>
              </a:graphicData>
            </a:graphic>
          </wp:inline>
        </w:drawing>
      </w:r>
    </w:p>
    <w:p w14:paraId="77E672E0">
      <w:pPr>
        <w:rPr>
          <w:rFonts w:hint="eastAsia" w:ascii="黑体" w:hAnsi="黑体" w:eastAsia="黑体" w:cs="黑体"/>
          <w:b/>
          <w:bCs/>
          <w:sz w:val="32"/>
          <w:szCs w:val="32"/>
        </w:rPr>
      </w:pPr>
    </w:p>
    <w:p w14:paraId="7C13BC4F">
      <w:pPr>
        <w:rPr>
          <w:rFonts w:hint="eastAsia" w:ascii="黑体" w:hAnsi="黑体" w:eastAsia="黑体" w:cs="黑体"/>
          <w:b/>
          <w:bCs/>
          <w:sz w:val="32"/>
          <w:szCs w:val="32"/>
        </w:rPr>
      </w:pPr>
      <w:r>
        <w:rPr>
          <w:rFonts w:hint="eastAsia" w:ascii="黑体" w:hAnsi="黑体" w:eastAsia="黑体" w:cs="黑体"/>
          <w:b/>
          <w:bCs/>
          <w:sz w:val="32"/>
          <w:szCs w:val="32"/>
        </w:rPr>
        <w:br w:type="page"/>
      </w:r>
    </w:p>
    <w:p w14:paraId="01A8B079">
      <w:pPr>
        <w:rPr>
          <w:rFonts w:hint="eastAsia" w:ascii="黑体" w:hAnsi="黑体" w:eastAsia="黑体" w:cs="黑体"/>
          <w:b/>
          <w:bCs/>
          <w:sz w:val="32"/>
          <w:szCs w:val="32"/>
          <w:lang w:val="en-US" w:eastAsia="zh-CN"/>
        </w:rPr>
      </w:pPr>
      <w:r>
        <w:rPr>
          <w:rFonts w:hint="eastAsia" w:eastAsia="宋体"/>
          <w:lang w:eastAsia="zh-CN"/>
        </w:rPr>
        <w:drawing>
          <wp:inline distT="0" distB="0" distL="114300" distR="114300">
            <wp:extent cx="7598410" cy="5332095"/>
            <wp:effectExtent l="0" t="0" r="1905" b="2540"/>
            <wp:docPr id="43" name="图片 43" descr="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营业执照"/>
                    <pic:cNvPicPr>
                      <a:picLocks noChangeAspect="1"/>
                    </pic:cNvPicPr>
                  </pic:nvPicPr>
                  <pic:blipFill>
                    <a:blip r:embed="rId8"/>
                    <a:stretch>
                      <a:fillRect/>
                    </a:stretch>
                  </pic:blipFill>
                  <pic:spPr>
                    <a:xfrm rot="16200000">
                      <a:off x="0" y="0"/>
                      <a:ext cx="7598410" cy="5332095"/>
                    </a:xfrm>
                    <a:prstGeom prst="rect">
                      <a:avLst/>
                    </a:prstGeom>
                  </pic:spPr>
                </pic:pic>
              </a:graphicData>
            </a:graphic>
          </wp:inline>
        </w:drawing>
      </w:r>
    </w:p>
    <w:p w14:paraId="09AAD2B0">
      <w:pPr>
        <w:rPr>
          <w:rFonts w:hint="eastAsia" w:ascii="黑体" w:hAnsi="黑体" w:eastAsia="黑体" w:cs="黑体"/>
          <w:b/>
          <w:bCs/>
          <w:sz w:val="32"/>
          <w:szCs w:val="32"/>
          <w:lang w:val="en-US" w:eastAsia="zh-CN"/>
        </w:rPr>
      </w:pPr>
    </w:p>
    <w:p w14:paraId="0BD6F0E9">
      <w:pPr>
        <w:rPr>
          <w:rFonts w:hint="default" w:ascii="黑体" w:hAnsi="黑体" w:eastAsia="黑体" w:cs="黑体"/>
          <w:b/>
          <w:bCs/>
          <w:sz w:val="32"/>
          <w:szCs w:val="32"/>
          <w:lang w:val="en-US" w:eastAsia="zh-CN"/>
        </w:rPr>
      </w:pPr>
      <w:r>
        <w:rPr>
          <w:rFonts w:hint="default" w:ascii="黑体" w:hAnsi="黑体" w:eastAsia="黑体" w:cs="黑体"/>
          <w:b/>
          <w:bCs/>
          <w:sz w:val="32"/>
          <w:szCs w:val="32"/>
          <w:lang w:val="en-US" w:eastAsia="zh-CN"/>
        </w:rPr>
        <w:br w:type="page"/>
      </w:r>
    </w:p>
    <w:p w14:paraId="7EB197AF">
      <w:pPr>
        <w:rPr>
          <w:rFonts w:hint="eastAsia"/>
          <w:color w:val="000000"/>
        </w:rPr>
      </w:pPr>
      <w:r>
        <w:rPr>
          <w:rFonts w:hint="eastAsia" w:eastAsia="宋体"/>
          <w:lang w:eastAsia="zh-CN"/>
        </w:rPr>
        <w:drawing>
          <wp:inline distT="0" distB="0" distL="114300" distR="114300">
            <wp:extent cx="5315585" cy="7387590"/>
            <wp:effectExtent l="0" t="0" r="18415" b="3810"/>
            <wp:docPr id="44" name="图片 44" descr="工程师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工程师证"/>
                    <pic:cNvPicPr>
                      <a:picLocks noChangeAspect="1"/>
                    </pic:cNvPicPr>
                  </pic:nvPicPr>
                  <pic:blipFill>
                    <a:blip r:embed="rId9"/>
                    <a:srcRect l="9198"/>
                    <a:stretch>
                      <a:fillRect/>
                    </a:stretch>
                  </pic:blipFill>
                  <pic:spPr>
                    <a:xfrm>
                      <a:off x="0" y="0"/>
                      <a:ext cx="5315585" cy="7387590"/>
                    </a:xfrm>
                    <a:prstGeom prst="rect">
                      <a:avLst/>
                    </a:prstGeom>
                  </pic:spPr>
                </pic:pic>
              </a:graphicData>
            </a:graphic>
          </wp:inline>
        </w:drawing>
      </w:r>
    </w:p>
    <w:p w14:paraId="7CEAC837">
      <w:pPr>
        <w:rPr>
          <w:rFonts w:hint="eastAsia"/>
          <w:color w:val="000000"/>
        </w:rPr>
      </w:pPr>
      <w:r>
        <w:rPr>
          <w:rFonts w:hint="eastAsia"/>
          <w:color w:val="000000"/>
        </w:rPr>
        <w:br w:type="page"/>
      </w:r>
    </w:p>
    <w:p w14:paraId="66F650C6">
      <w:pPr>
        <w:rPr>
          <w:rFonts w:hint="default"/>
          <w:color w:val="000000"/>
          <w:lang w:val="en-US" w:eastAsia="zh-CN"/>
        </w:rPr>
      </w:pPr>
      <w:r>
        <w:rPr>
          <w:rFonts w:hint="eastAsia" w:eastAsia="宋体"/>
          <w:lang w:eastAsia="zh-CN"/>
        </w:rPr>
        <w:drawing>
          <wp:inline distT="0" distB="0" distL="114300" distR="114300">
            <wp:extent cx="8794750" cy="5393690"/>
            <wp:effectExtent l="0" t="0" r="16510" b="6350"/>
            <wp:docPr id="45" name="图片 45" descr="2编制情况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2编制情况承诺书"/>
                    <pic:cNvPicPr>
                      <a:picLocks noChangeAspect="1"/>
                    </pic:cNvPicPr>
                  </pic:nvPicPr>
                  <pic:blipFill>
                    <a:blip r:embed="rId10"/>
                    <a:srcRect l="8025" t="13003" r="9967" b="15333"/>
                    <a:stretch>
                      <a:fillRect/>
                    </a:stretch>
                  </pic:blipFill>
                  <pic:spPr>
                    <a:xfrm rot="5400000">
                      <a:off x="0" y="0"/>
                      <a:ext cx="8794750" cy="5393690"/>
                    </a:xfrm>
                    <a:prstGeom prst="rect">
                      <a:avLst/>
                    </a:prstGeom>
                  </pic:spPr>
                </pic:pic>
              </a:graphicData>
            </a:graphic>
          </wp:inline>
        </w:drawing>
      </w:r>
    </w:p>
    <w:p w14:paraId="3F23CADC">
      <w:pPr>
        <w:pStyle w:val="4"/>
        <w:bidi w:val="0"/>
        <w:sectPr>
          <w:footerReference r:id="rId3" w:type="default"/>
          <w:pgSz w:w="11906" w:h="16838"/>
          <w:pgMar w:top="1440" w:right="1800" w:bottom="1440" w:left="1800" w:header="851" w:footer="992" w:gutter="0"/>
          <w:pgNumType w:fmt="numberInDash"/>
          <w:cols w:space="425" w:num="1"/>
          <w:docGrid w:type="lines" w:linePitch="312" w:charSpace="0"/>
        </w:sectPr>
      </w:pPr>
      <w:r>
        <w:drawing>
          <wp:inline distT="0" distB="0" distL="114300" distR="114300">
            <wp:extent cx="5398135" cy="7350125"/>
            <wp:effectExtent l="0" t="0" r="12065" b="31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1"/>
                    <a:stretch>
                      <a:fillRect/>
                    </a:stretch>
                  </pic:blipFill>
                  <pic:spPr>
                    <a:xfrm>
                      <a:off x="0" y="0"/>
                      <a:ext cx="5398135" cy="7350125"/>
                    </a:xfrm>
                    <a:prstGeom prst="rect">
                      <a:avLst/>
                    </a:prstGeom>
                    <a:noFill/>
                    <a:ln>
                      <a:noFill/>
                    </a:ln>
                  </pic:spPr>
                </pic:pic>
              </a:graphicData>
            </a:graphic>
          </wp:inline>
        </w:drawing>
      </w:r>
    </w:p>
    <w:p w14:paraId="7BCA1461">
      <w:pPr>
        <w:pStyle w:val="4"/>
        <w:bidi w:val="0"/>
        <w:rPr>
          <w:rFonts w:hint="eastAsia" w:ascii="黑体" w:hAnsi="黑体" w:eastAsia="黑体"/>
          <w:b/>
          <w:bCs/>
          <w:snapToGrid w:val="0"/>
          <w:sz w:val="32"/>
          <w:szCs w:val="32"/>
        </w:rPr>
      </w:pPr>
      <w:r>
        <w:rPr>
          <w:rFonts w:hint="eastAsia" w:ascii="黑体" w:hAnsi="黑体" w:eastAsia="黑体" w:cs="黑体"/>
          <w:b/>
          <w:bCs/>
          <w:sz w:val="32"/>
          <w:szCs w:val="32"/>
        </w:rPr>
        <w:t>一、建设项目基本情况</w:t>
      </w:r>
    </w:p>
    <w:tbl>
      <w:tblPr>
        <w:tblStyle w:val="16"/>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13"/>
        <w:gridCol w:w="1988"/>
        <w:gridCol w:w="2130"/>
        <w:gridCol w:w="2639"/>
      </w:tblGrid>
      <w:tr w14:paraId="0BD68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3" w:type="dxa"/>
            <w:noWrap w:val="0"/>
            <w:tcMar>
              <w:top w:w="16" w:type="dxa"/>
              <w:left w:w="16" w:type="dxa"/>
              <w:right w:w="16" w:type="dxa"/>
            </w:tcMar>
            <w:vAlign w:val="center"/>
          </w:tcPr>
          <w:p w14:paraId="1E332F80">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建设项目名称</w:t>
            </w:r>
          </w:p>
        </w:tc>
        <w:tc>
          <w:tcPr>
            <w:tcW w:w="6757" w:type="dxa"/>
            <w:gridSpan w:val="3"/>
            <w:noWrap w:val="0"/>
            <w:vAlign w:val="center"/>
          </w:tcPr>
          <w:p w14:paraId="1752D948">
            <w:pPr>
              <w:adjustRightInd w:val="0"/>
              <w:snapToGrid w:val="0"/>
              <w:jc w:val="center"/>
              <w:rPr>
                <w:rFonts w:hint="default" w:ascii="Times New Roman" w:hAnsi="Times New Roman" w:eastAsia="宋体" w:cs="Times New Roman"/>
                <w:szCs w:val="21"/>
                <w:lang w:eastAsia="zh-CN"/>
              </w:rPr>
            </w:pPr>
            <w:r>
              <w:rPr>
                <w:rFonts w:hint="eastAsia" w:ascii="Times New Roman" w:hAnsi="Times New Roman" w:cs="Times New Roman"/>
                <w:szCs w:val="21"/>
                <w:lang w:val="en-US" w:eastAsia="zh-CN"/>
              </w:rPr>
              <w:t>年产16万吨低温脆化技术固态再生资源综合利用项目</w:t>
            </w:r>
          </w:p>
        </w:tc>
      </w:tr>
      <w:tr w14:paraId="32722C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3" w:type="dxa"/>
            <w:noWrap w:val="0"/>
            <w:tcMar>
              <w:top w:w="16" w:type="dxa"/>
              <w:left w:w="16" w:type="dxa"/>
              <w:right w:w="16" w:type="dxa"/>
            </w:tcMar>
            <w:vAlign w:val="center"/>
          </w:tcPr>
          <w:p w14:paraId="5D0646B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项目代码</w:t>
            </w:r>
          </w:p>
        </w:tc>
        <w:tc>
          <w:tcPr>
            <w:tcW w:w="6757" w:type="dxa"/>
            <w:gridSpan w:val="3"/>
            <w:noWrap w:val="0"/>
            <w:vAlign w:val="center"/>
          </w:tcPr>
          <w:p w14:paraId="4876FE12">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kern w:val="0"/>
                <w:szCs w:val="21"/>
                <w:lang w:val="en-US" w:eastAsia="zh-CN"/>
              </w:rPr>
              <w:t>2306-410923-04-01-468652</w:t>
            </w:r>
          </w:p>
        </w:tc>
      </w:tr>
      <w:tr w14:paraId="20F43C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2113" w:type="dxa"/>
            <w:noWrap w:val="0"/>
            <w:tcMar>
              <w:top w:w="16" w:type="dxa"/>
              <w:left w:w="16" w:type="dxa"/>
              <w:right w:w="16" w:type="dxa"/>
            </w:tcMar>
            <w:vAlign w:val="center"/>
          </w:tcPr>
          <w:p w14:paraId="73209093">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建设单位联系人</w:t>
            </w:r>
          </w:p>
        </w:tc>
        <w:tc>
          <w:tcPr>
            <w:tcW w:w="1988" w:type="dxa"/>
            <w:noWrap w:val="0"/>
            <w:vAlign w:val="center"/>
          </w:tcPr>
          <w:p w14:paraId="28201D90">
            <w:pPr>
              <w:adjustRightInd w:val="0"/>
              <w:snapToGrid w:val="0"/>
              <w:jc w:val="center"/>
              <w:rPr>
                <w:rFonts w:hint="default" w:ascii="Times New Roman" w:hAnsi="Times New Roman" w:eastAsia="宋体" w:cs="Times New Roman"/>
                <w:szCs w:val="21"/>
                <w:highlight w:val="none"/>
                <w:lang w:val="en-US" w:eastAsia="zh-CN"/>
              </w:rPr>
            </w:pPr>
            <w:r>
              <w:rPr>
                <w:rFonts w:hint="eastAsia" w:cs="Times New Roman"/>
                <w:szCs w:val="21"/>
                <w:highlight w:val="none"/>
                <w:lang w:val="en-US" w:eastAsia="zh-CN"/>
              </w:rPr>
              <w:t>刘华清</w:t>
            </w:r>
          </w:p>
        </w:tc>
        <w:tc>
          <w:tcPr>
            <w:tcW w:w="2130" w:type="dxa"/>
            <w:noWrap w:val="0"/>
            <w:vAlign w:val="center"/>
          </w:tcPr>
          <w:p w14:paraId="31EDDEB2">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联系方式</w:t>
            </w:r>
          </w:p>
        </w:tc>
        <w:tc>
          <w:tcPr>
            <w:tcW w:w="2639" w:type="dxa"/>
            <w:noWrap w:val="0"/>
            <w:vAlign w:val="center"/>
          </w:tcPr>
          <w:p w14:paraId="78906AA0">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15713850702</w:t>
            </w:r>
          </w:p>
        </w:tc>
      </w:tr>
      <w:tr w14:paraId="47401A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3" w:type="dxa"/>
            <w:noWrap w:val="0"/>
            <w:tcMar>
              <w:top w:w="16" w:type="dxa"/>
              <w:left w:w="16" w:type="dxa"/>
              <w:right w:w="16" w:type="dxa"/>
            </w:tcMar>
            <w:vAlign w:val="center"/>
          </w:tcPr>
          <w:p w14:paraId="0EB85FFD">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建设地点</w:t>
            </w:r>
          </w:p>
        </w:tc>
        <w:tc>
          <w:tcPr>
            <w:tcW w:w="6757" w:type="dxa"/>
            <w:gridSpan w:val="3"/>
            <w:noWrap w:val="0"/>
            <w:vAlign w:val="center"/>
          </w:tcPr>
          <w:p w14:paraId="122D76E3">
            <w:pPr>
              <w:adjustRightInd w:val="0"/>
              <w:snapToGrid w:val="0"/>
              <w:jc w:val="center"/>
              <w:rPr>
                <w:rFonts w:hint="default" w:ascii="Times New Roman" w:hAnsi="Times New Roman" w:cs="Times New Roman"/>
                <w:szCs w:val="21"/>
                <w:lang w:val="en-US"/>
              </w:rPr>
            </w:pPr>
            <w:r>
              <w:rPr>
                <w:rFonts w:hint="eastAsia" w:cs="Times New Roman"/>
                <w:color w:val="auto"/>
                <w:lang w:val="en-US" w:eastAsia="zh-CN"/>
              </w:rPr>
              <w:t>濮阳市南乐县南乐县先进制造业开发区</w:t>
            </w:r>
          </w:p>
        </w:tc>
      </w:tr>
      <w:tr w14:paraId="76115B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3" w:type="dxa"/>
            <w:noWrap w:val="0"/>
            <w:tcMar>
              <w:top w:w="16" w:type="dxa"/>
              <w:left w:w="16" w:type="dxa"/>
              <w:right w:w="16" w:type="dxa"/>
            </w:tcMar>
            <w:vAlign w:val="center"/>
          </w:tcPr>
          <w:p w14:paraId="383C3D1F">
            <w:pPr>
              <w:adjustRightInd w:val="0"/>
              <w:snapToGrid w:val="0"/>
              <w:jc w:val="center"/>
              <w:rPr>
                <w:rFonts w:hint="default" w:ascii="Times New Roman" w:hAnsi="Times New Roman" w:cs="Times New Roman"/>
                <w:szCs w:val="21"/>
              </w:rPr>
            </w:pPr>
            <w:r>
              <w:rPr>
                <w:rFonts w:hint="default" w:ascii="Times New Roman" w:hAnsi="Times New Roman" w:cs="Times New Roman"/>
                <w:szCs w:val="21"/>
                <w:highlight w:val="none"/>
              </w:rPr>
              <w:t>地理坐标</w:t>
            </w:r>
          </w:p>
        </w:tc>
        <w:tc>
          <w:tcPr>
            <w:tcW w:w="6757" w:type="dxa"/>
            <w:gridSpan w:val="3"/>
            <w:noWrap w:val="0"/>
            <w:vAlign w:val="center"/>
          </w:tcPr>
          <w:p w14:paraId="182F851D">
            <w:pPr>
              <w:jc w:val="center"/>
              <w:rPr>
                <w:rFonts w:hint="default" w:ascii="Times New Roman" w:hAnsi="Times New Roman" w:cs="Times New Roman"/>
                <w:szCs w:val="21"/>
              </w:rPr>
            </w:pPr>
            <w:r>
              <w:rPr>
                <w:rFonts w:hint="eastAsia" w:ascii="Times New Roman" w:hAnsi="Times New Roman" w:eastAsia="宋体" w:cs="Times New Roman"/>
                <w:kern w:val="0"/>
                <w:szCs w:val="21"/>
                <w:highlight w:val="none"/>
                <w:lang w:val="en-US" w:eastAsia="zh-CN"/>
              </w:rPr>
              <w:t>经度 115</w:t>
            </w:r>
            <w:r>
              <w:rPr>
                <w:rFonts w:hint="default" w:ascii="Times New Roman" w:hAnsi="Times New Roman" w:eastAsia="宋体" w:cs="Times New Roman"/>
                <w:kern w:val="0"/>
                <w:szCs w:val="21"/>
                <w:highlight w:val="none"/>
              </w:rPr>
              <w:t>°</w:t>
            </w:r>
            <w:r>
              <w:rPr>
                <w:rFonts w:hint="eastAsia" w:ascii="Times New Roman" w:hAnsi="Times New Roman" w:eastAsia="宋体" w:cs="Times New Roman"/>
                <w:kern w:val="0"/>
                <w:szCs w:val="21"/>
                <w:highlight w:val="none"/>
                <w:lang w:val="en-US" w:eastAsia="zh-CN"/>
              </w:rPr>
              <w:t xml:space="preserve">13 </w:t>
            </w:r>
            <w:r>
              <w:rPr>
                <w:rFonts w:hint="default" w:ascii="Times New Roman" w:hAnsi="Times New Roman" w:eastAsia="宋体" w:cs="Times New Roman"/>
                <w:kern w:val="0"/>
                <w:szCs w:val="21"/>
                <w:highlight w:val="none"/>
              </w:rPr>
              <w:t>′</w:t>
            </w:r>
            <w:r>
              <w:rPr>
                <w:rFonts w:hint="eastAsia" w:ascii="Times New Roman" w:hAnsi="Times New Roman" w:eastAsia="宋体" w:cs="Times New Roman"/>
                <w:kern w:val="0"/>
                <w:szCs w:val="21"/>
                <w:highlight w:val="none"/>
                <w:lang w:val="en-US" w:eastAsia="zh-CN"/>
              </w:rPr>
              <w:t xml:space="preserve"> 52.01</w:t>
            </w:r>
            <w:r>
              <w:rPr>
                <w:rFonts w:hint="eastAsia" w:cs="Times New Roman"/>
                <w:kern w:val="0"/>
                <w:szCs w:val="21"/>
                <w:highlight w:val="none"/>
                <w:lang w:val="en-US" w:eastAsia="zh-CN"/>
              </w:rPr>
              <w:t>1</w:t>
            </w:r>
            <w:r>
              <w:rPr>
                <w:rFonts w:hint="default" w:ascii="Times New Roman" w:hAnsi="Times New Roman" w:eastAsia="宋体" w:cs="Times New Roman"/>
                <w:kern w:val="0"/>
                <w:szCs w:val="21"/>
                <w:highlight w:val="none"/>
              </w:rPr>
              <w:t>″</w:t>
            </w:r>
            <w:r>
              <w:rPr>
                <w:rFonts w:hint="eastAsia" w:ascii="Times New Roman" w:hAnsi="Times New Roman" w:eastAsia="宋体" w:cs="Times New Roman"/>
                <w:kern w:val="0"/>
                <w:szCs w:val="21"/>
                <w:highlight w:val="none"/>
                <w:lang w:eastAsia="zh-CN"/>
              </w:rPr>
              <w:t>，</w:t>
            </w:r>
            <w:r>
              <w:rPr>
                <w:rFonts w:hint="eastAsia" w:ascii="Times New Roman" w:hAnsi="Times New Roman" w:eastAsia="宋体" w:cs="Times New Roman"/>
                <w:kern w:val="0"/>
                <w:szCs w:val="21"/>
                <w:highlight w:val="none"/>
                <w:lang w:val="en-US" w:eastAsia="zh-CN"/>
              </w:rPr>
              <w:t>纬度36</w:t>
            </w:r>
            <w:r>
              <w:rPr>
                <w:rFonts w:hint="default" w:ascii="Times New Roman" w:hAnsi="Times New Roman" w:eastAsia="宋体" w:cs="Times New Roman"/>
                <w:kern w:val="0"/>
                <w:szCs w:val="21"/>
                <w:highlight w:val="none"/>
              </w:rPr>
              <w:t>°</w:t>
            </w:r>
            <w:r>
              <w:rPr>
                <w:rFonts w:hint="eastAsia" w:ascii="Times New Roman" w:hAnsi="Times New Roman" w:eastAsia="宋体" w:cs="Times New Roman"/>
                <w:kern w:val="0"/>
                <w:szCs w:val="21"/>
                <w:highlight w:val="none"/>
                <w:lang w:val="en-US" w:eastAsia="zh-CN"/>
              </w:rPr>
              <w:t xml:space="preserve">05 </w:t>
            </w:r>
            <w:r>
              <w:rPr>
                <w:rFonts w:hint="default" w:ascii="Times New Roman" w:hAnsi="Times New Roman" w:eastAsia="宋体" w:cs="Times New Roman"/>
                <w:kern w:val="0"/>
                <w:szCs w:val="21"/>
                <w:highlight w:val="none"/>
              </w:rPr>
              <w:t>′</w:t>
            </w:r>
            <w:r>
              <w:rPr>
                <w:rFonts w:hint="eastAsia" w:ascii="Times New Roman" w:hAnsi="Times New Roman" w:eastAsia="宋体" w:cs="Times New Roman"/>
                <w:kern w:val="0"/>
                <w:szCs w:val="21"/>
                <w:highlight w:val="none"/>
                <w:lang w:val="en-US" w:eastAsia="zh-CN"/>
              </w:rPr>
              <w:t xml:space="preserve"> 38.44</w:t>
            </w:r>
            <w:r>
              <w:rPr>
                <w:rFonts w:hint="eastAsia" w:cs="Times New Roman"/>
                <w:kern w:val="0"/>
                <w:szCs w:val="21"/>
                <w:highlight w:val="none"/>
                <w:lang w:val="en-US" w:eastAsia="zh-CN"/>
              </w:rPr>
              <w:t>3</w:t>
            </w:r>
            <w:r>
              <w:rPr>
                <w:rFonts w:hint="default" w:ascii="Times New Roman" w:hAnsi="Times New Roman" w:eastAsia="宋体" w:cs="Times New Roman"/>
                <w:kern w:val="0"/>
                <w:szCs w:val="21"/>
                <w:highlight w:val="none"/>
              </w:rPr>
              <w:t>″</w:t>
            </w:r>
          </w:p>
        </w:tc>
      </w:tr>
      <w:tr w14:paraId="325C34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113" w:type="dxa"/>
            <w:noWrap w:val="0"/>
            <w:tcMar>
              <w:top w:w="16" w:type="dxa"/>
              <w:left w:w="16" w:type="dxa"/>
              <w:right w:w="16" w:type="dxa"/>
            </w:tcMar>
            <w:vAlign w:val="center"/>
          </w:tcPr>
          <w:p w14:paraId="6C93FBA7">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国民经济</w:t>
            </w:r>
          </w:p>
          <w:p w14:paraId="64BA0B5E">
            <w:pPr>
              <w:adjustRightInd w:val="0"/>
              <w:snapToGrid w:val="0"/>
              <w:jc w:val="center"/>
              <w:rPr>
                <w:rFonts w:hint="default" w:ascii="Times New Roman" w:hAnsi="Times New Roman" w:cs="Times New Roman"/>
                <w:szCs w:val="21"/>
                <w:highlight w:val="yellow"/>
              </w:rPr>
            </w:pPr>
            <w:r>
              <w:rPr>
                <w:rFonts w:hint="default" w:ascii="Times New Roman" w:hAnsi="Times New Roman" w:cs="Times New Roman"/>
                <w:szCs w:val="21"/>
                <w:highlight w:val="none"/>
              </w:rPr>
              <w:t>行业类别</w:t>
            </w:r>
          </w:p>
        </w:tc>
        <w:tc>
          <w:tcPr>
            <w:tcW w:w="1988" w:type="dxa"/>
            <w:noWrap w:val="0"/>
            <w:vAlign w:val="center"/>
          </w:tcPr>
          <w:p w14:paraId="3A027555">
            <w:pPr>
              <w:adjustRightInd w:val="0"/>
              <w:snapToGrid w:val="0"/>
              <w:jc w:val="center"/>
              <w:rPr>
                <w:rFonts w:hint="default" w:ascii="华文宋体" w:hAnsi="华文宋体" w:eastAsia="宋体" w:cs="宋体"/>
                <w:color w:val="000000"/>
                <w:sz w:val="18"/>
                <w:szCs w:val="18"/>
                <w:lang w:val="en-US" w:eastAsia="zh-CN"/>
              </w:rPr>
            </w:pPr>
            <w:r>
              <w:rPr>
                <w:rFonts w:hint="eastAsia" w:ascii="Times New Roman" w:hAnsi="Times New Roman" w:eastAsia="宋体" w:cs="Times New Roman"/>
                <w:kern w:val="0"/>
                <w:szCs w:val="21"/>
                <w:lang w:val="en-US" w:eastAsia="zh-CN"/>
              </w:rPr>
              <w:t>C4220非金属废料和碎屑加工处理</w:t>
            </w:r>
          </w:p>
        </w:tc>
        <w:tc>
          <w:tcPr>
            <w:tcW w:w="2130" w:type="dxa"/>
            <w:noWrap w:val="0"/>
            <w:vAlign w:val="center"/>
          </w:tcPr>
          <w:p w14:paraId="16988269">
            <w:pPr>
              <w:adjustRightInd w:val="0"/>
              <w:snapToGrid w:val="0"/>
              <w:jc w:val="center"/>
              <w:rPr>
                <w:rFonts w:hint="default" w:ascii="Times New Roman" w:hAnsi="Times New Roman" w:cs="Times New Roman"/>
                <w:szCs w:val="21"/>
                <w:highlight w:val="none"/>
              </w:rPr>
            </w:pPr>
            <w:bookmarkStart w:id="1" w:name="_Hlk49843745"/>
            <w:r>
              <w:rPr>
                <w:rFonts w:hint="default" w:ascii="Times New Roman" w:hAnsi="Times New Roman" w:cs="Times New Roman"/>
                <w:szCs w:val="21"/>
                <w:highlight w:val="none"/>
              </w:rPr>
              <w:t>建设项目</w:t>
            </w:r>
          </w:p>
          <w:p w14:paraId="34B4A2F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highlight w:val="none"/>
              </w:rPr>
              <w:t>行业类别</w:t>
            </w:r>
            <w:bookmarkEnd w:id="1"/>
          </w:p>
        </w:tc>
        <w:tc>
          <w:tcPr>
            <w:tcW w:w="2639" w:type="dxa"/>
            <w:noWrap w:val="0"/>
            <w:vAlign w:val="center"/>
          </w:tcPr>
          <w:p w14:paraId="577F66C6">
            <w:pPr>
              <w:adjustRightInd w:val="0"/>
              <w:snapToGrid w:val="0"/>
              <w:rPr>
                <w:rFonts w:hint="default" w:ascii="Times New Roman" w:hAnsi="Times New Roman" w:eastAsia="宋体" w:cs="Times New Roman"/>
                <w:szCs w:val="21"/>
                <w:lang w:val="en-US" w:eastAsia="zh-CN"/>
              </w:rPr>
            </w:pPr>
            <w:r>
              <w:rPr>
                <w:rFonts w:hint="eastAsia" w:ascii="Times New Roman" w:hAnsi="Times New Roman" w:eastAsia="宋体" w:cs="Times New Roman"/>
                <w:kern w:val="0"/>
                <w:szCs w:val="21"/>
                <w:lang w:val="en-US" w:eastAsia="zh-CN"/>
              </w:rPr>
              <w:t>三</w:t>
            </w:r>
            <w:r>
              <w:rPr>
                <w:rFonts w:hint="default" w:ascii="Times New Roman" w:hAnsi="Times New Roman" w:eastAsia="宋体" w:cs="Times New Roman"/>
                <w:kern w:val="0"/>
                <w:szCs w:val="21"/>
                <w:lang w:val="en-US" w:eastAsia="zh-CN"/>
              </w:rPr>
              <w:t>十</w:t>
            </w:r>
            <w:r>
              <w:rPr>
                <w:rFonts w:hint="eastAsia" w:ascii="Times New Roman" w:hAnsi="Times New Roman" w:eastAsia="宋体" w:cs="Times New Roman"/>
                <w:kern w:val="0"/>
                <w:szCs w:val="21"/>
                <w:lang w:val="en-US" w:eastAsia="zh-CN"/>
              </w:rPr>
              <w:t>九</w:t>
            </w:r>
            <w:r>
              <w:rPr>
                <w:rFonts w:hint="default" w:ascii="Times New Roman" w:hAnsi="Times New Roman" w:eastAsia="宋体" w:cs="Times New Roman"/>
                <w:kern w:val="0"/>
                <w:szCs w:val="21"/>
                <w:lang w:val="en-US" w:eastAsia="zh-CN"/>
              </w:rPr>
              <w:t>、</w:t>
            </w:r>
            <w:r>
              <w:rPr>
                <w:rFonts w:hint="eastAsia" w:ascii="Times New Roman" w:hAnsi="Times New Roman" w:eastAsia="宋体" w:cs="Times New Roman"/>
                <w:kern w:val="0"/>
                <w:szCs w:val="21"/>
                <w:lang w:val="en-US" w:eastAsia="zh-CN"/>
              </w:rPr>
              <w:t>废弃资源综合利用</w:t>
            </w:r>
            <w:r>
              <w:rPr>
                <w:rFonts w:hint="default" w:ascii="Times New Roman" w:hAnsi="Times New Roman" w:eastAsia="宋体" w:cs="Times New Roman"/>
                <w:kern w:val="0"/>
                <w:szCs w:val="21"/>
                <w:lang w:val="en-US" w:eastAsia="zh-CN"/>
              </w:rPr>
              <w:t>业</w:t>
            </w:r>
            <w:r>
              <w:rPr>
                <w:rFonts w:hint="eastAsia" w:ascii="Times New Roman" w:hAnsi="Times New Roman" w:eastAsia="宋体" w:cs="Times New Roman"/>
                <w:kern w:val="0"/>
                <w:szCs w:val="21"/>
                <w:lang w:val="en-US" w:eastAsia="zh-CN"/>
              </w:rPr>
              <w:t>42  85金属废料和碎屑加工 处理421；非金属废料和碎屑加工处理422（421和422均不含原料为危险废物的，均不含仅分拣、破碎的）</w:t>
            </w:r>
          </w:p>
        </w:tc>
      </w:tr>
      <w:tr w14:paraId="561B4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113" w:type="dxa"/>
            <w:noWrap w:val="0"/>
            <w:tcMar>
              <w:top w:w="16" w:type="dxa"/>
              <w:left w:w="16" w:type="dxa"/>
              <w:right w:w="16" w:type="dxa"/>
            </w:tcMar>
            <w:vAlign w:val="center"/>
          </w:tcPr>
          <w:p w14:paraId="5CA5CDDF">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建设性质</w:t>
            </w:r>
          </w:p>
        </w:tc>
        <w:tc>
          <w:tcPr>
            <w:tcW w:w="1988" w:type="dxa"/>
            <w:noWrap w:val="0"/>
            <w:vAlign w:val="center"/>
          </w:tcPr>
          <w:p w14:paraId="05821F1F">
            <w:pPr>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default" w:ascii="Times New Roman" w:hAnsi="Times New Roman" w:cs="Times New Roman"/>
                <w:szCs w:val="21"/>
              </w:rPr>
              <w:t>新建（迁建）</w:t>
            </w:r>
          </w:p>
          <w:p w14:paraId="5CF48C83">
            <w:pPr>
              <w:jc w:val="left"/>
              <w:rPr>
                <w:rFonts w:hint="default" w:ascii="Times New Roman" w:hAnsi="Times New Roman" w:cs="Times New Roman"/>
                <w:szCs w:val="21"/>
              </w:rPr>
            </w:pPr>
            <w:r>
              <w:rPr>
                <w:rFonts w:hint="default" w:ascii="Times New Roman" w:hAnsi="Times New Roman" w:cs="Times New Roman"/>
                <w:szCs w:val="21"/>
              </w:rPr>
              <w:t>□改建</w:t>
            </w:r>
          </w:p>
          <w:p w14:paraId="5385A50E">
            <w:pPr>
              <w:jc w:val="left"/>
              <w:rPr>
                <w:rFonts w:hint="default" w:ascii="Times New Roman" w:hAnsi="Times New Roman" w:cs="Times New Roman"/>
                <w:szCs w:val="21"/>
              </w:rPr>
            </w:pPr>
            <w:r>
              <w:rPr>
                <w:rFonts w:hint="default" w:ascii="Times New Roman" w:hAnsi="Times New Roman" w:cs="Times New Roman"/>
                <w:szCs w:val="21"/>
              </w:rPr>
              <w:t>□扩建</w:t>
            </w:r>
          </w:p>
          <w:p w14:paraId="60571316">
            <w:pPr>
              <w:jc w:val="left"/>
              <w:rPr>
                <w:rFonts w:hint="default" w:ascii="Times New Roman" w:hAnsi="Times New Roman" w:cs="Times New Roman"/>
                <w:szCs w:val="21"/>
              </w:rPr>
            </w:pPr>
            <w:r>
              <w:rPr>
                <w:rFonts w:hint="default" w:ascii="Times New Roman" w:hAnsi="Times New Roman" w:cs="Times New Roman"/>
                <w:szCs w:val="21"/>
              </w:rPr>
              <w:t>□技术改造</w:t>
            </w:r>
          </w:p>
        </w:tc>
        <w:tc>
          <w:tcPr>
            <w:tcW w:w="2130" w:type="dxa"/>
            <w:noWrap w:val="0"/>
            <w:vAlign w:val="center"/>
          </w:tcPr>
          <w:p w14:paraId="10720EBB">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w:t>
            </w:r>
          </w:p>
          <w:p w14:paraId="0D309B19">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申报情形</w:t>
            </w:r>
          </w:p>
        </w:tc>
        <w:tc>
          <w:tcPr>
            <w:tcW w:w="2639" w:type="dxa"/>
            <w:noWrap w:val="0"/>
            <w:vAlign w:val="center"/>
          </w:tcPr>
          <w:p w14:paraId="5116468F">
            <w:pPr>
              <w:jc w:val="left"/>
              <w:rPr>
                <w:rFonts w:hint="default" w:ascii="Times New Roman" w:hAnsi="Times New Roman" w:cs="Times New Roman"/>
                <w:szCs w:val="21"/>
              </w:rPr>
            </w:pPr>
            <w:r>
              <w:rPr>
                <w:rFonts w:hint="eastAsia" w:ascii="Times New Roman" w:hAnsi="Times New Roman" w:cs="Times New Roman"/>
                <w:szCs w:val="21"/>
                <w:lang w:eastAsia="zh-CN"/>
              </w:rPr>
              <w:t>☑</w:t>
            </w:r>
            <w:r>
              <w:rPr>
                <w:rFonts w:hint="default" w:ascii="Times New Roman" w:hAnsi="Times New Roman" w:cs="Times New Roman"/>
                <w:szCs w:val="21"/>
              </w:rPr>
              <w:t xml:space="preserve">首次申报项目             </w:t>
            </w:r>
          </w:p>
          <w:p w14:paraId="3450974E">
            <w:pPr>
              <w:jc w:val="left"/>
              <w:rPr>
                <w:rFonts w:hint="default" w:ascii="Times New Roman" w:hAnsi="Times New Roman" w:cs="Times New Roman"/>
                <w:szCs w:val="21"/>
              </w:rPr>
            </w:pPr>
            <w:r>
              <w:rPr>
                <w:rFonts w:hint="default" w:ascii="Times New Roman" w:hAnsi="Times New Roman" w:cs="Times New Roman"/>
                <w:szCs w:val="21"/>
              </w:rPr>
              <w:t>□不予批准后再次申报项目</w:t>
            </w:r>
          </w:p>
          <w:p w14:paraId="0FC0ADAD">
            <w:pPr>
              <w:jc w:val="left"/>
              <w:rPr>
                <w:rFonts w:hint="default" w:ascii="Times New Roman" w:hAnsi="Times New Roman" w:cs="Times New Roman"/>
                <w:szCs w:val="21"/>
              </w:rPr>
            </w:pPr>
            <w:r>
              <w:rPr>
                <w:rFonts w:hint="default" w:ascii="Times New Roman" w:hAnsi="Times New Roman" w:cs="Times New Roman"/>
                <w:szCs w:val="21"/>
              </w:rPr>
              <w:t xml:space="preserve">□超五年重新审核项目     </w:t>
            </w:r>
          </w:p>
          <w:p w14:paraId="43452390">
            <w:pPr>
              <w:jc w:val="left"/>
              <w:rPr>
                <w:rFonts w:hint="default" w:ascii="Times New Roman" w:hAnsi="Times New Roman" w:cs="Times New Roman"/>
                <w:szCs w:val="21"/>
              </w:rPr>
            </w:pPr>
            <w:r>
              <w:rPr>
                <w:rFonts w:hint="default" w:ascii="Times New Roman" w:hAnsi="Times New Roman" w:cs="Times New Roman"/>
                <w:szCs w:val="21"/>
              </w:rPr>
              <w:t>□重大变动重新报批项目</w:t>
            </w:r>
          </w:p>
        </w:tc>
      </w:tr>
      <w:tr w14:paraId="682EA3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113" w:type="dxa"/>
            <w:noWrap w:val="0"/>
            <w:tcMar>
              <w:top w:w="16" w:type="dxa"/>
              <w:left w:w="16" w:type="dxa"/>
              <w:right w:w="16" w:type="dxa"/>
            </w:tcMar>
            <w:vAlign w:val="center"/>
          </w:tcPr>
          <w:p w14:paraId="7EC8E012">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项目审批（核准/</w:t>
            </w:r>
          </w:p>
          <w:p w14:paraId="73D5E9E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备案）部门（选填）</w:t>
            </w:r>
          </w:p>
        </w:tc>
        <w:tc>
          <w:tcPr>
            <w:tcW w:w="1988" w:type="dxa"/>
            <w:noWrap w:val="0"/>
            <w:vAlign w:val="center"/>
          </w:tcPr>
          <w:p w14:paraId="4B5D47C3">
            <w:pPr>
              <w:adjustRightInd w:val="0"/>
              <w:snapToGrid w:val="0"/>
              <w:jc w:val="center"/>
              <w:rPr>
                <w:rFonts w:hint="default" w:ascii="Times New Roman" w:hAnsi="Times New Roman" w:eastAsia="宋体" w:cs="Times New Roman"/>
                <w:szCs w:val="21"/>
                <w:lang w:eastAsia="zh-CN"/>
              </w:rPr>
            </w:pPr>
            <w:r>
              <w:rPr>
                <w:rFonts w:hint="eastAsia" w:ascii="Times New Roman" w:hAnsi="Times New Roman" w:eastAsia="宋体" w:cs="Times New Roman"/>
                <w:szCs w:val="21"/>
                <w:highlight w:val="none"/>
                <w:lang w:eastAsia="zh-CN"/>
              </w:rPr>
              <w:t>南乐县行政审批</w:t>
            </w:r>
            <w:r>
              <w:rPr>
                <w:rFonts w:hint="eastAsia" w:cs="Times New Roman"/>
                <w:szCs w:val="21"/>
                <w:highlight w:val="none"/>
                <w:lang w:val="en-US" w:eastAsia="zh-CN"/>
              </w:rPr>
              <w:t>和服务信息管理</w:t>
            </w:r>
            <w:r>
              <w:rPr>
                <w:rFonts w:hint="eastAsia" w:ascii="Times New Roman" w:hAnsi="Times New Roman" w:eastAsia="宋体" w:cs="Times New Roman"/>
                <w:szCs w:val="21"/>
                <w:highlight w:val="none"/>
                <w:lang w:eastAsia="zh-CN"/>
              </w:rPr>
              <w:t>局</w:t>
            </w:r>
          </w:p>
        </w:tc>
        <w:tc>
          <w:tcPr>
            <w:tcW w:w="2130" w:type="dxa"/>
            <w:noWrap w:val="0"/>
            <w:vAlign w:val="center"/>
          </w:tcPr>
          <w:p w14:paraId="7DDE56E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项目审批（核准/</w:t>
            </w:r>
          </w:p>
          <w:p w14:paraId="5346E9D6">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备案）文号（选填）</w:t>
            </w:r>
          </w:p>
        </w:tc>
        <w:tc>
          <w:tcPr>
            <w:tcW w:w="2639" w:type="dxa"/>
            <w:noWrap w:val="0"/>
            <w:vAlign w:val="center"/>
          </w:tcPr>
          <w:p w14:paraId="1DBEAE40">
            <w:pPr>
              <w:adjustRightInd w:val="0"/>
              <w:snapToGrid w:val="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kern w:val="0"/>
                <w:szCs w:val="21"/>
                <w:highlight w:val="none"/>
                <w:lang w:val="en-US" w:eastAsia="zh-CN"/>
              </w:rPr>
              <w:t>2306-410923-04-01-468652</w:t>
            </w:r>
          </w:p>
        </w:tc>
      </w:tr>
      <w:tr w14:paraId="067E55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3" w:type="dxa"/>
            <w:noWrap w:val="0"/>
            <w:tcMar>
              <w:top w:w="16" w:type="dxa"/>
              <w:left w:w="16" w:type="dxa"/>
              <w:right w:w="16" w:type="dxa"/>
            </w:tcMar>
            <w:vAlign w:val="center"/>
          </w:tcPr>
          <w:p w14:paraId="00F6F307">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1988" w:type="dxa"/>
            <w:noWrap w:val="0"/>
            <w:vAlign w:val="center"/>
          </w:tcPr>
          <w:p w14:paraId="102B1D00">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63000</w:t>
            </w:r>
          </w:p>
        </w:tc>
        <w:tc>
          <w:tcPr>
            <w:tcW w:w="2130" w:type="dxa"/>
            <w:noWrap w:val="0"/>
            <w:tcMar>
              <w:top w:w="16" w:type="dxa"/>
              <w:left w:w="16" w:type="dxa"/>
              <w:right w:w="16" w:type="dxa"/>
            </w:tcMar>
            <w:vAlign w:val="center"/>
          </w:tcPr>
          <w:p w14:paraId="755F49CA">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639" w:type="dxa"/>
            <w:noWrap w:val="0"/>
            <w:vAlign w:val="center"/>
          </w:tcPr>
          <w:p w14:paraId="2B1C5CF8">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highlight w:val="none"/>
                <w:lang w:val="en-US" w:eastAsia="zh-CN"/>
              </w:rPr>
              <w:t>99</w:t>
            </w:r>
          </w:p>
        </w:tc>
      </w:tr>
      <w:tr w14:paraId="4DD62D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3" w:type="dxa"/>
            <w:noWrap w:val="0"/>
            <w:tcMar>
              <w:top w:w="16" w:type="dxa"/>
              <w:left w:w="16" w:type="dxa"/>
              <w:right w:w="16" w:type="dxa"/>
            </w:tcMar>
            <w:vAlign w:val="center"/>
          </w:tcPr>
          <w:p w14:paraId="22D14BC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1988" w:type="dxa"/>
            <w:noWrap w:val="0"/>
            <w:vAlign w:val="center"/>
          </w:tcPr>
          <w:p w14:paraId="608FE78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highlight w:val="none"/>
                <w:lang w:val="en-US" w:eastAsia="zh-CN"/>
              </w:rPr>
              <w:t>0.16</w:t>
            </w:r>
          </w:p>
        </w:tc>
        <w:tc>
          <w:tcPr>
            <w:tcW w:w="2130" w:type="dxa"/>
            <w:noWrap w:val="0"/>
            <w:tcMar>
              <w:top w:w="16" w:type="dxa"/>
              <w:left w:w="16" w:type="dxa"/>
              <w:right w:w="16" w:type="dxa"/>
            </w:tcMar>
            <w:vAlign w:val="center"/>
          </w:tcPr>
          <w:p w14:paraId="0BD714E3">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highlight w:val="none"/>
              </w:rPr>
              <w:t>施工工期</w:t>
            </w:r>
          </w:p>
        </w:tc>
        <w:tc>
          <w:tcPr>
            <w:tcW w:w="2639" w:type="dxa"/>
            <w:noWrap w:val="0"/>
            <w:vAlign w:val="center"/>
          </w:tcPr>
          <w:p w14:paraId="76480039">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18</w:t>
            </w:r>
            <w:r>
              <w:rPr>
                <w:rFonts w:hint="default" w:ascii="Times New Roman" w:hAnsi="Times New Roman" w:cs="Times New Roman"/>
                <w:color w:val="auto"/>
                <w:szCs w:val="21"/>
                <w:lang w:val="en-US" w:eastAsia="zh-CN"/>
              </w:rPr>
              <w:t>个月</w:t>
            </w:r>
          </w:p>
        </w:tc>
      </w:tr>
      <w:tr w14:paraId="4C5D8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113" w:type="dxa"/>
            <w:noWrap w:val="0"/>
            <w:tcMar>
              <w:top w:w="16" w:type="dxa"/>
              <w:left w:w="16" w:type="dxa"/>
              <w:right w:w="16" w:type="dxa"/>
            </w:tcMar>
            <w:vAlign w:val="center"/>
          </w:tcPr>
          <w:p w14:paraId="7793254C">
            <w:pPr>
              <w:adjustRightInd w:val="0"/>
              <w:snapToGrid w:val="0"/>
              <w:jc w:val="center"/>
              <w:rPr>
                <w:rFonts w:hint="default" w:ascii="Times New Roman" w:hAnsi="Times New Roman" w:cs="Times New Roman"/>
                <w:szCs w:val="21"/>
              </w:rPr>
            </w:pPr>
            <w:r>
              <w:rPr>
                <w:rFonts w:hint="default" w:ascii="Times New Roman" w:hAnsi="Times New Roman" w:cs="Times New Roman"/>
                <w:szCs w:val="21"/>
                <w:highlight w:val="none"/>
              </w:rPr>
              <w:t>是否开工建设</w:t>
            </w:r>
          </w:p>
        </w:tc>
        <w:tc>
          <w:tcPr>
            <w:tcW w:w="1988" w:type="dxa"/>
            <w:noWrap w:val="0"/>
            <w:vAlign w:val="center"/>
          </w:tcPr>
          <w:p w14:paraId="5CD7CD0C">
            <w:pPr>
              <w:adjustRightInd w:val="0"/>
              <w:snapToGrid w:val="0"/>
              <w:rPr>
                <w:rFonts w:hint="default" w:ascii="Times New Roman" w:hAnsi="Times New Roman" w:cs="Times New Roman"/>
                <w:szCs w:val="21"/>
              </w:rPr>
            </w:pPr>
            <w:r>
              <w:rPr>
                <w:rFonts w:hint="eastAsia" w:ascii="Times New Roman" w:hAnsi="Times New Roman" w:cs="Times New Roman"/>
                <w:szCs w:val="21"/>
                <w:lang w:eastAsia="zh-CN"/>
              </w:rPr>
              <w:t>☑</w:t>
            </w:r>
            <w:r>
              <w:rPr>
                <w:rFonts w:hint="default" w:ascii="Times New Roman" w:hAnsi="Times New Roman" w:cs="Times New Roman"/>
                <w:szCs w:val="21"/>
              </w:rPr>
              <w:t>否</w:t>
            </w:r>
          </w:p>
          <w:p w14:paraId="712A591A">
            <w:pPr>
              <w:adjustRightInd w:val="0"/>
              <w:snapToGrid w:val="0"/>
              <w:rPr>
                <w:rFonts w:hint="default" w:ascii="Times New Roman" w:hAnsi="Times New Roman" w:cs="Times New Roman"/>
                <w:szCs w:val="21"/>
              </w:rPr>
            </w:pPr>
            <w:r>
              <w:rPr>
                <w:rFonts w:hint="default" w:ascii="Times New Roman" w:hAnsi="Times New Roman" w:cs="Times New Roman"/>
                <w:szCs w:val="21"/>
              </w:rPr>
              <w:t>□是：</w:t>
            </w:r>
            <w:r>
              <w:rPr>
                <w:rFonts w:hint="default" w:ascii="Times New Roman" w:hAnsi="Times New Roman" w:cs="Times New Roman"/>
                <w:szCs w:val="21"/>
                <w:u w:val="single"/>
              </w:rPr>
              <w:t xml:space="preserve">             </w:t>
            </w:r>
          </w:p>
        </w:tc>
        <w:tc>
          <w:tcPr>
            <w:tcW w:w="2130" w:type="dxa"/>
            <w:noWrap w:val="0"/>
            <w:tcMar>
              <w:top w:w="16" w:type="dxa"/>
              <w:left w:w="16" w:type="dxa"/>
              <w:right w:w="16" w:type="dxa"/>
            </w:tcMar>
            <w:vAlign w:val="center"/>
          </w:tcPr>
          <w:p w14:paraId="764E0524">
            <w:pPr>
              <w:adjustRightInd w:val="0"/>
              <w:snapToGrid w:val="0"/>
              <w:jc w:val="center"/>
              <w:rPr>
                <w:rFonts w:hint="default" w:ascii="Times New Roman" w:hAnsi="Times New Roman" w:cs="Times New Roman"/>
                <w:spacing w:val="-6"/>
                <w:szCs w:val="21"/>
              </w:rPr>
            </w:pPr>
            <w:r>
              <w:rPr>
                <w:rFonts w:hint="default" w:ascii="Times New Roman" w:hAnsi="Times New Roman" w:cs="Times New Roman"/>
                <w:spacing w:val="-6"/>
                <w:szCs w:val="21"/>
              </w:rPr>
              <w:t>用地（用海）</w:t>
            </w:r>
          </w:p>
          <w:p w14:paraId="769F199E">
            <w:pPr>
              <w:adjustRightInd w:val="0"/>
              <w:snapToGrid w:val="0"/>
              <w:jc w:val="center"/>
              <w:rPr>
                <w:rFonts w:hint="default" w:ascii="Times New Roman" w:hAnsi="Times New Roman" w:cs="Times New Roman"/>
                <w:szCs w:val="21"/>
              </w:rPr>
            </w:pPr>
            <w:r>
              <w:rPr>
                <w:rFonts w:hint="default" w:ascii="Times New Roman" w:hAnsi="Times New Roman" w:cs="Times New Roman"/>
                <w:spacing w:val="-6"/>
                <w:szCs w:val="21"/>
              </w:rPr>
              <w:t>面积（m</w:t>
            </w:r>
            <w:r>
              <w:rPr>
                <w:rFonts w:hint="default" w:ascii="Times New Roman" w:hAnsi="Times New Roman" w:cs="Times New Roman"/>
                <w:spacing w:val="-6"/>
                <w:szCs w:val="21"/>
                <w:vertAlign w:val="superscript"/>
              </w:rPr>
              <w:t>2</w:t>
            </w:r>
            <w:r>
              <w:rPr>
                <w:rFonts w:hint="default" w:ascii="Times New Roman" w:hAnsi="Times New Roman" w:cs="Times New Roman"/>
                <w:spacing w:val="-6"/>
                <w:szCs w:val="21"/>
              </w:rPr>
              <w:t>）</w:t>
            </w:r>
          </w:p>
        </w:tc>
        <w:tc>
          <w:tcPr>
            <w:tcW w:w="2639" w:type="dxa"/>
            <w:noWrap w:val="0"/>
            <w:vAlign w:val="center"/>
          </w:tcPr>
          <w:p w14:paraId="319108DA">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40000</w:t>
            </w:r>
          </w:p>
        </w:tc>
      </w:tr>
      <w:tr w14:paraId="21FE3C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2113" w:type="dxa"/>
            <w:noWrap w:val="0"/>
            <w:vAlign w:val="center"/>
          </w:tcPr>
          <w:p w14:paraId="6C161CAF">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专项评价设置情况</w:t>
            </w:r>
          </w:p>
        </w:tc>
        <w:tc>
          <w:tcPr>
            <w:tcW w:w="6757" w:type="dxa"/>
            <w:gridSpan w:val="3"/>
            <w:noWrap w:val="0"/>
            <w:vAlign w:val="center"/>
          </w:tcPr>
          <w:p w14:paraId="7140B8C8">
            <w:pPr>
              <w:autoSpaceDE w:val="0"/>
              <w:autoSpaceDN w:val="0"/>
              <w:adjustRightInd w:val="0"/>
              <w:snapToGrid w:val="0"/>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无</w:t>
            </w:r>
          </w:p>
        </w:tc>
      </w:tr>
      <w:tr w14:paraId="30E383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13" w:type="dxa"/>
            <w:noWrap w:val="0"/>
            <w:vAlign w:val="center"/>
          </w:tcPr>
          <w:p w14:paraId="6F5714A3">
            <w:pPr>
              <w:autoSpaceDE w:val="0"/>
              <w:autoSpaceDN w:val="0"/>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规划情况</w:t>
            </w:r>
          </w:p>
        </w:tc>
        <w:tc>
          <w:tcPr>
            <w:tcW w:w="6757" w:type="dxa"/>
            <w:gridSpan w:val="3"/>
            <w:noWrap w:val="0"/>
            <w:vAlign w:val="center"/>
          </w:tcPr>
          <w:p w14:paraId="6705C8BA">
            <w:pPr>
              <w:autoSpaceDE w:val="0"/>
              <w:autoSpaceDN w:val="0"/>
              <w:adjustRightInd w:val="0"/>
              <w:snapToGrid w:val="0"/>
              <w:jc w:val="left"/>
              <w:rPr>
                <w:rFonts w:hint="default" w:ascii="Times New Roman" w:hAnsi="Times New Roman" w:eastAsia="宋体" w:cs="Times New Roman"/>
                <w:kern w:val="0"/>
                <w:szCs w:val="21"/>
                <w:highlight w:val="none"/>
                <w:lang w:eastAsia="zh-CN"/>
              </w:rPr>
            </w:pPr>
            <w:r>
              <w:rPr>
                <w:rFonts w:hint="default" w:ascii="Times New Roman" w:hAnsi="Times New Roman" w:eastAsia="宋体" w:cs="Times New Roman"/>
                <w:b/>
                <w:bCs/>
                <w:kern w:val="0"/>
                <w:szCs w:val="21"/>
                <w:highlight w:val="none"/>
                <w:lang w:eastAsia="zh-CN"/>
              </w:rPr>
              <w:t>规划名称：</w:t>
            </w:r>
            <w:r>
              <w:rPr>
                <w:rFonts w:hint="eastAsia" w:ascii="Times New Roman" w:hAnsi="Times New Roman" w:eastAsia="宋体" w:cs="Times New Roman"/>
                <w:kern w:val="0"/>
                <w:szCs w:val="21"/>
                <w:highlight w:val="none"/>
                <w:lang w:eastAsia="zh-CN"/>
              </w:rPr>
              <w:t>南乐县产业集聚区</w:t>
            </w:r>
            <w:r>
              <w:rPr>
                <w:rFonts w:hint="default" w:ascii="Times New Roman" w:hAnsi="Times New Roman" w:eastAsia="宋体" w:cs="Times New Roman"/>
                <w:kern w:val="0"/>
                <w:szCs w:val="21"/>
                <w:highlight w:val="none"/>
                <w:lang w:eastAsia="zh-CN"/>
              </w:rPr>
              <w:t>发展规划</w:t>
            </w:r>
            <w:r>
              <w:rPr>
                <w:rFonts w:hint="eastAsia" w:ascii="Times New Roman" w:hAnsi="Times New Roman" w:eastAsia="宋体" w:cs="Times New Roman"/>
                <w:kern w:val="0"/>
                <w:szCs w:val="21"/>
                <w:highlight w:val="none"/>
                <w:lang w:eastAsia="zh-CN"/>
              </w:rPr>
              <w:t>（</w:t>
            </w:r>
            <w:r>
              <w:rPr>
                <w:rFonts w:hint="eastAsia" w:ascii="Times New Roman" w:hAnsi="Times New Roman" w:eastAsia="宋体" w:cs="Times New Roman"/>
                <w:kern w:val="0"/>
                <w:szCs w:val="21"/>
                <w:highlight w:val="none"/>
                <w:lang w:val="en-US" w:eastAsia="zh-CN"/>
              </w:rPr>
              <w:t>2009-2020年</w:t>
            </w:r>
            <w:r>
              <w:rPr>
                <w:rFonts w:hint="eastAsia" w:ascii="Times New Roman" w:hAnsi="Times New Roman" w:eastAsia="宋体" w:cs="Times New Roman"/>
                <w:kern w:val="0"/>
                <w:szCs w:val="21"/>
                <w:highlight w:val="none"/>
                <w:lang w:eastAsia="zh-CN"/>
              </w:rPr>
              <w:t>）及调整方案</w:t>
            </w:r>
            <w:r>
              <w:rPr>
                <w:rFonts w:hint="default" w:ascii="Times New Roman" w:hAnsi="Times New Roman" w:eastAsia="宋体" w:cs="Times New Roman"/>
                <w:kern w:val="0"/>
                <w:szCs w:val="21"/>
                <w:highlight w:val="none"/>
                <w:lang w:eastAsia="zh-CN"/>
              </w:rPr>
              <w:t>；</w:t>
            </w:r>
          </w:p>
          <w:p w14:paraId="1A64F387">
            <w:pPr>
              <w:autoSpaceDE w:val="0"/>
              <w:autoSpaceDN w:val="0"/>
              <w:adjustRightInd w:val="0"/>
              <w:snapToGrid w:val="0"/>
              <w:jc w:val="left"/>
              <w:rPr>
                <w:rFonts w:hint="default" w:ascii="Times New Roman" w:hAnsi="Times New Roman" w:eastAsia="宋体" w:cs="Times New Roman"/>
                <w:kern w:val="0"/>
                <w:szCs w:val="21"/>
                <w:lang w:eastAsia="zh-CN"/>
              </w:rPr>
            </w:pPr>
            <w:r>
              <w:rPr>
                <w:rFonts w:hint="default" w:ascii="Times New Roman" w:hAnsi="Times New Roman" w:eastAsia="宋体" w:cs="Times New Roman"/>
                <w:b/>
                <w:bCs/>
                <w:kern w:val="0"/>
                <w:szCs w:val="21"/>
                <w:lang w:eastAsia="zh-CN"/>
              </w:rPr>
              <w:t>审查机关：</w:t>
            </w:r>
            <w:r>
              <w:rPr>
                <w:rFonts w:hint="default" w:ascii="Times New Roman" w:hAnsi="Times New Roman" w:eastAsia="宋体" w:cs="Times New Roman"/>
                <w:kern w:val="0"/>
                <w:szCs w:val="21"/>
                <w:lang w:eastAsia="zh-CN"/>
              </w:rPr>
              <w:t>河南省发展和改革委员会；</w:t>
            </w:r>
          </w:p>
          <w:p w14:paraId="293A442F">
            <w:pPr>
              <w:autoSpaceDE w:val="0"/>
              <w:autoSpaceDN w:val="0"/>
              <w:adjustRightInd w:val="0"/>
              <w:snapToGrid w:val="0"/>
              <w:jc w:val="left"/>
              <w:rPr>
                <w:rFonts w:hint="default"/>
                <w:lang w:eastAsia="zh-CN"/>
              </w:rPr>
            </w:pPr>
            <w:r>
              <w:rPr>
                <w:rFonts w:hint="default" w:ascii="Times New Roman" w:hAnsi="Times New Roman" w:eastAsia="宋体" w:cs="Times New Roman"/>
                <w:b/>
                <w:bCs/>
                <w:kern w:val="0"/>
                <w:szCs w:val="21"/>
                <w:lang w:eastAsia="zh-CN"/>
              </w:rPr>
              <w:t>审批文号</w:t>
            </w:r>
            <w:r>
              <w:rPr>
                <w:rFonts w:hint="default" w:ascii="Times New Roman" w:hAnsi="Times New Roman" w:eastAsia="宋体" w:cs="Times New Roman"/>
                <w:kern w:val="0"/>
                <w:szCs w:val="21"/>
                <w:lang w:eastAsia="zh-CN"/>
              </w:rPr>
              <w:t>：豫发改工业〔201</w:t>
            </w:r>
            <w:r>
              <w:rPr>
                <w:rFonts w:hint="eastAsia" w:ascii="Times New Roman" w:hAnsi="Times New Roman" w:eastAsia="宋体" w:cs="Times New Roman"/>
                <w:kern w:val="0"/>
                <w:szCs w:val="21"/>
                <w:lang w:val="en-US" w:eastAsia="zh-CN"/>
              </w:rPr>
              <w:t>2</w:t>
            </w:r>
            <w:r>
              <w:rPr>
                <w:rFonts w:hint="default" w:ascii="Times New Roman" w:hAnsi="Times New Roman" w:eastAsia="宋体" w:cs="Times New Roman"/>
                <w:kern w:val="0"/>
                <w:szCs w:val="21"/>
                <w:lang w:eastAsia="zh-CN"/>
              </w:rPr>
              <w:t>〕</w:t>
            </w:r>
            <w:r>
              <w:rPr>
                <w:rFonts w:hint="eastAsia" w:ascii="Times New Roman" w:hAnsi="Times New Roman" w:eastAsia="宋体" w:cs="Times New Roman"/>
                <w:kern w:val="0"/>
                <w:szCs w:val="21"/>
                <w:lang w:val="en-US" w:eastAsia="zh-CN"/>
              </w:rPr>
              <w:t>1606</w:t>
            </w:r>
            <w:r>
              <w:rPr>
                <w:rFonts w:hint="default" w:ascii="Times New Roman" w:hAnsi="Times New Roman" w:eastAsia="宋体" w:cs="Times New Roman"/>
                <w:kern w:val="0"/>
                <w:szCs w:val="21"/>
                <w:lang w:eastAsia="zh-CN"/>
              </w:rPr>
              <w:t>号。</w:t>
            </w:r>
          </w:p>
        </w:tc>
      </w:tr>
      <w:tr w14:paraId="2428FC3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2113" w:type="dxa"/>
            <w:noWrap w:val="0"/>
            <w:vAlign w:val="center"/>
          </w:tcPr>
          <w:p w14:paraId="586551A6">
            <w:pPr>
              <w:adjustRightInd w:val="0"/>
              <w:snapToGrid w:val="0"/>
              <w:jc w:val="center"/>
              <w:rPr>
                <w:rFonts w:hint="default" w:ascii="Times New Roman" w:hAnsi="Times New Roman" w:cs="Times New Roman"/>
                <w:szCs w:val="21"/>
                <w:highlight w:val="none"/>
              </w:rPr>
            </w:pPr>
            <w:r>
              <w:rPr>
                <w:rFonts w:hint="default" w:ascii="Times New Roman" w:hAnsi="Times New Roman" w:cs="Times New Roman"/>
                <w:szCs w:val="21"/>
                <w:highlight w:val="none"/>
              </w:rPr>
              <w:t>规划环境影响</w:t>
            </w:r>
          </w:p>
          <w:p w14:paraId="57CEC2D5">
            <w:pPr>
              <w:adjustRightInd w:val="0"/>
              <w:snapToGrid w:val="0"/>
              <w:jc w:val="center"/>
              <w:rPr>
                <w:rFonts w:hint="default" w:ascii="Times New Roman" w:hAnsi="Times New Roman" w:cs="Times New Roman"/>
                <w:kern w:val="0"/>
                <w:szCs w:val="21"/>
                <w:highlight w:val="none"/>
              </w:rPr>
            </w:pPr>
            <w:r>
              <w:rPr>
                <w:rFonts w:hint="default" w:ascii="Times New Roman" w:hAnsi="Times New Roman" w:cs="Times New Roman"/>
                <w:szCs w:val="21"/>
                <w:highlight w:val="none"/>
              </w:rPr>
              <w:t>评价情况</w:t>
            </w:r>
          </w:p>
        </w:tc>
        <w:tc>
          <w:tcPr>
            <w:tcW w:w="6757" w:type="dxa"/>
            <w:gridSpan w:val="3"/>
            <w:noWrap w:val="0"/>
            <w:vAlign w:val="center"/>
          </w:tcPr>
          <w:p w14:paraId="18EB3AEC">
            <w:pPr>
              <w:pStyle w:val="2"/>
              <w:ind w:left="0" w:leftChars="0" w:firstLine="0" w:firstLineChars="0"/>
              <w:jc w:val="left"/>
              <w:rPr>
                <w:rFonts w:hint="default" w:ascii="Times New Roman" w:hAnsi="Times New Roman" w:eastAsia="宋体" w:cs="Times New Roman"/>
                <w:b/>
                <w:bCs/>
                <w:kern w:val="0"/>
                <w:szCs w:val="21"/>
                <w:lang w:val="en-US" w:eastAsia="zh-CN"/>
              </w:rPr>
            </w:pPr>
            <w:r>
              <w:rPr>
                <w:rFonts w:hint="default" w:ascii="Times New Roman" w:hAnsi="Times New Roman" w:eastAsia="宋体" w:cs="Times New Roman"/>
                <w:b/>
                <w:bCs/>
                <w:kern w:val="0"/>
                <w:szCs w:val="21"/>
                <w:lang w:eastAsia="zh-CN"/>
              </w:rPr>
              <w:t>规划环境影响评价文件名称：</w:t>
            </w:r>
            <w:r>
              <w:rPr>
                <w:rFonts w:hint="default" w:ascii="Times New Roman" w:hAnsi="Times New Roman" w:eastAsia="宋体" w:cs="Times New Roman"/>
                <w:b w:val="0"/>
                <w:bCs w:val="0"/>
                <w:kern w:val="0"/>
                <w:szCs w:val="21"/>
                <w:lang w:eastAsia="zh-CN"/>
              </w:rPr>
              <w:t>《南乐县产业集聚区发展规划（2014-2020）调整方案环境影响报告书》</w:t>
            </w:r>
            <w:r>
              <w:rPr>
                <w:rFonts w:hint="eastAsia" w:cs="Times New Roman"/>
                <w:b/>
                <w:bCs/>
                <w:kern w:val="0"/>
                <w:szCs w:val="21"/>
                <w:lang w:eastAsia="zh-CN"/>
              </w:rPr>
              <w:t>；</w:t>
            </w:r>
            <w:r>
              <w:rPr>
                <w:rFonts w:hint="eastAsia" w:cs="Times New Roman"/>
                <w:b/>
                <w:bCs/>
                <w:kern w:val="0"/>
                <w:szCs w:val="21"/>
                <w:u w:val="single"/>
                <w:lang w:val="en-US" w:eastAsia="zh-CN"/>
              </w:rPr>
              <w:t>目前，南乐县先进制造业开发区规划环评正在编制中。</w:t>
            </w:r>
          </w:p>
          <w:p w14:paraId="64445180">
            <w:pPr>
              <w:pStyle w:val="2"/>
              <w:ind w:left="0" w:leftChars="0" w:firstLine="0" w:firstLineChars="0"/>
              <w:jc w:val="left"/>
              <w:rPr>
                <w:rFonts w:hint="default" w:ascii="Times New Roman" w:hAnsi="Times New Roman" w:eastAsia="宋体" w:cs="Times New Roman"/>
                <w:b/>
                <w:bCs/>
                <w:kern w:val="0"/>
                <w:szCs w:val="21"/>
                <w:lang w:eastAsia="zh-CN"/>
              </w:rPr>
            </w:pPr>
            <w:r>
              <w:rPr>
                <w:rFonts w:hint="default" w:ascii="Times New Roman" w:hAnsi="Times New Roman" w:eastAsia="宋体" w:cs="Times New Roman"/>
                <w:b/>
                <w:bCs/>
                <w:kern w:val="0"/>
                <w:szCs w:val="21"/>
                <w:lang w:eastAsia="zh-CN"/>
              </w:rPr>
              <w:t>审查机关：</w:t>
            </w:r>
            <w:r>
              <w:rPr>
                <w:rFonts w:hint="default" w:ascii="Times New Roman" w:hAnsi="Times New Roman" w:eastAsia="宋体" w:cs="Times New Roman"/>
                <w:b w:val="0"/>
                <w:bCs w:val="0"/>
                <w:kern w:val="0"/>
                <w:szCs w:val="21"/>
                <w:lang w:eastAsia="zh-CN"/>
              </w:rPr>
              <w:t>濮阳市环境保护局（现濮阳市生态环境保护局）</w:t>
            </w:r>
            <w:r>
              <w:rPr>
                <w:rFonts w:hint="eastAsia" w:cs="Times New Roman"/>
                <w:b w:val="0"/>
                <w:bCs w:val="0"/>
                <w:kern w:val="0"/>
                <w:szCs w:val="21"/>
                <w:lang w:eastAsia="zh-CN"/>
              </w:rPr>
              <w:t>；</w:t>
            </w:r>
          </w:p>
          <w:p w14:paraId="14EA2BFA">
            <w:pPr>
              <w:pStyle w:val="2"/>
              <w:ind w:left="0" w:leftChars="0" w:firstLine="0" w:firstLineChars="0"/>
              <w:jc w:val="left"/>
              <w:rPr>
                <w:rFonts w:hint="default"/>
                <w:lang w:eastAsia="zh-CN"/>
              </w:rPr>
            </w:pPr>
            <w:r>
              <w:rPr>
                <w:rFonts w:hint="default" w:ascii="Times New Roman" w:hAnsi="Times New Roman" w:eastAsia="宋体" w:cs="Times New Roman"/>
                <w:b/>
                <w:bCs/>
                <w:kern w:val="0"/>
                <w:szCs w:val="21"/>
                <w:lang w:eastAsia="zh-CN"/>
              </w:rPr>
              <w:t>审批文号：</w:t>
            </w:r>
            <w:r>
              <w:rPr>
                <w:rFonts w:hint="default" w:ascii="Times New Roman" w:hAnsi="Times New Roman" w:eastAsia="宋体" w:cs="Times New Roman"/>
                <w:b w:val="0"/>
                <w:bCs w:val="0"/>
                <w:kern w:val="0"/>
                <w:szCs w:val="21"/>
                <w:lang w:eastAsia="zh-CN"/>
              </w:rPr>
              <w:t>濮环审〔2017〕09号</w:t>
            </w:r>
            <w:r>
              <w:rPr>
                <w:rFonts w:hint="eastAsia" w:cs="Times New Roman"/>
                <w:b w:val="0"/>
                <w:bCs w:val="0"/>
                <w:kern w:val="0"/>
                <w:szCs w:val="21"/>
                <w:lang w:eastAsia="zh-CN"/>
              </w:rPr>
              <w:t>。</w:t>
            </w:r>
          </w:p>
        </w:tc>
      </w:tr>
      <w:tr w14:paraId="1774BC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113" w:type="dxa"/>
            <w:noWrap w:val="0"/>
            <w:vAlign w:val="center"/>
          </w:tcPr>
          <w:p w14:paraId="08A96F1F">
            <w:pPr>
              <w:autoSpaceDE w:val="0"/>
              <w:autoSpaceDN w:val="0"/>
              <w:adjustRightInd w:val="0"/>
              <w:snapToGrid w:val="0"/>
              <w:jc w:val="both"/>
              <w:rPr>
                <w:rFonts w:hint="default" w:ascii="Times New Roman" w:hAnsi="Times New Roman" w:cs="Times New Roman"/>
                <w:kern w:val="0"/>
                <w:szCs w:val="21"/>
              </w:rPr>
            </w:pPr>
            <w:r>
              <w:rPr>
                <w:rFonts w:hint="default" w:ascii="Times New Roman" w:hAnsi="Times New Roman" w:cs="Times New Roman"/>
                <w:kern w:val="0"/>
                <w:szCs w:val="21"/>
              </w:rPr>
              <w:t>规划及规划环境影响评价符合性分析</w:t>
            </w:r>
          </w:p>
        </w:tc>
        <w:tc>
          <w:tcPr>
            <w:tcW w:w="6757" w:type="dxa"/>
            <w:gridSpan w:val="3"/>
            <w:noWrap w:val="0"/>
            <w:vAlign w:val="center"/>
          </w:tcPr>
          <w:p w14:paraId="5F4504F0">
            <w:pPr>
              <w:pStyle w:val="28"/>
              <w:spacing w:line="520" w:lineRule="exact"/>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1、产业集聚区规划相符性分析</w:t>
            </w:r>
          </w:p>
          <w:p w14:paraId="25B6A6FB">
            <w:pPr>
              <w:autoSpaceDE w:val="0"/>
              <w:autoSpaceDN w:val="0"/>
              <w:adjustRightInd w:val="0"/>
              <w:snapToGrid w:val="0"/>
              <w:spacing w:line="360" w:lineRule="auto"/>
              <w:ind w:firstLine="480" w:firstLineChars="200"/>
              <w:rPr>
                <w:rFonts w:hint="eastAsia" w:ascii="Times New Roman" w:hAnsi="Times New Roman" w:eastAsia="宋体"/>
                <w:lang w:val="en-US" w:eastAsia="zh-CN"/>
              </w:rPr>
            </w:pPr>
            <w:r>
              <w:rPr>
                <w:rFonts w:hint="default" w:ascii="Times New Roman" w:hAnsi="Times New Roman" w:eastAsia="宋体"/>
                <w:lang w:eastAsia="zh-CN"/>
              </w:rPr>
              <w:t>南乐县产业集聚区位于南乐县城东北部的城区边缘区域</w:t>
            </w:r>
            <w:r>
              <w:rPr>
                <w:rFonts w:hint="eastAsia" w:ascii="Times New Roman" w:hAnsi="Times New Roman" w:eastAsia="宋体"/>
                <w:lang w:eastAsia="zh-CN"/>
              </w:rPr>
              <w:t>。</w:t>
            </w:r>
          </w:p>
          <w:p w14:paraId="49E4D476">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（1）规划范围</w:t>
            </w:r>
          </w:p>
          <w:p w14:paraId="13151A7C">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东至东外环路，南至南外环路，西至谷阳路-仓颉路-产业大道-昌州路-谷阳路-产业大道一线，北至马颊河南岸北外环路。规划总面积为12.8k</w:t>
            </w:r>
            <w:r>
              <w:rPr>
                <w:rFonts w:hint="eastAsia" w:ascii="宋体" w:hAnsi="宋体" w:eastAsia="宋体" w:cs="宋体"/>
                <w:lang w:val="en-US" w:eastAsia="zh-CN"/>
              </w:rPr>
              <w:t>㎡</w:t>
            </w:r>
            <w:r>
              <w:rPr>
                <w:rFonts w:hint="default" w:ascii="Times New Roman" w:hAnsi="Times New Roman" w:eastAsia="宋体"/>
                <w:lang w:val="en-US" w:eastAsia="zh-CN"/>
              </w:rPr>
              <w:t>。</w:t>
            </w:r>
          </w:p>
          <w:p w14:paraId="65127611">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（2）发展定位和主导产业</w:t>
            </w:r>
          </w:p>
          <w:p w14:paraId="5BB4518F">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南乐县产业集聚区发展定位为：豫东北地区重要的食品加工业、装备制造、生物基产业；主导产业为：食品加工产业、装备制造业、生物制造产业。</w:t>
            </w:r>
          </w:p>
          <w:p w14:paraId="7F6128C3">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（3）空间规划结构</w:t>
            </w:r>
          </w:p>
          <w:p w14:paraId="4B3D2447">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南乐县产业集聚区空间规划结构为:</w:t>
            </w:r>
            <w:r>
              <w:rPr>
                <w:rFonts w:hint="eastAsia" w:ascii="Times New Roman" w:hAnsi="Times New Roman" w:eastAsia="宋体"/>
                <w:lang w:val="en-US" w:eastAsia="zh-CN"/>
              </w:rPr>
              <w:t>“</w:t>
            </w:r>
            <w:r>
              <w:rPr>
                <w:rFonts w:hint="default" w:ascii="Times New Roman" w:hAnsi="Times New Roman" w:eastAsia="宋体"/>
                <w:lang w:val="en-US" w:eastAsia="zh-CN"/>
              </w:rPr>
              <w:t>一心、三轴、三片区</w:t>
            </w:r>
            <w:r>
              <w:rPr>
                <w:rFonts w:hint="eastAsia" w:ascii="Times New Roman" w:hAnsi="Times New Roman" w:eastAsia="宋体"/>
                <w:lang w:val="en-US" w:eastAsia="zh-CN"/>
              </w:rPr>
              <w:t>”</w:t>
            </w:r>
            <w:r>
              <w:rPr>
                <w:rFonts w:hint="default" w:ascii="Times New Roman" w:hAnsi="Times New Roman" w:eastAsia="宋体"/>
                <w:lang w:val="en-US" w:eastAsia="zh-CN"/>
              </w:rPr>
              <w:t>。</w:t>
            </w:r>
          </w:p>
          <w:p w14:paraId="10A25CBA">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eastAsia" w:ascii="Times New Roman" w:hAnsi="Times New Roman" w:eastAsia="宋体"/>
                <w:lang w:val="en-US" w:eastAsia="zh-CN"/>
              </w:rPr>
              <w:t>“</w:t>
            </w:r>
            <w:r>
              <w:rPr>
                <w:rFonts w:hint="default" w:ascii="Times New Roman" w:hAnsi="Times New Roman" w:eastAsia="宋体"/>
                <w:lang w:val="en-US" w:eastAsia="zh-CN"/>
              </w:rPr>
              <w:t>一心</w:t>
            </w:r>
            <w:r>
              <w:rPr>
                <w:rFonts w:hint="eastAsia" w:ascii="Times New Roman" w:hAnsi="Times New Roman" w:eastAsia="宋体"/>
                <w:lang w:val="en-US" w:eastAsia="zh-CN"/>
              </w:rPr>
              <w:t>”</w:t>
            </w:r>
            <w:r>
              <w:rPr>
                <w:rFonts w:hint="default" w:ascii="Times New Roman" w:hAnsi="Times New Roman" w:eastAsia="宋体"/>
                <w:lang w:val="en-US" w:eastAsia="zh-CN"/>
              </w:rPr>
              <w:t>：集聚区综合服务中心。</w:t>
            </w:r>
          </w:p>
          <w:p w14:paraId="651979D2">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eastAsia" w:ascii="Times New Roman" w:hAnsi="Times New Roman" w:eastAsia="宋体"/>
                <w:lang w:val="en-US" w:eastAsia="zh-CN"/>
              </w:rPr>
              <w:t>“</w:t>
            </w:r>
            <w:r>
              <w:rPr>
                <w:rFonts w:hint="default" w:ascii="Times New Roman" w:hAnsi="Times New Roman" w:eastAsia="宋体"/>
                <w:lang w:val="en-US" w:eastAsia="zh-CN"/>
              </w:rPr>
              <w:t>三轴</w:t>
            </w:r>
            <w:r>
              <w:rPr>
                <w:rFonts w:hint="eastAsia" w:ascii="Times New Roman" w:hAnsi="Times New Roman" w:eastAsia="宋体"/>
                <w:lang w:val="en-US" w:eastAsia="zh-CN"/>
              </w:rPr>
              <w:t>”</w:t>
            </w:r>
            <w:r>
              <w:rPr>
                <w:rFonts w:hint="default" w:ascii="Times New Roman" w:hAnsi="Times New Roman" w:eastAsia="宋体"/>
                <w:lang w:val="en-US" w:eastAsia="zh-CN"/>
              </w:rPr>
              <w:t>：仓颉路发展轴、产业大道发展轴、兴工路发展轴。</w:t>
            </w:r>
          </w:p>
          <w:p w14:paraId="2F52CB87">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eastAsia" w:ascii="Times New Roman" w:hAnsi="Times New Roman" w:eastAsia="宋体"/>
                <w:lang w:val="en-US" w:eastAsia="zh-CN"/>
              </w:rPr>
              <w:t>“</w:t>
            </w:r>
            <w:r>
              <w:rPr>
                <w:rFonts w:hint="default" w:ascii="Times New Roman" w:hAnsi="Times New Roman" w:eastAsia="宋体"/>
                <w:lang w:val="en-US" w:eastAsia="zh-CN"/>
              </w:rPr>
              <w:t>三片区</w:t>
            </w:r>
            <w:r>
              <w:rPr>
                <w:rFonts w:hint="eastAsia" w:ascii="Times New Roman" w:hAnsi="Times New Roman" w:eastAsia="宋体"/>
                <w:lang w:val="en-US" w:eastAsia="zh-CN"/>
              </w:rPr>
              <w:t>”</w:t>
            </w:r>
            <w:r>
              <w:rPr>
                <w:rFonts w:hint="default" w:ascii="Times New Roman" w:hAnsi="Times New Roman" w:eastAsia="宋体"/>
                <w:lang w:val="en-US" w:eastAsia="zh-CN"/>
              </w:rPr>
              <w:t>：即工业区、配套生产服务区和现代物流区。工业区：以各种工业用地为主，辅以适量的市政设施用地。配套生活区：主要布置与产业配套的相关服务产业、居住用地、商业用地等。现代物流区：布置为产业集聚区服务为主的较大型的仓储设施和各种批发市场和物流企业。</w:t>
            </w:r>
          </w:p>
          <w:p w14:paraId="223311E9">
            <w:pPr>
              <w:autoSpaceDE w:val="0"/>
              <w:autoSpaceDN w:val="0"/>
              <w:adjustRightInd w:val="0"/>
              <w:snapToGrid w:val="0"/>
              <w:spacing w:line="360" w:lineRule="auto"/>
              <w:ind w:firstLine="482" w:firstLineChars="200"/>
              <w:rPr>
                <w:rFonts w:hint="default" w:ascii="Times New Roman" w:hAnsi="Times New Roman" w:eastAsia="宋体"/>
                <w:b/>
                <w:bCs/>
                <w:u w:val="single"/>
                <w:lang w:val="en-US" w:eastAsia="zh-CN"/>
              </w:rPr>
            </w:pPr>
            <w:r>
              <w:rPr>
                <w:rFonts w:hint="default" w:ascii="Times New Roman" w:hAnsi="Times New Roman" w:eastAsia="宋体"/>
                <w:b/>
                <w:bCs/>
                <w:u w:val="single"/>
                <w:lang w:val="en-US" w:eastAsia="zh-CN"/>
              </w:rPr>
              <w:t>本项目所在区域属于工业区。</w:t>
            </w:r>
          </w:p>
          <w:p w14:paraId="1272329F">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（4）</w:t>
            </w:r>
            <w:r>
              <w:rPr>
                <w:rFonts w:hint="default" w:ascii="Times New Roman" w:hAnsi="Times New Roman" w:eastAsia="宋体"/>
                <w:highlight w:val="none"/>
                <w:lang w:val="en-US" w:eastAsia="zh-CN"/>
              </w:rPr>
              <w:t>产业定位及发展布局</w:t>
            </w:r>
          </w:p>
          <w:p w14:paraId="433D325B">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①发展定位：豫东北地区重要的食品加工业、装备制造、生物制造产业基地。</w:t>
            </w:r>
          </w:p>
          <w:p w14:paraId="640C6A8C">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②主导产业：以食品加工产业、装备制造业、生物制造产业为主导。</w:t>
            </w:r>
          </w:p>
          <w:p w14:paraId="127379A5">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③产业空间布局：划分为生物基产业区、装备制造区、食品加工区、混合产业区、配套生产服务区、现代物流区。</w:t>
            </w:r>
          </w:p>
          <w:p w14:paraId="0395F8B1">
            <w:pPr>
              <w:autoSpaceDE w:val="0"/>
              <w:autoSpaceDN w:val="0"/>
              <w:adjustRightInd w:val="0"/>
              <w:snapToGrid w:val="0"/>
              <w:spacing w:line="360" w:lineRule="auto"/>
              <w:ind w:firstLine="480" w:firstLineChars="200"/>
              <w:rPr>
                <w:rFonts w:hint="default" w:ascii="Times New Roman" w:hAnsi="Times New Roman" w:eastAsia="宋体"/>
                <w:highlight w:val="none"/>
                <w:lang w:val="en-US" w:eastAsia="zh-CN"/>
              </w:rPr>
            </w:pPr>
            <w:r>
              <w:rPr>
                <w:rFonts w:hint="default" w:ascii="Times New Roman" w:hAnsi="Times New Roman" w:eastAsia="宋体"/>
                <w:highlight w:val="none"/>
                <w:lang w:val="en-US" w:eastAsia="zh-CN"/>
              </w:rPr>
              <w:t>本项目位于濮阳市南乐县产业集聚区，由南乐县自然资源局出</w:t>
            </w:r>
            <w:r>
              <w:rPr>
                <w:rFonts w:hint="eastAsia"/>
                <w:highlight w:val="none"/>
                <w:lang w:val="en-US" w:eastAsia="zh-CN"/>
              </w:rPr>
              <w:t>具的</w:t>
            </w:r>
            <w:r>
              <w:rPr>
                <w:rFonts w:hint="default" w:ascii="Times New Roman" w:hAnsi="Times New Roman" w:eastAsia="宋体"/>
                <w:highlight w:val="none"/>
                <w:lang w:val="en-US" w:eastAsia="zh-CN"/>
              </w:rPr>
              <w:t>建设用地规划许可证</w:t>
            </w:r>
            <w:r>
              <w:rPr>
                <w:rFonts w:hint="eastAsia"/>
                <w:highlight w:val="none"/>
                <w:lang w:val="en-US" w:eastAsia="zh-CN"/>
              </w:rPr>
              <w:t>可知</w:t>
            </w:r>
            <w:r>
              <w:rPr>
                <w:rFonts w:hint="default" w:ascii="Times New Roman" w:hAnsi="Times New Roman" w:eastAsia="宋体"/>
                <w:highlight w:val="none"/>
                <w:lang w:val="en-US" w:eastAsia="zh-CN"/>
              </w:rPr>
              <w:t>，本项目用地性质属于工业用地，项目选址符合南乐县先进制造业开发区总体规划。</w:t>
            </w:r>
          </w:p>
          <w:p w14:paraId="32022BF2">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（5）土地利用规划</w:t>
            </w:r>
          </w:p>
          <w:p w14:paraId="2BE5A5A8">
            <w:pPr>
              <w:autoSpaceDE w:val="0"/>
              <w:autoSpaceDN w:val="0"/>
              <w:adjustRightInd w:val="0"/>
              <w:snapToGrid w:val="0"/>
              <w:spacing w:line="360" w:lineRule="auto"/>
              <w:ind w:firstLine="480" w:firstLineChars="200"/>
              <w:rPr>
                <w:rFonts w:hint="default" w:ascii="Times New Roman" w:hAnsi="Times New Roman" w:eastAsia="宋体"/>
                <w:highlight w:val="none"/>
                <w:lang w:val="en-US" w:eastAsia="zh-CN"/>
              </w:rPr>
            </w:pPr>
            <w:r>
              <w:rPr>
                <w:rFonts w:hint="default" w:ascii="Times New Roman" w:hAnsi="Times New Roman" w:eastAsia="宋体"/>
                <w:lang w:val="en-US" w:eastAsia="zh-CN"/>
              </w:rPr>
              <w:t>南乐县产业集聚区规划用地由二类居住用地、公共管理与公共服务设施用地、工业用地、仓储用地、道路与交通设施用地、</w:t>
            </w:r>
            <w:r>
              <w:rPr>
                <w:rFonts w:hint="default" w:ascii="Times New Roman" w:hAnsi="Times New Roman" w:eastAsia="宋体"/>
                <w:highlight w:val="none"/>
                <w:lang w:val="en-US" w:eastAsia="zh-CN"/>
              </w:rPr>
              <w:t>公用设施用地、绿地及广场用地、水域等组成</w:t>
            </w:r>
            <w:r>
              <w:rPr>
                <w:rFonts w:hint="eastAsia"/>
                <w:highlight w:val="none"/>
                <w:lang w:val="en-US" w:eastAsia="zh-CN"/>
              </w:rPr>
              <w:t>。根据南乐县自然资源局出局建设用地规划许可证，本</w:t>
            </w:r>
            <w:r>
              <w:rPr>
                <w:rFonts w:hint="default" w:ascii="Times New Roman" w:hAnsi="Times New Roman" w:eastAsia="宋体"/>
                <w:highlight w:val="none"/>
                <w:lang w:val="en-US" w:eastAsia="zh-CN"/>
              </w:rPr>
              <w:t>项目用地属于二类工业用地。</w:t>
            </w:r>
          </w:p>
          <w:p w14:paraId="296012F7">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（6）相关基础设施规划</w:t>
            </w:r>
          </w:p>
          <w:p w14:paraId="298D1B5E">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①供水工程规划</w:t>
            </w:r>
          </w:p>
          <w:p w14:paraId="5BCF046F">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南乐县产业集聚区规划期末总用水量为10.01万吨/日，远期考虑1.07万吨/天的中水回用量，则需自来水量8.94万吨/日；供水依托县城一水厂（兴华路西段路北，规划供水能力4万吨/日）、二水厂（睢庄村以南、马颊河东106国道以北，近期建设规模2.0万吨，远期4万吨/日）、三水厂（南水北调为水源，设计规模为5万吨/日）联合供水。</w:t>
            </w:r>
          </w:p>
          <w:p w14:paraId="37075D1E">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本项目生产生活用水采用集聚区市政供水，供水管网已经铺设，可以满足项目生产生活用水需求。</w:t>
            </w:r>
          </w:p>
          <w:p w14:paraId="6FB1C73A">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②排水工程规划</w:t>
            </w:r>
          </w:p>
          <w:p w14:paraId="2F93EAF3">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highlight w:val="none"/>
                <w:lang w:val="en-US" w:eastAsia="zh-CN"/>
              </w:rPr>
              <w:t>根据南乐县产业集聚区规划采用雨污分流制；雨</w:t>
            </w:r>
            <w:r>
              <w:rPr>
                <w:rFonts w:hint="default" w:ascii="Times New Roman" w:hAnsi="Times New Roman" w:eastAsia="宋体"/>
                <w:lang w:val="en-US" w:eastAsia="zh-CN"/>
              </w:rPr>
              <w:t>水根据地形及地面天然坡度，就近排入水体。其中工业路以南雨水排入永顺沟；工业路以北雨水就近排入永顺沟或城关沟；预测污水量为5.34万吨/日，规划扩建现状</w:t>
            </w:r>
            <w:r>
              <w:rPr>
                <w:rFonts w:hint="eastAsia"/>
                <w:lang w:val="en-US" w:eastAsia="zh-CN"/>
              </w:rPr>
              <w:t>南乐县城污水处理厂</w:t>
            </w:r>
            <w:r>
              <w:rPr>
                <w:rFonts w:hint="default" w:ascii="Times New Roman" w:hAnsi="Times New Roman" w:eastAsia="宋体"/>
                <w:lang w:val="en-US" w:eastAsia="zh-CN"/>
              </w:rPr>
              <w:t>至6万</w:t>
            </w:r>
            <w:r>
              <w:rPr>
                <w:rFonts w:hint="eastAsia" w:ascii="Times New Roman" w:hAnsi="Times New Roman" w:eastAsia="宋体"/>
                <w:lang w:val="en-US" w:eastAsia="zh-CN"/>
              </w:rPr>
              <w:t>m³</w:t>
            </w:r>
            <w:r>
              <w:rPr>
                <w:rFonts w:hint="default" w:ascii="Times New Roman" w:hAnsi="Times New Roman" w:eastAsia="宋体"/>
                <w:lang w:val="en-US" w:eastAsia="zh-CN"/>
              </w:rPr>
              <w:t>/d（位于仓颉路以南，现状规模为5万</w:t>
            </w:r>
            <w:r>
              <w:rPr>
                <w:rFonts w:hint="eastAsia" w:ascii="Times New Roman" w:hAnsi="Times New Roman" w:eastAsia="宋体"/>
                <w:lang w:val="en-US" w:eastAsia="zh-CN"/>
              </w:rPr>
              <w:t>m³</w:t>
            </w:r>
            <w:r>
              <w:rPr>
                <w:rFonts w:hint="default" w:ascii="Times New Roman" w:hAnsi="Times New Roman" w:eastAsia="宋体"/>
                <w:lang w:val="en-US" w:eastAsia="zh-CN"/>
              </w:rPr>
              <w:t>/d），废水经处理后排入永顺沟；规划考虑1.1万</w:t>
            </w:r>
            <w:r>
              <w:rPr>
                <w:rFonts w:hint="eastAsia" w:ascii="Times New Roman" w:hAnsi="Times New Roman" w:eastAsia="宋体"/>
                <w:lang w:val="en-US" w:eastAsia="zh-CN"/>
              </w:rPr>
              <w:t>m³</w:t>
            </w:r>
            <w:r>
              <w:rPr>
                <w:rFonts w:hint="default" w:ascii="Times New Roman" w:hAnsi="Times New Roman" w:eastAsia="宋体"/>
                <w:lang w:val="en-US" w:eastAsia="zh-CN"/>
              </w:rPr>
              <w:t>/d中水回用。</w:t>
            </w:r>
          </w:p>
          <w:p w14:paraId="3B7143BF">
            <w:pPr>
              <w:autoSpaceDE w:val="0"/>
              <w:autoSpaceDN w:val="0"/>
              <w:adjustRightInd w:val="0"/>
              <w:snapToGrid w:val="0"/>
              <w:spacing w:line="360" w:lineRule="auto"/>
              <w:ind w:firstLine="482" w:firstLineChars="200"/>
              <w:rPr>
                <w:rFonts w:hint="eastAsia"/>
                <w:b/>
                <w:bCs/>
                <w:highlight w:val="none"/>
                <w:u w:val="single"/>
                <w:lang w:val="en-US" w:eastAsia="zh-CN"/>
              </w:rPr>
            </w:pPr>
            <w:r>
              <w:rPr>
                <w:rFonts w:hint="eastAsia"/>
                <w:b/>
                <w:bCs/>
                <w:highlight w:val="none"/>
                <w:u w:val="single"/>
                <w:lang w:val="en-US" w:eastAsia="zh-CN"/>
              </w:rPr>
              <w:t>本项目厂区位于濮阳市南乐县产业集聚区民生路南、发展大道东，位于南乐县城污水处理厂收水范围内。项目厂区附近污水管网已经建设完毕，可以满足项目排水需求。本项</w:t>
            </w:r>
            <w:r>
              <w:rPr>
                <w:rFonts w:hint="eastAsia" w:ascii="Times New Roman" w:hAnsi="Times New Roman" w:eastAsia="宋体" w:cs="Times New Roman"/>
                <w:b/>
                <w:bCs/>
                <w:highlight w:val="none"/>
                <w:u w:val="single"/>
                <w:lang w:val="en-US" w:eastAsia="zh-CN"/>
              </w:rPr>
              <w:t>目生活污水，经隔油池</w:t>
            </w:r>
            <w:r>
              <w:rPr>
                <w:rFonts w:hint="eastAsia" w:cs="Times New Roman"/>
                <w:b/>
                <w:bCs/>
                <w:highlight w:val="none"/>
                <w:u w:val="single"/>
                <w:lang w:val="en-US" w:eastAsia="zh-CN"/>
              </w:rPr>
              <w:t>、</w:t>
            </w:r>
            <w:r>
              <w:rPr>
                <w:rFonts w:hint="eastAsia" w:ascii="Times New Roman" w:hAnsi="Times New Roman" w:eastAsia="宋体" w:cs="Times New Roman"/>
                <w:b/>
                <w:bCs/>
                <w:highlight w:val="none"/>
                <w:u w:val="single"/>
                <w:lang w:val="en-US" w:eastAsia="zh-CN"/>
              </w:rPr>
              <w:t>化粪池处理，</w:t>
            </w:r>
            <w:r>
              <w:rPr>
                <w:rFonts w:hint="eastAsia"/>
                <w:b/>
                <w:bCs/>
                <w:highlight w:val="none"/>
                <w:u w:val="single"/>
                <w:lang w:val="en-US" w:eastAsia="zh-CN"/>
              </w:rPr>
              <w:t>确保出水水质达到GB8978-1996《污水综合排放标准》表4 三级标准及污水处理厂收水水质要求后，经市政污水管网排入南乐县城污水处理厂深度处理。南乐县城污水处理厂设计出水水质执行《地表水环境质量标准》（GB3838-2002）Ⅴ类水体标准，SS等该标准未涉及污染物执行《城镇污水处理厂污染物排放标准》（GB18918-2002）一级A标准，处理后废水由永顺沟排入徒骇河。</w:t>
            </w:r>
          </w:p>
          <w:p w14:paraId="465B36BE">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③供热工程规划</w:t>
            </w:r>
          </w:p>
          <w:p w14:paraId="0A5CA34B">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南乐县产业集聚区各项基础设施已经建设完成，可依托使用。</w:t>
            </w:r>
          </w:p>
          <w:p w14:paraId="2413EA63">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本项目</w:t>
            </w:r>
            <w:r>
              <w:rPr>
                <w:rFonts w:hint="eastAsia"/>
                <w:highlight w:val="none"/>
                <w:lang w:val="en-US" w:eastAsia="zh-CN"/>
              </w:rPr>
              <w:t>生活</w:t>
            </w:r>
            <w:r>
              <w:rPr>
                <w:rFonts w:hint="default" w:ascii="Times New Roman" w:hAnsi="Times New Roman" w:eastAsia="宋体"/>
                <w:highlight w:val="none"/>
                <w:lang w:val="en-US" w:eastAsia="zh-CN"/>
              </w:rPr>
              <w:t>采</w:t>
            </w:r>
            <w:r>
              <w:rPr>
                <w:rFonts w:hint="default" w:ascii="Times New Roman" w:hAnsi="Times New Roman" w:eastAsia="宋体"/>
                <w:lang w:val="en-US" w:eastAsia="zh-CN"/>
              </w:rPr>
              <w:t>用单体空调进行取暖。</w:t>
            </w:r>
          </w:p>
          <w:p w14:paraId="034B08BB">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④电力工程规划</w:t>
            </w:r>
          </w:p>
          <w:p w14:paraId="738726B2">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南乐县产业集聚区现有110千伏变电站一座，为敬贤站，位于发展大道和永顺路交叉口东北角，远期主变容量为3×50MVA。110KV电源线路由城区220KV的南乐站引入。</w:t>
            </w:r>
          </w:p>
          <w:p w14:paraId="746D97F8">
            <w:pPr>
              <w:autoSpaceDE w:val="0"/>
              <w:autoSpaceDN w:val="0"/>
              <w:adjustRightInd w:val="0"/>
              <w:snapToGrid w:val="0"/>
              <w:spacing w:line="360" w:lineRule="auto"/>
              <w:ind w:firstLine="480" w:firstLineChars="200"/>
              <w:rPr>
                <w:rFonts w:hint="default" w:ascii="Times New Roman" w:hAnsi="Times New Roman" w:eastAsia="宋体"/>
                <w:highlight w:val="none"/>
                <w:lang w:val="en-US" w:eastAsia="zh-CN"/>
              </w:rPr>
            </w:pPr>
            <w:r>
              <w:rPr>
                <w:rFonts w:hint="eastAsia"/>
                <w:highlight w:val="none"/>
                <w:lang w:val="en-US" w:eastAsia="zh-CN"/>
              </w:rPr>
              <w:t>本</w:t>
            </w:r>
            <w:r>
              <w:rPr>
                <w:rFonts w:hint="default" w:ascii="Times New Roman" w:hAnsi="Times New Roman" w:eastAsia="宋体"/>
                <w:highlight w:val="none"/>
                <w:lang w:val="en-US" w:eastAsia="zh-CN"/>
              </w:rPr>
              <w:t>项目用电由南乐县产业集聚区供应，可以满足项目用电需求。</w:t>
            </w:r>
          </w:p>
          <w:p w14:paraId="4DE83D5F">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eastAsia" w:ascii="Times New Roman" w:hAnsi="Times New Roman" w:eastAsia="宋体"/>
                <w:lang w:val="en-US" w:eastAsia="zh-CN"/>
              </w:rPr>
              <w:t>⑤</w:t>
            </w:r>
            <w:r>
              <w:rPr>
                <w:rFonts w:hint="default" w:ascii="Times New Roman" w:hAnsi="Times New Roman" w:eastAsia="宋体"/>
                <w:lang w:val="en-US" w:eastAsia="zh-CN"/>
              </w:rPr>
              <w:t>供气规划</w:t>
            </w:r>
          </w:p>
          <w:p w14:paraId="29EBDD44">
            <w:pPr>
              <w:autoSpaceDE w:val="0"/>
              <w:autoSpaceDN w:val="0"/>
              <w:adjustRightInd w:val="0"/>
              <w:snapToGrid w:val="0"/>
              <w:spacing w:line="360" w:lineRule="auto"/>
              <w:ind w:firstLine="480" w:firstLineChars="200"/>
              <w:rPr>
                <w:rFonts w:hint="eastAsia" w:ascii="Times New Roman" w:hAnsi="Times New Roman" w:eastAsia="宋体"/>
                <w:lang w:val="en-US" w:eastAsia="zh-CN"/>
              </w:rPr>
            </w:pPr>
            <w:r>
              <w:rPr>
                <w:rFonts w:hint="default" w:ascii="Times New Roman" w:hAnsi="Times New Roman" w:eastAsia="宋体"/>
                <w:lang w:val="en-US" w:eastAsia="zh-CN"/>
              </w:rPr>
              <w:t>南乐县产业集聚区预测管道气用量为411.14万立方米，以</w:t>
            </w:r>
            <w:r>
              <w:rPr>
                <w:rFonts w:hint="eastAsia" w:ascii="Times New Roman" w:hAnsi="Times New Roman" w:eastAsia="宋体"/>
                <w:lang w:val="en-US" w:eastAsia="zh-CN"/>
              </w:rPr>
              <w:t>“</w:t>
            </w:r>
            <w:r>
              <w:rPr>
                <w:rFonts w:hint="default" w:ascii="Times New Roman" w:hAnsi="Times New Roman" w:eastAsia="宋体"/>
                <w:lang w:val="en-US" w:eastAsia="zh-CN"/>
              </w:rPr>
              <w:t>西气东输</w:t>
            </w:r>
            <w:r>
              <w:rPr>
                <w:rFonts w:hint="eastAsia" w:ascii="Times New Roman" w:hAnsi="Times New Roman" w:eastAsia="宋体"/>
                <w:lang w:val="en-US" w:eastAsia="zh-CN"/>
              </w:rPr>
              <w:t>”</w:t>
            </w:r>
            <w:r>
              <w:rPr>
                <w:rFonts w:hint="default" w:ascii="Times New Roman" w:hAnsi="Times New Roman" w:eastAsia="宋体"/>
                <w:lang w:val="en-US" w:eastAsia="zh-CN"/>
              </w:rPr>
              <w:t>天然气为气源，集聚区用气由产业大道主管线从天然气门站引来，并在民生路和兴业大道交叉口规划一处天然气储配站</w:t>
            </w:r>
            <w:r>
              <w:rPr>
                <w:rFonts w:hint="eastAsia" w:ascii="Times New Roman" w:hAnsi="Times New Roman" w:eastAsia="宋体"/>
                <w:lang w:val="en-US" w:eastAsia="zh-CN"/>
              </w:rPr>
              <w:t>。</w:t>
            </w:r>
          </w:p>
          <w:p w14:paraId="2F0E34ED">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本项目生产过程中不涉及使用天然气。</w:t>
            </w:r>
          </w:p>
          <w:p w14:paraId="2A7423D4">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b w:val="0"/>
                <w:bCs w:val="0"/>
                <w:color w:val="auto"/>
                <w:sz w:val="21"/>
                <w:szCs w:val="21"/>
                <w:u w:val="none"/>
                <w:lang w:val="en-US" w:eastAsia="zh-CN"/>
              </w:rPr>
            </w:pPr>
          </w:p>
          <w:p w14:paraId="1C758C0B">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sz w:val="21"/>
                <w:lang w:eastAsia="zh-CN"/>
              </w:rPr>
            </w:pPr>
          </w:p>
        </w:tc>
      </w:tr>
    </w:tbl>
    <w:p w14:paraId="4D0E9A43">
      <w:pPr>
        <w:pStyle w:val="4"/>
        <w:rPr>
          <w:lang w:val="en-US" w:eastAsia="zh-CN"/>
        </w:rPr>
        <w:sectPr>
          <w:footerReference r:id="rId4" w:type="default"/>
          <w:pgSz w:w="11906" w:h="16838"/>
          <w:pgMar w:top="1440" w:right="1800" w:bottom="1440" w:left="1800" w:header="851" w:footer="992" w:gutter="0"/>
          <w:pgNumType w:fmt="decimal" w:start="1"/>
          <w:cols w:space="425" w:num="1"/>
          <w:docGrid w:type="lines" w:linePitch="312" w:charSpace="0"/>
        </w:sectPr>
      </w:pP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0"/>
        <w:gridCol w:w="13282"/>
      </w:tblGrid>
      <w:tr w14:paraId="20515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4" w:hRule="atLeast"/>
        </w:trPr>
        <w:tc>
          <w:tcPr>
            <w:tcW w:w="370" w:type="dxa"/>
            <w:noWrap w:val="0"/>
            <w:vAlign w:val="center"/>
          </w:tcPr>
          <w:p w14:paraId="7251DC14">
            <w:pPr>
              <w:pStyle w:val="4"/>
              <w:jc w:val="center"/>
              <w:rPr>
                <w:color w:val="auto"/>
                <w:vertAlign w:val="baseline"/>
              </w:rPr>
            </w:pPr>
            <w:r>
              <w:rPr>
                <w:rFonts w:hint="default" w:ascii="Times New Roman" w:hAnsi="Times New Roman" w:eastAsia="宋体" w:cs="Times New Roman"/>
                <w:color w:val="auto"/>
                <w:kern w:val="0"/>
                <w:sz w:val="21"/>
                <w:szCs w:val="21"/>
                <w:lang w:val="en-US" w:eastAsia="zh-CN" w:bidi="ar-SA"/>
              </w:rPr>
              <w:t>规划及规划环境影响评价符合性分析</w:t>
            </w:r>
          </w:p>
        </w:tc>
        <w:tc>
          <w:tcPr>
            <w:tcW w:w="13282" w:type="dxa"/>
            <w:noWrap w:val="0"/>
            <w:vAlign w:val="top"/>
          </w:tcPr>
          <w:p w14:paraId="3DFF02FB">
            <w:pPr>
              <w:pStyle w:val="28"/>
              <w:spacing w:line="520" w:lineRule="exact"/>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2、与《南乐县产业集聚区发展规划（2014-2020）调整方案环境影响报告书》中</w:t>
            </w:r>
            <w:r>
              <w:rPr>
                <w:rFonts w:hint="eastAsia" w:ascii="Times New Roman" w:hAnsi="Times New Roman" w:eastAsia="宋体" w:cs="Times New Roman"/>
                <w:b/>
                <w:bCs/>
                <w:color w:val="000000"/>
                <w:lang w:val="en-US" w:eastAsia="zh-CN" w:bidi="zh-CN"/>
              </w:rPr>
              <w:t>“</w:t>
            </w:r>
            <w:r>
              <w:rPr>
                <w:rFonts w:hint="default" w:ascii="Times New Roman" w:hAnsi="Times New Roman" w:eastAsia="宋体" w:cs="Times New Roman"/>
                <w:b/>
                <w:bCs/>
                <w:color w:val="000000"/>
                <w:lang w:val="en-US" w:eastAsia="zh-CN" w:bidi="zh-CN"/>
              </w:rPr>
              <w:t>项目环境准入条件</w:t>
            </w:r>
            <w:r>
              <w:rPr>
                <w:rFonts w:hint="eastAsia" w:ascii="Times New Roman" w:hAnsi="Times New Roman" w:eastAsia="宋体" w:cs="Times New Roman"/>
                <w:b/>
                <w:bCs/>
                <w:color w:val="000000"/>
                <w:lang w:val="en-US" w:eastAsia="zh-CN" w:bidi="zh-CN"/>
              </w:rPr>
              <w:t>”</w:t>
            </w:r>
            <w:r>
              <w:rPr>
                <w:rFonts w:hint="default" w:ascii="Times New Roman" w:hAnsi="Times New Roman" w:eastAsia="宋体" w:cs="Times New Roman"/>
                <w:b/>
                <w:bCs/>
                <w:color w:val="000000"/>
                <w:lang w:val="en-US" w:eastAsia="zh-CN" w:bidi="zh-CN"/>
              </w:rPr>
              <w:t>相符性分析</w:t>
            </w:r>
          </w:p>
          <w:p w14:paraId="6BFFB3FB">
            <w:pPr>
              <w:spacing w:line="360" w:lineRule="auto"/>
              <w:jc w:val="center"/>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 xml:space="preserve">表1-1  </w:t>
            </w:r>
            <w:r>
              <w:rPr>
                <w:rFonts w:hint="default" w:ascii="Times New Roman" w:hAnsi="Times New Roman" w:eastAsia="宋体"/>
                <w:b/>
                <w:bCs/>
                <w:sz w:val="21"/>
                <w:szCs w:val="21"/>
                <w:lang w:val="en-US" w:eastAsia="zh-CN"/>
              </w:rPr>
              <w:t>南乐县产业集聚区工业项目环境准入条件一览表</w:t>
            </w:r>
          </w:p>
          <w:tbl>
            <w:tblPr>
              <w:tblStyle w:val="16"/>
              <w:tblW w:w="13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4"/>
              <w:gridCol w:w="638"/>
              <w:gridCol w:w="8700"/>
              <w:gridCol w:w="2762"/>
              <w:gridCol w:w="650"/>
            </w:tblGrid>
            <w:tr w14:paraId="58C6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74" w:type="dxa"/>
                  <w:tcBorders>
                    <w:bottom w:val="single" w:color="000000" w:sz="2" w:space="0"/>
                    <w:right w:val="single" w:color="000000" w:sz="2" w:space="0"/>
                  </w:tcBorders>
                  <w:noWrap w:val="0"/>
                  <w:vAlign w:val="center"/>
                </w:tcPr>
                <w:p w14:paraId="753FEB9C">
                  <w:pPr>
                    <w:pStyle w:val="22"/>
                    <w:jc w:val="center"/>
                    <w:rPr>
                      <w:rFonts w:ascii="Times New Roman" w:hAnsi="Times New Roman" w:eastAsia="宋体"/>
                      <w:sz w:val="21"/>
                      <w:szCs w:val="21"/>
                    </w:rPr>
                  </w:pPr>
                  <w:r>
                    <w:rPr>
                      <w:rFonts w:ascii="Times New Roman" w:hAnsi="Times New Roman" w:eastAsia="宋体"/>
                      <w:sz w:val="21"/>
                      <w:szCs w:val="21"/>
                    </w:rPr>
                    <w:t>序</w:t>
                  </w:r>
                </w:p>
                <w:p w14:paraId="1836D742">
                  <w:pPr>
                    <w:pStyle w:val="22"/>
                    <w:jc w:val="center"/>
                    <w:rPr>
                      <w:rFonts w:ascii="Times New Roman" w:hAnsi="Times New Roman" w:eastAsia="宋体"/>
                      <w:sz w:val="21"/>
                      <w:szCs w:val="21"/>
                    </w:rPr>
                  </w:pPr>
                  <w:r>
                    <w:rPr>
                      <w:rFonts w:ascii="Times New Roman" w:hAnsi="Times New Roman" w:eastAsia="宋体"/>
                      <w:sz w:val="21"/>
                      <w:szCs w:val="21"/>
                    </w:rPr>
                    <w:t>号</w:t>
                  </w:r>
                </w:p>
              </w:tc>
              <w:tc>
                <w:tcPr>
                  <w:tcW w:w="638" w:type="dxa"/>
                  <w:tcBorders>
                    <w:left w:val="single" w:color="000000" w:sz="2" w:space="0"/>
                    <w:bottom w:val="single" w:color="000000" w:sz="2" w:space="0"/>
                  </w:tcBorders>
                  <w:noWrap w:val="0"/>
                  <w:vAlign w:val="center"/>
                </w:tcPr>
                <w:p w14:paraId="128C50B3">
                  <w:pPr>
                    <w:pStyle w:val="22"/>
                    <w:jc w:val="center"/>
                    <w:rPr>
                      <w:rFonts w:ascii="Times New Roman" w:hAnsi="Times New Roman" w:eastAsia="宋体"/>
                      <w:sz w:val="21"/>
                      <w:szCs w:val="21"/>
                    </w:rPr>
                  </w:pPr>
                  <w:r>
                    <w:rPr>
                      <w:rFonts w:ascii="Times New Roman" w:hAnsi="Times New Roman" w:eastAsia="宋体"/>
                      <w:sz w:val="21"/>
                      <w:szCs w:val="21"/>
                    </w:rPr>
                    <w:t>项目类别</w:t>
                  </w:r>
                </w:p>
              </w:tc>
              <w:tc>
                <w:tcPr>
                  <w:tcW w:w="8700" w:type="dxa"/>
                  <w:tcBorders>
                    <w:bottom w:val="single" w:color="000000" w:sz="2" w:space="0"/>
                  </w:tcBorders>
                  <w:noWrap w:val="0"/>
                  <w:vAlign w:val="center"/>
                </w:tcPr>
                <w:p w14:paraId="1D982BA2">
                  <w:pPr>
                    <w:pStyle w:val="22"/>
                    <w:jc w:val="center"/>
                    <w:rPr>
                      <w:rFonts w:ascii="Times New Roman" w:hAnsi="Times New Roman" w:eastAsia="宋体"/>
                      <w:sz w:val="21"/>
                      <w:szCs w:val="21"/>
                    </w:rPr>
                  </w:pPr>
                  <w:r>
                    <w:rPr>
                      <w:rFonts w:ascii="Times New Roman" w:hAnsi="Times New Roman" w:eastAsia="宋体"/>
                      <w:sz w:val="21"/>
                      <w:szCs w:val="21"/>
                    </w:rPr>
                    <w:t>环境准入</w:t>
                  </w:r>
                </w:p>
              </w:tc>
              <w:tc>
                <w:tcPr>
                  <w:tcW w:w="2762" w:type="dxa"/>
                  <w:tcBorders>
                    <w:bottom w:val="single" w:color="000000" w:sz="2" w:space="0"/>
                  </w:tcBorders>
                  <w:noWrap w:val="0"/>
                  <w:vAlign w:val="center"/>
                </w:tcPr>
                <w:p w14:paraId="402B0DAF">
                  <w:pPr>
                    <w:pStyle w:val="22"/>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本项目</w:t>
                  </w:r>
                </w:p>
              </w:tc>
              <w:tc>
                <w:tcPr>
                  <w:tcW w:w="650" w:type="dxa"/>
                  <w:tcBorders>
                    <w:bottom w:val="single" w:color="000000" w:sz="2" w:space="0"/>
                  </w:tcBorders>
                  <w:noWrap w:val="0"/>
                  <w:vAlign w:val="center"/>
                </w:tcPr>
                <w:p w14:paraId="74981D4D">
                  <w:pPr>
                    <w:pStyle w:val="22"/>
                    <w:jc w:val="center"/>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相符性</w:t>
                  </w:r>
                </w:p>
              </w:tc>
            </w:tr>
            <w:tr w14:paraId="046AB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5" w:hRule="atLeast"/>
              </w:trPr>
              <w:tc>
                <w:tcPr>
                  <w:tcW w:w="374" w:type="dxa"/>
                  <w:tcBorders>
                    <w:top w:val="single" w:color="000000" w:sz="2" w:space="0"/>
                    <w:right w:val="single" w:color="000000" w:sz="2" w:space="0"/>
                  </w:tcBorders>
                  <w:noWrap w:val="0"/>
                  <w:vAlign w:val="center"/>
                </w:tcPr>
                <w:p w14:paraId="463E758A">
                  <w:pPr>
                    <w:pStyle w:val="22"/>
                    <w:rPr>
                      <w:rFonts w:ascii="Times New Roman" w:hAnsi="Times New Roman" w:eastAsia="宋体"/>
                      <w:sz w:val="21"/>
                      <w:szCs w:val="21"/>
                    </w:rPr>
                  </w:pPr>
                  <w:r>
                    <w:rPr>
                      <w:rFonts w:ascii="Times New Roman" w:hAnsi="Times New Roman" w:eastAsia="宋体"/>
                      <w:sz w:val="21"/>
                      <w:szCs w:val="21"/>
                    </w:rPr>
                    <w:t>1</w:t>
                  </w:r>
                </w:p>
              </w:tc>
              <w:tc>
                <w:tcPr>
                  <w:tcW w:w="638" w:type="dxa"/>
                  <w:tcBorders>
                    <w:top w:val="single" w:color="000000" w:sz="2" w:space="0"/>
                    <w:left w:val="single" w:color="000000" w:sz="2" w:space="0"/>
                  </w:tcBorders>
                  <w:noWrap w:val="0"/>
                  <w:vAlign w:val="center"/>
                </w:tcPr>
                <w:p w14:paraId="3D91EE03">
                  <w:pPr>
                    <w:pStyle w:val="22"/>
                    <w:rPr>
                      <w:rFonts w:ascii="Times New Roman" w:hAnsi="Times New Roman" w:eastAsia="宋体"/>
                      <w:sz w:val="21"/>
                      <w:szCs w:val="21"/>
                    </w:rPr>
                  </w:pPr>
                  <w:r>
                    <w:rPr>
                      <w:rFonts w:ascii="Times New Roman" w:hAnsi="Times New Roman" w:eastAsia="宋体"/>
                      <w:sz w:val="21"/>
                      <w:szCs w:val="21"/>
                    </w:rPr>
                    <w:t>基本条件</w:t>
                  </w:r>
                </w:p>
              </w:tc>
              <w:tc>
                <w:tcPr>
                  <w:tcW w:w="8700" w:type="dxa"/>
                  <w:tcBorders>
                    <w:top w:val="single" w:color="000000" w:sz="2" w:space="0"/>
                  </w:tcBorders>
                  <w:noWrap w:val="0"/>
                  <w:vAlign w:val="center"/>
                </w:tcPr>
                <w:p w14:paraId="49D5AE21">
                  <w:pPr>
                    <w:pStyle w:val="22"/>
                    <w:rPr>
                      <w:rFonts w:ascii="Times New Roman" w:hAnsi="Times New Roman" w:eastAsia="宋体"/>
                      <w:sz w:val="21"/>
                      <w:szCs w:val="21"/>
                    </w:rPr>
                  </w:pPr>
                  <w:r>
                    <w:rPr>
                      <w:rFonts w:ascii="Times New Roman" w:hAnsi="Times New Roman" w:eastAsia="宋体"/>
                      <w:sz w:val="21"/>
                      <w:szCs w:val="21"/>
                    </w:rPr>
                    <w:t>1、应符合国家和行业环境保护标准和清洁生产标准要求，企业清洁生产水平必须满足国内先进水平要求；</w:t>
                  </w:r>
                </w:p>
                <w:p w14:paraId="41CA8F14">
                  <w:pPr>
                    <w:pStyle w:val="22"/>
                    <w:rPr>
                      <w:rFonts w:ascii="Times New Roman" w:hAnsi="Times New Roman" w:eastAsia="宋体"/>
                      <w:sz w:val="21"/>
                      <w:szCs w:val="21"/>
                    </w:rPr>
                  </w:pPr>
                  <w:r>
                    <w:rPr>
                      <w:rFonts w:ascii="Times New Roman" w:hAnsi="Times New Roman" w:eastAsia="宋体"/>
                      <w:sz w:val="21"/>
                      <w:szCs w:val="21"/>
                    </w:rPr>
                    <w:t>2、在工艺技术水平上，要求达到国内同行业领先水平或具备国际先进水平；</w:t>
                  </w:r>
                </w:p>
                <w:p w14:paraId="3635BB86">
                  <w:pPr>
                    <w:pStyle w:val="22"/>
                    <w:rPr>
                      <w:rFonts w:ascii="Times New Roman" w:hAnsi="Times New Roman" w:eastAsia="宋体"/>
                      <w:sz w:val="21"/>
                      <w:szCs w:val="21"/>
                    </w:rPr>
                  </w:pPr>
                  <w:r>
                    <w:rPr>
                      <w:rFonts w:ascii="Times New Roman" w:hAnsi="Times New Roman" w:eastAsia="宋体"/>
                      <w:sz w:val="21"/>
                      <w:szCs w:val="21"/>
                    </w:rPr>
                    <w:t>3、建设规模应符合国家产业政策的最小经济规模要求；</w:t>
                  </w:r>
                </w:p>
                <w:p w14:paraId="3BA663C3">
                  <w:pPr>
                    <w:pStyle w:val="22"/>
                    <w:rPr>
                      <w:rFonts w:ascii="Times New Roman" w:hAnsi="Times New Roman" w:eastAsia="宋体"/>
                      <w:sz w:val="21"/>
                      <w:szCs w:val="21"/>
                    </w:rPr>
                  </w:pPr>
                  <w:r>
                    <w:rPr>
                      <w:rFonts w:ascii="Times New Roman" w:hAnsi="Times New Roman" w:eastAsia="宋体"/>
                      <w:sz w:val="21"/>
                      <w:szCs w:val="21"/>
                    </w:rPr>
                    <w:t>4、入驻项目应严格按照国家的环保法律和规定做到执行环境影响评价和</w:t>
                  </w:r>
                  <w:r>
                    <w:rPr>
                      <w:rFonts w:hint="eastAsia" w:ascii="Times New Roman" w:hAnsi="Times New Roman" w:eastAsia="宋体"/>
                      <w:sz w:val="21"/>
                      <w:szCs w:val="21"/>
                      <w:lang w:eastAsia="zh-CN"/>
                    </w:rPr>
                    <w:t>“</w:t>
                  </w:r>
                  <w:r>
                    <w:rPr>
                      <w:rFonts w:ascii="Times New Roman" w:hAnsi="Times New Roman" w:eastAsia="宋体"/>
                      <w:sz w:val="21"/>
                      <w:szCs w:val="21"/>
                    </w:rPr>
                    <w:t>三同时</w:t>
                  </w:r>
                  <w:r>
                    <w:rPr>
                      <w:rFonts w:hint="eastAsia" w:ascii="Times New Roman" w:hAnsi="Times New Roman" w:eastAsia="宋体"/>
                      <w:sz w:val="21"/>
                      <w:szCs w:val="21"/>
                      <w:lang w:eastAsia="zh-CN"/>
                    </w:rPr>
                    <w:t>”</w:t>
                  </w:r>
                  <w:r>
                    <w:rPr>
                      <w:rFonts w:ascii="Times New Roman" w:hAnsi="Times New Roman" w:eastAsia="宋体"/>
                      <w:sz w:val="21"/>
                      <w:szCs w:val="21"/>
                    </w:rPr>
                    <w:t>制度；</w:t>
                  </w:r>
                </w:p>
                <w:p w14:paraId="575B49AA">
                  <w:pPr>
                    <w:pStyle w:val="22"/>
                    <w:rPr>
                      <w:rFonts w:ascii="Times New Roman" w:hAnsi="Times New Roman" w:eastAsia="宋体"/>
                      <w:sz w:val="21"/>
                      <w:szCs w:val="21"/>
                    </w:rPr>
                  </w:pPr>
                  <w:r>
                    <w:rPr>
                      <w:rFonts w:ascii="Times New Roman" w:hAnsi="Times New Roman" w:eastAsia="宋体"/>
                      <w:sz w:val="21"/>
                      <w:szCs w:val="21"/>
                    </w:rPr>
                    <w:t>5、入驻项目正常生产时必须做到达标排放，并做好事故预防措施，制定必要的风险应急预案。</w:t>
                  </w:r>
                </w:p>
              </w:tc>
              <w:tc>
                <w:tcPr>
                  <w:tcW w:w="2762" w:type="dxa"/>
                  <w:tcBorders>
                    <w:top w:val="single" w:color="000000" w:sz="2" w:space="0"/>
                  </w:tcBorders>
                  <w:noWrap w:val="0"/>
                  <w:vAlign w:val="center"/>
                </w:tcPr>
                <w:p w14:paraId="79AB2A58">
                  <w:pPr>
                    <w:pStyle w:val="22"/>
                    <w:rPr>
                      <w:rFonts w:hint="eastAsia" w:ascii="Times New Roman" w:hAnsi="Times New Roman" w:eastAsia="宋体"/>
                      <w:sz w:val="21"/>
                      <w:szCs w:val="21"/>
                      <w:lang w:eastAsia="zh-CN"/>
                    </w:rPr>
                  </w:pPr>
                  <w:r>
                    <w:rPr>
                      <w:rFonts w:hint="eastAsia" w:ascii="Times New Roman" w:hAnsi="Times New Roman" w:eastAsia="宋体"/>
                      <w:sz w:val="21"/>
                      <w:szCs w:val="21"/>
                      <w:lang w:eastAsia="zh-CN"/>
                    </w:rPr>
                    <w:t>本项目使用的生产设备、生产工艺均属于国内先进水平；项目采取本次评价提出的环保措施后，各污染物均可以实现达标排放；项目建成后编制环境风险应急预案</w:t>
                  </w:r>
                </w:p>
              </w:tc>
              <w:tc>
                <w:tcPr>
                  <w:tcW w:w="650" w:type="dxa"/>
                  <w:tcBorders>
                    <w:top w:val="single" w:color="000000" w:sz="2" w:space="0"/>
                  </w:tcBorders>
                  <w:noWrap w:val="0"/>
                  <w:vAlign w:val="center"/>
                </w:tcPr>
                <w:p w14:paraId="2C0AD8AC">
                  <w:pPr>
                    <w:pStyle w:val="22"/>
                    <w:rPr>
                      <w:rFonts w:ascii="Times New Roman" w:hAnsi="Times New Roman" w:eastAsia="宋体"/>
                      <w:sz w:val="21"/>
                      <w:szCs w:val="21"/>
                    </w:rPr>
                  </w:pPr>
                  <w:r>
                    <w:rPr>
                      <w:rFonts w:hint="eastAsia" w:ascii="Times New Roman" w:hAnsi="Times New Roman" w:eastAsia="宋体"/>
                      <w:sz w:val="21"/>
                      <w:szCs w:val="21"/>
                      <w:lang w:eastAsia="zh-CN"/>
                    </w:rPr>
                    <w:t>相符</w:t>
                  </w:r>
                </w:p>
              </w:tc>
            </w:tr>
            <w:tr w14:paraId="75BF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374" w:type="dxa"/>
                  <w:tcBorders>
                    <w:right w:val="single" w:color="000000" w:sz="2" w:space="0"/>
                  </w:tcBorders>
                  <w:noWrap w:val="0"/>
                  <w:vAlign w:val="center"/>
                </w:tcPr>
                <w:p w14:paraId="7F2AB84D">
                  <w:pPr>
                    <w:pStyle w:val="22"/>
                    <w:rPr>
                      <w:rFonts w:ascii="Times New Roman" w:hAnsi="Times New Roman" w:eastAsia="宋体"/>
                      <w:sz w:val="21"/>
                      <w:szCs w:val="21"/>
                    </w:rPr>
                  </w:pPr>
                  <w:r>
                    <w:rPr>
                      <w:rFonts w:ascii="Times New Roman" w:hAnsi="Times New Roman" w:eastAsia="宋体"/>
                      <w:sz w:val="21"/>
                      <w:szCs w:val="21"/>
                    </w:rPr>
                    <w:t>2</w:t>
                  </w:r>
                </w:p>
              </w:tc>
              <w:tc>
                <w:tcPr>
                  <w:tcW w:w="638" w:type="dxa"/>
                  <w:tcBorders>
                    <w:left w:val="single" w:color="000000" w:sz="2" w:space="0"/>
                  </w:tcBorders>
                  <w:noWrap w:val="0"/>
                  <w:vAlign w:val="center"/>
                </w:tcPr>
                <w:p w14:paraId="78F61BAE">
                  <w:pPr>
                    <w:pStyle w:val="22"/>
                    <w:rPr>
                      <w:rFonts w:ascii="Times New Roman" w:hAnsi="Times New Roman" w:eastAsia="宋体"/>
                      <w:sz w:val="21"/>
                      <w:szCs w:val="21"/>
                    </w:rPr>
                  </w:pPr>
                  <w:r>
                    <w:rPr>
                      <w:rFonts w:ascii="Times New Roman" w:hAnsi="Times New Roman" w:eastAsia="宋体"/>
                      <w:sz w:val="21"/>
                      <w:szCs w:val="21"/>
                    </w:rPr>
                    <w:t>总量控制</w:t>
                  </w:r>
                </w:p>
              </w:tc>
              <w:tc>
                <w:tcPr>
                  <w:tcW w:w="8700" w:type="dxa"/>
                  <w:noWrap w:val="0"/>
                  <w:vAlign w:val="center"/>
                </w:tcPr>
                <w:p w14:paraId="2C71E2A0">
                  <w:pPr>
                    <w:pStyle w:val="22"/>
                    <w:rPr>
                      <w:rFonts w:ascii="Times New Roman" w:hAnsi="Times New Roman" w:eastAsia="宋体"/>
                      <w:sz w:val="21"/>
                      <w:szCs w:val="21"/>
                    </w:rPr>
                  </w:pPr>
                  <w:r>
                    <w:rPr>
                      <w:rFonts w:ascii="Times New Roman" w:hAnsi="Times New Roman" w:eastAsia="宋体"/>
                      <w:sz w:val="21"/>
                      <w:szCs w:val="21"/>
                    </w:rPr>
                    <w:t>1、入驻项目</w:t>
                  </w:r>
                  <w:r>
                    <w:rPr>
                      <w:rFonts w:hint="eastAsia" w:ascii="Times New Roman" w:hAnsi="Times New Roman" w:eastAsia="宋体"/>
                      <w:sz w:val="21"/>
                      <w:szCs w:val="21"/>
                      <w:lang w:eastAsia="zh-CN"/>
                    </w:rPr>
                    <w:t>“</w:t>
                  </w:r>
                  <w:r>
                    <w:rPr>
                      <w:rFonts w:ascii="Times New Roman" w:hAnsi="Times New Roman" w:eastAsia="宋体"/>
                      <w:sz w:val="21"/>
                      <w:szCs w:val="21"/>
                    </w:rPr>
                    <w:t>三废</w:t>
                  </w:r>
                  <w:r>
                    <w:rPr>
                      <w:rFonts w:hint="eastAsia" w:ascii="Times New Roman" w:hAnsi="Times New Roman" w:eastAsia="宋体"/>
                      <w:sz w:val="21"/>
                      <w:szCs w:val="21"/>
                      <w:lang w:eastAsia="zh-CN"/>
                    </w:rPr>
                    <w:t>”</w:t>
                  </w:r>
                  <w:r>
                    <w:rPr>
                      <w:rFonts w:ascii="Times New Roman" w:hAnsi="Times New Roman" w:eastAsia="宋体"/>
                      <w:sz w:val="21"/>
                      <w:szCs w:val="21"/>
                    </w:rPr>
                    <w:t>治理必须有可靠、成熟和经济的处理处置措施，否则应慎重引进；</w:t>
                  </w:r>
                </w:p>
                <w:p w14:paraId="39F31F76">
                  <w:pPr>
                    <w:pStyle w:val="22"/>
                    <w:rPr>
                      <w:rFonts w:ascii="Times New Roman" w:hAnsi="Times New Roman" w:eastAsia="宋体"/>
                      <w:sz w:val="21"/>
                      <w:szCs w:val="21"/>
                    </w:rPr>
                  </w:pPr>
                  <w:r>
                    <w:rPr>
                      <w:rFonts w:ascii="Times New Roman" w:hAnsi="Times New Roman" w:eastAsia="宋体"/>
                      <w:sz w:val="21"/>
                      <w:szCs w:val="21"/>
                    </w:rPr>
                    <w:t>2、针对无大气环境容量的污染物，新建项目的该项污染物排放指标必须在提高区域内现有工业污染负荷消减量或城市污染负荷消减量中调剂；</w:t>
                  </w:r>
                </w:p>
                <w:p w14:paraId="4BAD5555">
                  <w:pPr>
                    <w:pStyle w:val="22"/>
                    <w:rPr>
                      <w:rFonts w:ascii="Times New Roman" w:hAnsi="Times New Roman" w:eastAsia="宋体"/>
                      <w:sz w:val="21"/>
                      <w:szCs w:val="21"/>
                    </w:rPr>
                  </w:pPr>
                  <w:r>
                    <w:rPr>
                      <w:rFonts w:ascii="Times New Roman" w:hAnsi="Times New Roman" w:eastAsia="宋体"/>
                      <w:sz w:val="21"/>
                      <w:szCs w:val="21"/>
                    </w:rPr>
                    <w:t>3、生物基产业前端产品L-乳酸最大允许规模为13.65万吨/年；如集聚区限制屠宰企业入驻，L-乳酸最大允许规模可为23.27万吨/年。</w:t>
                  </w:r>
                </w:p>
              </w:tc>
              <w:tc>
                <w:tcPr>
                  <w:tcW w:w="2762" w:type="dxa"/>
                  <w:noWrap w:val="0"/>
                  <w:vAlign w:val="center"/>
                </w:tcPr>
                <w:p w14:paraId="25E60903">
                  <w:pPr>
                    <w:pStyle w:val="22"/>
                    <w:rPr>
                      <w:rFonts w:ascii="Times New Roman" w:hAnsi="Times New Roman" w:eastAsia="宋体"/>
                      <w:sz w:val="21"/>
                      <w:szCs w:val="21"/>
                    </w:rPr>
                  </w:pPr>
                  <w:r>
                    <w:rPr>
                      <w:rFonts w:hint="eastAsia" w:ascii="Times New Roman" w:hAnsi="Times New Roman" w:eastAsia="宋体"/>
                      <w:sz w:val="21"/>
                      <w:szCs w:val="21"/>
                      <w:lang w:eastAsia="zh-CN"/>
                    </w:rPr>
                    <w:t>本次评价提出的环保措施，均为成熟、经济、可靠的措施；项目污染物排放指标从区域内进行消减</w:t>
                  </w:r>
                </w:p>
              </w:tc>
              <w:tc>
                <w:tcPr>
                  <w:tcW w:w="650" w:type="dxa"/>
                  <w:noWrap w:val="0"/>
                  <w:vAlign w:val="center"/>
                </w:tcPr>
                <w:p w14:paraId="2FC18ECB">
                  <w:pPr>
                    <w:pStyle w:val="22"/>
                    <w:rPr>
                      <w:rFonts w:ascii="Times New Roman" w:hAnsi="Times New Roman" w:eastAsia="宋体"/>
                      <w:sz w:val="21"/>
                      <w:szCs w:val="21"/>
                    </w:rPr>
                  </w:pPr>
                  <w:r>
                    <w:rPr>
                      <w:rFonts w:hint="eastAsia" w:ascii="Times New Roman" w:hAnsi="Times New Roman" w:eastAsia="宋体"/>
                      <w:sz w:val="21"/>
                      <w:szCs w:val="21"/>
                      <w:lang w:eastAsia="zh-CN"/>
                    </w:rPr>
                    <w:t>相符</w:t>
                  </w:r>
                </w:p>
              </w:tc>
            </w:tr>
            <w:tr w14:paraId="23778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374" w:type="dxa"/>
                  <w:tcBorders>
                    <w:right w:val="single" w:color="000000" w:sz="2" w:space="0"/>
                  </w:tcBorders>
                  <w:noWrap w:val="0"/>
                  <w:vAlign w:val="center"/>
                </w:tcPr>
                <w:p w14:paraId="3182E623">
                  <w:pPr>
                    <w:pStyle w:val="22"/>
                    <w:rPr>
                      <w:rFonts w:hint="eastAsia" w:ascii="Times New Roman" w:hAnsi="Times New Roman" w:eastAsia="宋体"/>
                      <w:sz w:val="21"/>
                      <w:szCs w:val="21"/>
                    </w:rPr>
                  </w:pPr>
                  <w:r>
                    <w:rPr>
                      <w:rFonts w:hint="eastAsia" w:ascii="Times New Roman" w:hAnsi="Times New Roman" w:eastAsia="宋体"/>
                      <w:sz w:val="21"/>
                      <w:szCs w:val="21"/>
                    </w:rPr>
                    <w:t>3</w:t>
                  </w:r>
                </w:p>
              </w:tc>
              <w:tc>
                <w:tcPr>
                  <w:tcW w:w="638" w:type="dxa"/>
                  <w:tcBorders>
                    <w:left w:val="single" w:color="000000" w:sz="2" w:space="0"/>
                  </w:tcBorders>
                  <w:noWrap w:val="0"/>
                  <w:vAlign w:val="center"/>
                </w:tcPr>
                <w:p w14:paraId="00546B06">
                  <w:pPr>
                    <w:pStyle w:val="22"/>
                    <w:rPr>
                      <w:rFonts w:hint="eastAsia" w:ascii="Times New Roman" w:hAnsi="Times New Roman" w:eastAsia="宋体"/>
                      <w:sz w:val="21"/>
                      <w:szCs w:val="21"/>
                    </w:rPr>
                  </w:pPr>
                  <w:r>
                    <w:rPr>
                      <w:rFonts w:hint="eastAsia" w:ascii="Times New Roman" w:hAnsi="Times New Roman" w:eastAsia="宋体"/>
                      <w:sz w:val="21"/>
                      <w:szCs w:val="21"/>
                    </w:rPr>
                    <w:t>投资强度</w:t>
                  </w:r>
                </w:p>
              </w:tc>
              <w:tc>
                <w:tcPr>
                  <w:tcW w:w="8700" w:type="dxa"/>
                  <w:noWrap w:val="0"/>
                  <w:vAlign w:val="center"/>
                </w:tcPr>
                <w:p w14:paraId="75D6472A">
                  <w:pPr>
                    <w:pStyle w:val="22"/>
                    <w:rPr>
                      <w:rFonts w:hint="eastAsia" w:ascii="Times New Roman" w:hAnsi="Times New Roman" w:eastAsia="宋体"/>
                      <w:sz w:val="21"/>
                      <w:szCs w:val="21"/>
                    </w:rPr>
                  </w:pPr>
                  <w:r>
                    <w:rPr>
                      <w:rFonts w:hint="eastAsia" w:ascii="Times New Roman" w:hAnsi="Times New Roman" w:eastAsia="宋体"/>
                      <w:sz w:val="21"/>
                      <w:szCs w:val="21"/>
                    </w:rPr>
                    <w:t>满足国土资发【2008】24号文《关于发布和实施《工业项目建设用地控制指标》的通知》的要求及濮阳市相关要求。</w:t>
                  </w:r>
                </w:p>
              </w:tc>
              <w:tc>
                <w:tcPr>
                  <w:tcW w:w="2762" w:type="dxa"/>
                  <w:noWrap w:val="0"/>
                  <w:vAlign w:val="center"/>
                </w:tcPr>
                <w:p w14:paraId="6E72CE5E">
                  <w:pPr>
                    <w:pStyle w:val="22"/>
                    <w:rPr>
                      <w:rFonts w:hint="default" w:ascii="Times New Roman" w:hAnsi="Times New Roman" w:eastAsia="宋体"/>
                      <w:sz w:val="21"/>
                      <w:szCs w:val="21"/>
                      <w:lang w:val="en-US" w:eastAsia="zh-CN"/>
                    </w:rPr>
                  </w:pPr>
                  <w:r>
                    <w:rPr>
                      <w:rFonts w:hint="eastAsia" w:ascii="Times New Roman" w:hAnsi="Times New Roman" w:eastAsia="宋体"/>
                      <w:sz w:val="21"/>
                      <w:szCs w:val="21"/>
                      <w:lang w:eastAsia="zh-CN"/>
                    </w:rPr>
                    <w:t>本项目总投资</w:t>
                  </w:r>
                  <w:r>
                    <w:rPr>
                      <w:rFonts w:hint="eastAsia" w:ascii="Times New Roman" w:hAnsi="Times New Roman" w:eastAsia="宋体"/>
                      <w:sz w:val="21"/>
                      <w:szCs w:val="21"/>
                      <w:lang w:val="en-US" w:eastAsia="zh-CN"/>
                    </w:rPr>
                    <w:t>63000万</w:t>
                  </w:r>
                  <w:r>
                    <w:rPr>
                      <w:rFonts w:hint="eastAsia"/>
                      <w:sz w:val="21"/>
                      <w:szCs w:val="21"/>
                      <w:lang w:val="en-US" w:eastAsia="zh-CN"/>
                    </w:rPr>
                    <w:t>元，</w:t>
                  </w:r>
                  <w:r>
                    <w:rPr>
                      <w:rFonts w:hint="eastAsia"/>
                      <w:sz w:val="21"/>
                      <w:szCs w:val="21"/>
                      <w:highlight w:val="none"/>
                      <w:lang w:val="en-US" w:eastAsia="zh-CN"/>
                    </w:rPr>
                    <w:t>投资强度约1050万元/亩</w:t>
                  </w:r>
                </w:p>
              </w:tc>
              <w:tc>
                <w:tcPr>
                  <w:tcW w:w="650" w:type="dxa"/>
                  <w:noWrap w:val="0"/>
                  <w:vAlign w:val="center"/>
                </w:tcPr>
                <w:p w14:paraId="03E516B4">
                  <w:pPr>
                    <w:pStyle w:val="22"/>
                    <w:rPr>
                      <w:rFonts w:hint="eastAsia" w:ascii="Times New Roman" w:hAnsi="Times New Roman" w:eastAsia="宋体"/>
                      <w:sz w:val="21"/>
                      <w:szCs w:val="21"/>
                    </w:rPr>
                  </w:pPr>
                  <w:r>
                    <w:rPr>
                      <w:rFonts w:hint="eastAsia" w:ascii="Times New Roman" w:hAnsi="Times New Roman" w:eastAsia="宋体"/>
                      <w:sz w:val="21"/>
                      <w:szCs w:val="21"/>
                      <w:lang w:eastAsia="zh-CN"/>
                    </w:rPr>
                    <w:t>相符</w:t>
                  </w:r>
                </w:p>
              </w:tc>
            </w:tr>
            <w:tr w14:paraId="425E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9" w:hRule="atLeast"/>
              </w:trPr>
              <w:tc>
                <w:tcPr>
                  <w:tcW w:w="374" w:type="dxa"/>
                  <w:tcBorders>
                    <w:right w:val="single" w:color="000000" w:sz="2" w:space="0"/>
                  </w:tcBorders>
                  <w:noWrap w:val="0"/>
                  <w:vAlign w:val="center"/>
                </w:tcPr>
                <w:p w14:paraId="5310ED25">
                  <w:pPr>
                    <w:keepNext w:val="0"/>
                    <w:keepLines w:val="0"/>
                    <w:pageBreakBefore w:val="0"/>
                    <w:widowControl/>
                    <w:kinsoku/>
                    <w:wordWrap/>
                    <w:overflowPunct/>
                    <w:topLinePunct w:val="0"/>
                    <w:autoSpaceDE/>
                    <w:autoSpaceDN/>
                    <w:bidi w:val="0"/>
                    <w:adjustRightInd/>
                    <w:snapToGrid/>
                    <w:spacing w:line="360" w:lineRule="exact"/>
                    <w:ind w:firstLine="0" w:firstLineChars="0"/>
                    <w:textAlignment w:val="auto"/>
                    <w:rPr>
                      <w:rFonts w:hint="eastAsia" w:eastAsia="宋体"/>
                      <w:lang w:eastAsia="zh-CN"/>
                    </w:rPr>
                  </w:pPr>
                  <w:r>
                    <w:rPr>
                      <w:rFonts w:hint="eastAsia"/>
                      <w:lang w:val="en-US" w:eastAsia="zh-CN"/>
                    </w:rPr>
                    <w:t>4</w:t>
                  </w:r>
                </w:p>
              </w:tc>
              <w:tc>
                <w:tcPr>
                  <w:tcW w:w="638" w:type="dxa"/>
                  <w:tcBorders>
                    <w:left w:val="single" w:color="000000" w:sz="2" w:space="0"/>
                  </w:tcBorders>
                  <w:noWrap w:val="0"/>
                  <w:vAlign w:val="center"/>
                </w:tcPr>
                <w:p w14:paraId="40A0C82C">
                  <w:pPr>
                    <w:pStyle w:val="22"/>
                    <w:rPr>
                      <w:rFonts w:ascii="Times New Roman" w:hAnsi="Times New Roman" w:eastAsia="宋体" w:cs="Times New Roman"/>
                      <w:sz w:val="21"/>
                      <w:szCs w:val="21"/>
                    </w:rPr>
                  </w:pPr>
                  <w:r>
                    <w:rPr>
                      <w:rFonts w:ascii="Times New Roman" w:hAnsi="Times New Roman" w:eastAsia="宋体" w:cs="Times New Roman"/>
                      <w:sz w:val="21"/>
                      <w:szCs w:val="21"/>
                    </w:rPr>
                    <w:t>鼓励项目</w:t>
                  </w:r>
                </w:p>
              </w:tc>
              <w:tc>
                <w:tcPr>
                  <w:tcW w:w="8700" w:type="dxa"/>
                  <w:noWrap w:val="0"/>
                  <w:vAlign w:val="center"/>
                </w:tcPr>
                <w:p w14:paraId="06EBB605">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一般要求：</w:t>
                  </w:r>
                </w:p>
                <w:p w14:paraId="208129D5">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1、符合集聚区主导产业要求；</w:t>
                  </w:r>
                </w:p>
                <w:p w14:paraId="43B23115">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2、有利于延伸集聚区产业链条；</w:t>
                  </w:r>
                </w:p>
                <w:p w14:paraId="352644B4">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3、高新技术产业、废物综合利用、市政基础设施、有利于节能减排的技术改造项目；</w:t>
                  </w:r>
                </w:p>
                <w:p w14:paraId="2729A4B0">
                  <w:pPr>
                    <w:pStyle w:val="22"/>
                    <w:rPr>
                      <w:rFonts w:ascii="Times New Roman" w:hAnsi="Times New Roman" w:eastAsia="宋体" w:cs="Times New Roman"/>
                      <w:sz w:val="21"/>
                      <w:szCs w:val="21"/>
                    </w:rPr>
                  </w:pPr>
                  <w:r>
                    <w:rPr>
                      <w:rFonts w:ascii="Times New Roman" w:hAnsi="Times New Roman" w:eastAsia="宋体" w:cs="Times New Roman"/>
                      <w:sz w:val="21"/>
                      <w:szCs w:val="21"/>
                    </w:rPr>
                    <w:t>主要发展：</w:t>
                  </w:r>
                </w:p>
                <w:p w14:paraId="622AB518">
                  <w:pPr>
                    <w:pStyle w:val="22"/>
                    <w:rPr>
                      <w:rFonts w:ascii="Times New Roman" w:hAnsi="Times New Roman" w:eastAsia="宋体" w:cs="Times New Roman"/>
                      <w:sz w:val="21"/>
                      <w:szCs w:val="21"/>
                    </w:rPr>
                  </w:pPr>
                  <w:r>
                    <w:rPr>
                      <w:rFonts w:ascii="Times New Roman" w:hAnsi="Times New Roman" w:eastAsia="宋体" w:cs="Times New Roman"/>
                      <w:sz w:val="21"/>
                      <w:szCs w:val="21"/>
                    </w:rPr>
                    <w:t>（一）装备制造业项目</w:t>
                  </w:r>
                </w:p>
                <w:p w14:paraId="678A58B9">
                  <w:pPr>
                    <w:pStyle w:val="22"/>
                    <w:rPr>
                      <w:rFonts w:ascii="Times New Roman" w:hAnsi="Times New Roman" w:eastAsia="宋体" w:cs="Times New Roman"/>
                      <w:sz w:val="21"/>
                      <w:szCs w:val="21"/>
                    </w:rPr>
                  </w:pPr>
                  <w:r>
                    <w:rPr>
                      <w:rFonts w:ascii="Times New Roman" w:hAnsi="Times New Roman" w:eastAsia="宋体" w:cs="Times New Roman"/>
                      <w:sz w:val="21"/>
                      <w:szCs w:val="21"/>
                    </w:rPr>
                    <w:t>1、依托现有龙头企业，以大力发展高端智能装备制造产业为目标，重点培育一批规模较大、技术领先、研制能力较强的装备制造企业，推动装备制造产业由低端的设备制造向精密、高端产业发展；</w:t>
                  </w:r>
                </w:p>
                <w:p w14:paraId="6F9CB555">
                  <w:pPr>
                    <w:pStyle w:val="22"/>
                    <w:rPr>
                      <w:rFonts w:hint="eastAsia"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b/>
                      <w:bCs/>
                      <w:sz w:val="21"/>
                      <w:szCs w:val="21"/>
                      <w:u w:val="single"/>
                    </w:rPr>
                    <w:t>《产业结构调整指导目录</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20</w:t>
                  </w:r>
                  <w:r>
                    <w:rPr>
                      <w:rFonts w:hint="eastAsia" w:cs="Times New Roman"/>
                      <w:b/>
                      <w:bCs/>
                      <w:sz w:val="21"/>
                      <w:szCs w:val="21"/>
                      <w:u w:val="single"/>
                      <w:lang w:val="en-US" w:eastAsia="zh-CN"/>
                    </w:rPr>
                    <w:t>24年本</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w:t>
                  </w:r>
                  <w:r>
                    <w:rPr>
                      <w:rFonts w:hint="eastAsia" w:ascii="Times New Roman" w:hAnsi="Times New Roman" w:eastAsia="宋体" w:cs="Times New Roman"/>
                      <w:sz w:val="21"/>
                      <w:szCs w:val="21"/>
                    </w:rPr>
                    <w:t>等国家产业政策中符合规划调整方案中食品加工业发展方向的鼓励类项目。</w:t>
                  </w:r>
                </w:p>
                <w:p w14:paraId="57A14B73">
                  <w:pPr>
                    <w:pStyle w:val="22"/>
                    <w:rPr>
                      <w:rFonts w:ascii="Times New Roman" w:hAnsi="Times New Roman" w:eastAsia="宋体" w:cs="Times New Roman"/>
                      <w:sz w:val="21"/>
                      <w:szCs w:val="21"/>
                    </w:rPr>
                  </w:pPr>
                  <w:r>
                    <w:rPr>
                      <w:rFonts w:ascii="Times New Roman" w:hAnsi="Times New Roman" w:eastAsia="宋体" w:cs="Times New Roman"/>
                      <w:sz w:val="21"/>
                      <w:szCs w:val="21"/>
                    </w:rPr>
                    <w:t>（二）食品产业项目</w:t>
                  </w:r>
                </w:p>
                <w:p w14:paraId="0DF95B65">
                  <w:pPr>
                    <w:pStyle w:val="22"/>
                    <w:rPr>
                      <w:rFonts w:ascii="Times New Roman" w:hAnsi="Times New Roman" w:eastAsia="宋体" w:cs="Times New Roman"/>
                      <w:sz w:val="21"/>
                      <w:szCs w:val="21"/>
                    </w:rPr>
                  </w:pPr>
                  <w:r>
                    <w:rPr>
                      <w:rFonts w:ascii="Times New Roman" w:hAnsi="Times New Roman" w:eastAsia="宋体" w:cs="Times New Roman"/>
                      <w:sz w:val="21"/>
                      <w:szCs w:val="21"/>
                    </w:rPr>
                    <w:t>1、依托现有龙头企业，拉长产业链产品；</w:t>
                  </w:r>
                </w:p>
                <w:p w14:paraId="3AA83A59">
                  <w:pPr>
                    <w:pStyle w:val="22"/>
                    <w:rPr>
                      <w:rFonts w:ascii="Times New Roman" w:hAnsi="Times New Roman" w:eastAsia="宋体" w:cs="Times New Roman"/>
                      <w:sz w:val="21"/>
                      <w:szCs w:val="21"/>
                    </w:rPr>
                  </w:pPr>
                  <w:r>
                    <w:rPr>
                      <w:rFonts w:ascii="Times New Roman" w:hAnsi="Times New Roman" w:eastAsia="宋体" w:cs="Times New Roman"/>
                      <w:sz w:val="21"/>
                      <w:szCs w:val="21"/>
                    </w:rPr>
                    <w:t>2</w:t>
                  </w:r>
                  <w:r>
                    <w:rPr>
                      <w:rFonts w:hint="eastAsia" w:ascii="Times New Roman" w:hAnsi="Times New Roman" w:eastAsia="宋体" w:cs="Times New Roman"/>
                      <w:sz w:val="21"/>
                      <w:szCs w:val="21"/>
                    </w:rPr>
                    <w:t>、</w:t>
                  </w:r>
                  <w:r>
                    <w:rPr>
                      <w:rFonts w:hint="eastAsia" w:ascii="Times New Roman" w:hAnsi="Times New Roman" w:eastAsia="宋体" w:cs="Times New Roman"/>
                      <w:b/>
                      <w:bCs/>
                      <w:sz w:val="21"/>
                      <w:szCs w:val="21"/>
                      <w:u w:val="single"/>
                    </w:rPr>
                    <w:t>《产业结构调整指导目录</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20</w:t>
                  </w:r>
                  <w:r>
                    <w:rPr>
                      <w:rFonts w:hint="eastAsia" w:cs="Times New Roman"/>
                      <w:b/>
                      <w:bCs/>
                      <w:sz w:val="21"/>
                      <w:szCs w:val="21"/>
                      <w:u w:val="single"/>
                      <w:lang w:val="en-US" w:eastAsia="zh-CN"/>
                    </w:rPr>
                    <w:t>24年本</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w:t>
                  </w:r>
                  <w:r>
                    <w:rPr>
                      <w:rFonts w:hint="eastAsia" w:ascii="Times New Roman" w:hAnsi="Times New Roman" w:eastAsia="宋体" w:cs="Times New Roman"/>
                      <w:sz w:val="21"/>
                      <w:szCs w:val="21"/>
                    </w:rPr>
                    <w:t>等国家产业政策中符合规划调整方案中食品加工业发展方向的鼓励类项目</w:t>
                  </w:r>
                  <w:r>
                    <w:rPr>
                      <w:rFonts w:ascii="Times New Roman" w:hAnsi="Times New Roman" w:eastAsia="宋体" w:cs="Times New Roman"/>
                      <w:sz w:val="21"/>
                      <w:szCs w:val="21"/>
                    </w:rPr>
                    <w:t>。</w:t>
                  </w:r>
                </w:p>
                <w:p w14:paraId="69C79FC7">
                  <w:pPr>
                    <w:pStyle w:val="22"/>
                    <w:rPr>
                      <w:rFonts w:ascii="Times New Roman" w:hAnsi="Times New Roman" w:eastAsia="宋体" w:cs="Times New Roman"/>
                      <w:sz w:val="21"/>
                      <w:szCs w:val="21"/>
                    </w:rPr>
                  </w:pPr>
                  <w:r>
                    <w:rPr>
                      <w:rFonts w:ascii="Times New Roman" w:hAnsi="Times New Roman" w:eastAsia="宋体" w:cs="Times New Roman"/>
                      <w:sz w:val="21"/>
                      <w:szCs w:val="21"/>
                    </w:rPr>
                    <w:t>（三）生物</w:t>
                  </w:r>
                  <w:r>
                    <w:rPr>
                      <w:rFonts w:hint="eastAsia" w:ascii="Times New Roman" w:hAnsi="Times New Roman" w:eastAsia="宋体" w:cs="Times New Roman"/>
                      <w:sz w:val="21"/>
                      <w:szCs w:val="21"/>
                    </w:rPr>
                    <w:t>制造</w:t>
                  </w:r>
                  <w:r>
                    <w:rPr>
                      <w:rFonts w:ascii="Times New Roman" w:hAnsi="Times New Roman" w:eastAsia="宋体" w:cs="Times New Roman"/>
                      <w:sz w:val="21"/>
                      <w:szCs w:val="21"/>
                    </w:rPr>
                    <w:t>产业</w:t>
                  </w:r>
                </w:p>
                <w:p w14:paraId="2E32089B">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1、依托现有龙头企业，鼓励发展淀/粉秸秆-乳酸-聚乳酸-聚乳酸制品。</w:t>
                  </w:r>
                </w:p>
                <w:p w14:paraId="6390292E">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2、</w:t>
                  </w:r>
                  <w:r>
                    <w:rPr>
                      <w:rFonts w:hint="eastAsia" w:ascii="Times New Roman" w:hAnsi="Times New Roman" w:eastAsia="宋体" w:cs="Times New Roman"/>
                      <w:b/>
                      <w:bCs/>
                      <w:sz w:val="21"/>
                      <w:szCs w:val="21"/>
                      <w:u w:val="single"/>
                    </w:rPr>
                    <w:t>《产业结构调整指导目录</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20</w:t>
                  </w:r>
                  <w:r>
                    <w:rPr>
                      <w:rFonts w:hint="eastAsia" w:cs="Times New Roman"/>
                      <w:b/>
                      <w:bCs/>
                      <w:sz w:val="21"/>
                      <w:szCs w:val="21"/>
                      <w:u w:val="single"/>
                      <w:lang w:val="en-US" w:eastAsia="zh-CN"/>
                    </w:rPr>
                    <w:t>24年本</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w:t>
                  </w:r>
                  <w:r>
                    <w:rPr>
                      <w:rFonts w:hint="eastAsia" w:ascii="Times New Roman" w:hAnsi="Times New Roman" w:eastAsia="宋体" w:cs="Times New Roman"/>
                      <w:sz w:val="21"/>
                      <w:szCs w:val="21"/>
                    </w:rPr>
                    <w:t>等国家产业政策中符合规划调整方案中生物制造产业发展方向和鼓励类项目。</w:t>
                  </w:r>
                </w:p>
                <w:p w14:paraId="3947C802">
                  <w:pPr>
                    <w:pStyle w:val="22"/>
                    <w:rPr>
                      <w:rFonts w:ascii="Times New Roman" w:hAnsi="Times New Roman" w:eastAsia="宋体" w:cs="Times New Roman"/>
                      <w:sz w:val="21"/>
                      <w:szCs w:val="21"/>
                    </w:rPr>
                  </w:pPr>
                  <w:r>
                    <w:rPr>
                      <w:rFonts w:ascii="Times New Roman" w:hAnsi="Times New Roman" w:eastAsia="宋体" w:cs="Times New Roman"/>
                      <w:sz w:val="21"/>
                      <w:szCs w:val="21"/>
                    </w:rPr>
                    <w:t>（四）其他</w:t>
                  </w:r>
                </w:p>
                <w:p w14:paraId="0D911DE8">
                  <w:pPr>
                    <w:pStyle w:val="22"/>
                    <w:rPr>
                      <w:rFonts w:ascii="Times New Roman" w:hAnsi="Times New Roman" w:eastAsia="宋体" w:cs="Times New Roman"/>
                      <w:sz w:val="21"/>
                      <w:szCs w:val="21"/>
                    </w:rPr>
                  </w:pPr>
                  <w:r>
                    <w:rPr>
                      <w:rFonts w:ascii="Times New Roman" w:hAnsi="Times New Roman" w:eastAsia="宋体" w:cs="Times New Roman"/>
                      <w:sz w:val="21"/>
                      <w:szCs w:val="21"/>
                    </w:rPr>
                    <w:t>1、现有企业利用先进适用技术进行循环经济改造的项目；</w:t>
                  </w:r>
                </w:p>
                <w:p w14:paraId="2459C136">
                  <w:pPr>
                    <w:pStyle w:val="22"/>
                    <w:rPr>
                      <w:rFonts w:ascii="Times New Roman" w:hAnsi="Times New Roman" w:eastAsia="宋体" w:cs="Times New Roman"/>
                      <w:sz w:val="21"/>
                      <w:szCs w:val="21"/>
                    </w:rPr>
                  </w:pPr>
                  <w:r>
                    <w:rPr>
                      <w:rFonts w:ascii="Times New Roman" w:hAnsi="Times New Roman" w:eastAsia="宋体" w:cs="Times New Roman"/>
                      <w:sz w:val="21"/>
                      <w:szCs w:val="21"/>
                    </w:rPr>
                    <w:t>2、有利于区内企业间循环经济的项目。</w:t>
                  </w:r>
                </w:p>
              </w:tc>
              <w:tc>
                <w:tcPr>
                  <w:tcW w:w="2762" w:type="dxa"/>
                  <w:noWrap w:val="0"/>
                  <w:vAlign w:val="center"/>
                </w:tcPr>
                <w:p w14:paraId="06FE3989">
                  <w:pPr>
                    <w:pStyle w:val="22"/>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项目为</w:t>
                  </w:r>
                  <w:r>
                    <w:rPr>
                      <w:rFonts w:hint="eastAsia" w:ascii="Times New Roman" w:hAnsi="Times New Roman" w:eastAsia="宋体" w:cs="Times New Roman"/>
                      <w:sz w:val="21"/>
                      <w:szCs w:val="21"/>
                      <w:lang w:val="en-US" w:eastAsia="zh-CN"/>
                    </w:rPr>
                    <w:t>废旧轮胎综合</w:t>
                  </w:r>
                  <w:r>
                    <w:rPr>
                      <w:rFonts w:hint="eastAsia" w:ascii="Times New Roman" w:hAnsi="Times New Roman" w:eastAsia="宋体" w:cs="Times New Roman"/>
                      <w:sz w:val="21"/>
                      <w:szCs w:val="21"/>
                      <w:lang w:eastAsia="zh-CN"/>
                    </w:rPr>
                    <w:t>利用项目，属于所列鼓励类项目</w:t>
                  </w:r>
                </w:p>
              </w:tc>
              <w:tc>
                <w:tcPr>
                  <w:tcW w:w="650" w:type="dxa"/>
                  <w:noWrap w:val="0"/>
                  <w:vAlign w:val="center"/>
                </w:tcPr>
                <w:p w14:paraId="2E62BDAF">
                  <w:pPr>
                    <w:pStyle w:val="22"/>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相符</w:t>
                  </w:r>
                </w:p>
              </w:tc>
            </w:tr>
            <w:tr w14:paraId="09C1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3" w:hRule="atLeast"/>
              </w:trPr>
              <w:tc>
                <w:tcPr>
                  <w:tcW w:w="374" w:type="dxa"/>
                  <w:tcBorders>
                    <w:right w:val="single" w:color="000000" w:sz="2" w:space="0"/>
                  </w:tcBorders>
                  <w:noWrap w:val="0"/>
                  <w:vAlign w:val="center"/>
                </w:tcPr>
                <w:p w14:paraId="410C1D38">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eastAsia="宋体"/>
                      <w:lang w:eastAsia="zh-CN"/>
                    </w:rPr>
                  </w:pPr>
                  <w:r>
                    <w:rPr>
                      <w:rFonts w:hint="eastAsia"/>
                      <w:lang w:val="en-US" w:eastAsia="zh-CN"/>
                    </w:rPr>
                    <w:t>5</w:t>
                  </w:r>
                </w:p>
              </w:tc>
              <w:tc>
                <w:tcPr>
                  <w:tcW w:w="638" w:type="dxa"/>
                  <w:tcBorders>
                    <w:left w:val="single" w:color="000000" w:sz="2" w:space="0"/>
                  </w:tcBorders>
                  <w:noWrap w:val="0"/>
                  <w:vAlign w:val="center"/>
                </w:tcPr>
                <w:p w14:paraId="147F8EF7">
                  <w:pPr>
                    <w:pStyle w:val="22"/>
                    <w:rPr>
                      <w:rFonts w:ascii="Times New Roman" w:hAnsi="Times New Roman" w:eastAsia="宋体" w:cs="Times New Roman"/>
                      <w:sz w:val="21"/>
                      <w:szCs w:val="21"/>
                    </w:rPr>
                  </w:pPr>
                  <w:r>
                    <w:rPr>
                      <w:rFonts w:ascii="Times New Roman" w:hAnsi="Times New Roman" w:eastAsia="宋体" w:cs="Times New Roman"/>
                      <w:sz w:val="21"/>
                      <w:szCs w:val="21"/>
                    </w:rPr>
                    <w:t>限制发展</w:t>
                  </w:r>
                </w:p>
              </w:tc>
              <w:tc>
                <w:tcPr>
                  <w:tcW w:w="8700" w:type="dxa"/>
                  <w:noWrap w:val="0"/>
                  <w:vAlign w:val="center"/>
                </w:tcPr>
                <w:p w14:paraId="530FD661">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装备制造业限制类项目：</w:t>
                  </w:r>
                  <w:r>
                    <w:rPr>
                      <w:rFonts w:hint="eastAsia" w:ascii="Times New Roman" w:hAnsi="Times New Roman" w:eastAsia="宋体" w:cs="Times New Roman"/>
                      <w:b/>
                      <w:bCs/>
                      <w:sz w:val="21"/>
                      <w:szCs w:val="21"/>
                      <w:u w:val="single"/>
                    </w:rPr>
                    <w:t>《产业结构调整指导目录</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20</w:t>
                  </w:r>
                  <w:r>
                    <w:rPr>
                      <w:rFonts w:hint="eastAsia" w:cs="Times New Roman"/>
                      <w:b/>
                      <w:bCs/>
                      <w:sz w:val="21"/>
                      <w:szCs w:val="21"/>
                      <w:u w:val="single"/>
                      <w:lang w:val="en-US" w:eastAsia="zh-CN"/>
                    </w:rPr>
                    <w:t>24年本</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w:t>
                  </w:r>
                  <w:r>
                    <w:rPr>
                      <w:rFonts w:hint="eastAsia" w:ascii="Times New Roman" w:hAnsi="Times New Roman" w:eastAsia="宋体" w:cs="Times New Roman"/>
                      <w:sz w:val="21"/>
                      <w:szCs w:val="21"/>
                    </w:rPr>
                    <w:t>等国家产业政策中属于装备制造业的限制类项目；</w:t>
                  </w:r>
                </w:p>
                <w:p w14:paraId="440656DF">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食品加工业限制类项目：</w:t>
                  </w:r>
                  <w:r>
                    <w:rPr>
                      <w:rFonts w:hint="eastAsia" w:ascii="Times New Roman" w:hAnsi="Times New Roman" w:eastAsia="宋体" w:cs="Times New Roman"/>
                      <w:b/>
                      <w:bCs/>
                      <w:sz w:val="21"/>
                      <w:szCs w:val="21"/>
                      <w:u w:val="single"/>
                    </w:rPr>
                    <w:t>《产业结构调整指导目录</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20</w:t>
                  </w:r>
                  <w:r>
                    <w:rPr>
                      <w:rFonts w:hint="eastAsia" w:cs="Times New Roman"/>
                      <w:b/>
                      <w:bCs/>
                      <w:sz w:val="21"/>
                      <w:szCs w:val="21"/>
                      <w:u w:val="single"/>
                      <w:lang w:val="en-US" w:eastAsia="zh-CN"/>
                    </w:rPr>
                    <w:t>24年本</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sz w:val="21"/>
                      <w:szCs w:val="21"/>
                      <w:u w:val="single"/>
                    </w:rPr>
                    <w:t>》</w:t>
                  </w:r>
                  <w:r>
                    <w:rPr>
                      <w:rFonts w:hint="eastAsia" w:ascii="Times New Roman" w:hAnsi="Times New Roman" w:eastAsia="宋体" w:cs="Times New Roman"/>
                      <w:sz w:val="21"/>
                      <w:szCs w:val="21"/>
                    </w:rPr>
                    <w:t>等国家产业政策中属于食品加工业的限制类项目；</w:t>
                  </w:r>
                </w:p>
                <w:p w14:paraId="681D61CD">
                  <w:pPr>
                    <w:tabs>
                      <w:tab w:val="left" w:pos="426"/>
                    </w:tabs>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生物制造产业限制类项目：结合水资源承载力分析，限制生物制造产业前端产品L-乳酸规模；2020年南乐县中心城区（包括产业集聚区）需水量预测为10.34万</w:t>
                  </w:r>
                  <w:r>
                    <w:rPr>
                      <w:rFonts w:hint="eastAsia" w:ascii="Times New Roman" w:hAnsi="Times New Roman" w:eastAsia="宋体"/>
                      <w:lang w:val="en-US" w:eastAsia="zh-CN"/>
                    </w:rPr>
                    <w:t>m³</w:t>
                  </w:r>
                  <w:r>
                    <w:rPr>
                      <w:rFonts w:hint="eastAsia" w:ascii="Times New Roman" w:hAnsi="Times New Roman" w:eastAsia="宋体" w:cs="Times New Roman"/>
                      <w:sz w:val="21"/>
                      <w:szCs w:val="21"/>
                    </w:rPr>
                    <w:t>/d＜2020年南乐县中心城区可利用水资源量11.2万</w:t>
                  </w:r>
                  <w:r>
                    <w:rPr>
                      <w:rFonts w:hint="eastAsia" w:ascii="Times New Roman" w:hAnsi="Times New Roman" w:eastAsia="宋体"/>
                      <w:lang w:val="en-US" w:eastAsia="zh-CN"/>
                    </w:rPr>
                    <w:t>m³</w:t>
                  </w:r>
                  <w:r>
                    <w:rPr>
                      <w:rFonts w:hint="eastAsia" w:ascii="Times New Roman" w:hAnsi="Times New Roman" w:eastAsia="宋体" w:cs="Times New Roman"/>
                      <w:sz w:val="21"/>
                      <w:szCs w:val="21"/>
                    </w:rPr>
                    <w:t>/d，富余0.86万</w:t>
                  </w:r>
                  <w:r>
                    <w:rPr>
                      <w:rFonts w:hint="eastAsia" w:ascii="Times New Roman" w:hAnsi="Times New Roman" w:eastAsia="宋体"/>
                      <w:lang w:val="en-US" w:eastAsia="zh-CN"/>
                    </w:rPr>
                    <w:t>m³</w:t>
                  </w:r>
                  <w:r>
                    <w:rPr>
                      <w:rFonts w:hint="eastAsia" w:ascii="Times New Roman" w:hAnsi="Times New Roman" w:eastAsia="宋体" w:cs="Times New Roman"/>
                      <w:sz w:val="21"/>
                      <w:szCs w:val="21"/>
                    </w:rPr>
                    <w:t>/d；如果富余水量用来发展玉米淀粉制L-乳酸，集聚区L-乳酸最大允许规模为17.5万吨/年（14.5万吨玉米淀粉制L-乳酸，3万吨玉米秸秆制L-乳酸）；如果富余水量用来发展玉米秸秆制L-乳酸，集聚区L-乳酸最大允许规模为24.3万吨/年（10万吨玉米淀粉制L-乳酸，14.3万吨玉米秸秆制L-乳酸）；</w:t>
                  </w:r>
                </w:p>
                <w:p w14:paraId="11655FA2">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属于</w:t>
                  </w:r>
                  <w:r>
                    <w:rPr>
                      <w:rFonts w:hint="eastAsia" w:ascii="Times New Roman" w:hAnsi="Times New Roman" w:eastAsia="宋体" w:cs="Times New Roman"/>
                      <w:b/>
                      <w:bCs/>
                      <w:sz w:val="21"/>
                      <w:szCs w:val="21"/>
                      <w:u w:val="single"/>
                    </w:rPr>
                    <w:t>《产业结构调整指导目录</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20</w:t>
                  </w:r>
                  <w:r>
                    <w:rPr>
                      <w:rFonts w:hint="eastAsia" w:ascii="Times New Roman" w:hAnsi="Times New Roman" w:eastAsia="宋体" w:cs="Times New Roman"/>
                      <w:b/>
                      <w:bCs/>
                      <w:sz w:val="21"/>
                      <w:szCs w:val="21"/>
                      <w:u w:val="single"/>
                      <w:lang w:val="en-US" w:eastAsia="zh-CN"/>
                    </w:rPr>
                    <w:t>24年本</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w:t>
                  </w:r>
                  <w:r>
                    <w:rPr>
                      <w:rFonts w:hint="eastAsia" w:ascii="Times New Roman" w:hAnsi="Times New Roman" w:eastAsia="宋体" w:cs="Times New Roman"/>
                      <w:sz w:val="21"/>
                      <w:szCs w:val="21"/>
                    </w:rPr>
                    <w:t>等国家产业政策鼓励类和允许类，但不符合功能组团产业定位且用排水量较大的项目；</w:t>
                  </w:r>
                </w:p>
                <w:p w14:paraId="7984A1B2">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属于</w:t>
                  </w:r>
                  <w:r>
                    <w:rPr>
                      <w:rFonts w:hint="eastAsia" w:ascii="Times New Roman" w:hAnsi="Times New Roman" w:eastAsia="宋体" w:cs="Times New Roman"/>
                      <w:b/>
                      <w:bCs/>
                      <w:sz w:val="21"/>
                      <w:szCs w:val="21"/>
                      <w:u w:val="single"/>
                    </w:rPr>
                    <w:t>《产业结构调整指导目录</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20</w:t>
                  </w:r>
                  <w:r>
                    <w:rPr>
                      <w:rFonts w:hint="eastAsia" w:ascii="Times New Roman" w:hAnsi="Times New Roman" w:eastAsia="宋体" w:cs="Times New Roman"/>
                      <w:b/>
                      <w:bCs/>
                      <w:sz w:val="21"/>
                      <w:szCs w:val="21"/>
                      <w:u w:val="single"/>
                      <w:lang w:val="en-US" w:eastAsia="zh-CN"/>
                    </w:rPr>
                    <w:t>24年本</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w:t>
                  </w:r>
                  <w:r>
                    <w:rPr>
                      <w:rFonts w:hint="eastAsia" w:ascii="Times New Roman" w:hAnsi="Times New Roman" w:eastAsia="宋体" w:cs="Times New Roman"/>
                      <w:sz w:val="21"/>
                      <w:szCs w:val="21"/>
                    </w:rPr>
                    <w:t>等国家产业政策鼓励类和允许类，但单位产品能耗、物耗、污染物排放和资源利用等未达到国内同行业先进水平的项目；</w:t>
                  </w:r>
                </w:p>
                <w:p w14:paraId="08817A29">
                  <w:pPr>
                    <w:pStyle w:val="22"/>
                    <w:rPr>
                      <w:rFonts w:ascii="Times New Roman" w:hAnsi="Times New Roman" w:eastAsia="宋体" w:cs="Times New Roman"/>
                      <w:sz w:val="21"/>
                      <w:szCs w:val="21"/>
                    </w:rPr>
                  </w:pPr>
                  <w:r>
                    <w:rPr>
                      <w:rFonts w:hint="eastAsia" w:ascii="Times New Roman" w:hAnsi="Times New Roman" w:eastAsia="宋体" w:cs="Times New Roman"/>
                      <w:sz w:val="21"/>
                      <w:szCs w:val="21"/>
                    </w:rPr>
                    <w:t>6、结合濮阳市环境保护局印发《关于深化建设项目环境影响评价审批制度改革及优化建设项目</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三同时</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rPr>
                    <w:t>管理工作的实施细则（试行）》的通知（濮环[2015]34号）及《河南省环境保护厅关于深化建设项目环境影响评价审批制度改革的实施意见》（豫环【2014】149号）：严格发展燃煤火电项目，发展时应结合南乐县、濮阳市及河南省环保等相关部门意见。</w:t>
                  </w:r>
                </w:p>
              </w:tc>
              <w:tc>
                <w:tcPr>
                  <w:tcW w:w="2762" w:type="dxa"/>
                  <w:noWrap w:val="0"/>
                  <w:vAlign w:val="center"/>
                </w:tcPr>
                <w:p w14:paraId="2A939F60">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项目为</w:t>
                  </w:r>
                  <w:r>
                    <w:rPr>
                      <w:rFonts w:hint="eastAsia" w:ascii="Times New Roman" w:hAnsi="Times New Roman" w:eastAsia="宋体" w:cs="Times New Roman"/>
                      <w:sz w:val="21"/>
                      <w:szCs w:val="21"/>
                      <w:lang w:val="en-US" w:eastAsia="zh-CN"/>
                    </w:rPr>
                    <w:t>废旧轮胎综合</w:t>
                  </w:r>
                  <w:r>
                    <w:rPr>
                      <w:rFonts w:hint="eastAsia" w:ascii="Times New Roman" w:hAnsi="Times New Roman" w:eastAsia="宋体" w:cs="Times New Roman"/>
                      <w:sz w:val="21"/>
                      <w:szCs w:val="21"/>
                      <w:lang w:eastAsia="zh-CN"/>
                    </w:rPr>
                    <w:t>利用项目，不属于所列限制类项目</w:t>
                  </w:r>
                </w:p>
              </w:tc>
              <w:tc>
                <w:tcPr>
                  <w:tcW w:w="650" w:type="dxa"/>
                  <w:noWrap w:val="0"/>
                  <w:vAlign w:val="center"/>
                </w:tcPr>
                <w:p w14:paraId="4D0E8C87">
                  <w:pPr>
                    <w:pStyle w:val="22"/>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eastAsia="zh-CN"/>
                    </w:rPr>
                    <w:t>相符</w:t>
                  </w:r>
                </w:p>
              </w:tc>
            </w:tr>
            <w:tr w14:paraId="0605F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3" w:hRule="atLeast"/>
              </w:trPr>
              <w:tc>
                <w:tcPr>
                  <w:tcW w:w="374" w:type="dxa"/>
                  <w:tcBorders>
                    <w:right w:val="single" w:color="000000" w:sz="2" w:space="0"/>
                  </w:tcBorders>
                  <w:noWrap w:val="0"/>
                  <w:vAlign w:val="center"/>
                </w:tcPr>
                <w:p w14:paraId="33AE2494">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eastAsia="宋体"/>
                      <w:lang w:eastAsia="zh-CN"/>
                    </w:rPr>
                  </w:pPr>
                  <w:r>
                    <w:rPr>
                      <w:rFonts w:hint="eastAsia"/>
                      <w:lang w:val="en-US" w:eastAsia="zh-CN"/>
                    </w:rPr>
                    <w:t>6</w:t>
                  </w:r>
                </w:p>
              </w:tc>
              <w:tc>
                <w:tcPr>
                  <w:tcW w:w="638" w:type="dxa"/>
                  <w:tcBorders>
                    <w:left w:val="single" w:color="000000" w:sz="2" w:space="0"/>
                  </w:tcBorders>
                  <w:noWrap w:val="0"/>
                  <w:vAlign w:val="center"/>
                </w:tcPr>
                <w:p w14:paraId="1E4A821D">
                  <w:pPr>
                    <w:pStyle w:val="22"/>
                    <w:rPr>
                      <w:rFonts w:ascii="Times New Roman" w:hAnsi="Times New Roman" w:eastAsia="宋体" w:cs="Times New Roman"/>
                      <w:sz w:val="21"/>
                      <w:szCs w:val="21"/>
                    </w:rPr>
                  </w:pPr>
                  <w:r>
                    <w:rPr>
                      <w:rFonts w:ascii="Times New Roman" w:hAnsi="Times New Roman" w:eastAsia="宋体" w:cs="Times New Roman"/>
                      <w:sz w:val="21"/>
                      <w:szCs w:val="21"/>
                    </w:rPr>
                    <w:t>禁止项目</w:t>
                  </w:r>
                </w:p>
              </w:tc>
              <w:tc>
                <w:tcPr>
                  <w:tcW w:w="8700" w:type="dxa"/>
                  <w:noWrap w:val="0"/>
                  <w:vAlign w:val="center"/>
                </w:tcPr>
                <w:p w14:paraId="740E6577">
                  <w:pPr>
                    <w:pStyle w:val="22"/>
                    <w:numPr>
                      <w:ilvl w:val="0"/>
                      <w:numId w:val="3"/>
                    </w:numPr>
                    <w:rPr>
                      <w:rFonts w:ascii="Times New Roman" w:hAnsi="Times New Roman" w:eastAsia="宋体" w:cs="Times New Roman"/>
                      <w:sz w:val="21"/>
                      <w:szCs w:val="21"/>
                    </w:rPr>
                  </w:pPr>
                  <w:r>
                    <w:rPr>
                      <w:rFonts w:hint="eastAsia" w:ascii="Times New Roman" w:hAnsi="Times New Roman" w:eastAsia="宋体" w:cs="Times New Roman"/>
                      <w:b/>
                      <w:bCs/>
                      <w:sz w:val="21"/>
                      <w:szCs w:val="21"/>
                      <w:u w:val="single"/>
                    </w:rPr>
                    <w:t>《产业结构调整指导目录</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20</w:t>
                  </w:r>
                  <w:r>
                    <w:rPr>
                      <w:rFonts w:hint="eastAsia" w:ascii="Times New Roman" w:hAnsi="Times New Roman" w:eastAsia="宋体" w:cs="Times New Roman"/>
                      <w:b/>
                      <w:bCs/>
                      <w:sz w:val="21"/>
                      <w:szCs w:val="21"/>
                      <w:u w:val="single"/>
                      <w:lang w:val="en-US" w:eastAsia="zh-CN"/>
                    </w:rPr>
                    <w:t>24年本</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w:t>
                  </w:r>
                  <w:r>
                    <w:rPr>
                      <w:rFonts w:ascii="Times New Roman" w:hAnsi="Times New Roman" w:eastAsia="宋体" w:cs="Times New Roman"/>
                      <w:sz w:val="21"/>
                      <w:szCs w:val="21"/>
                    </w:rPr>
                    <w:t>等国家产业政策的淘汰类项目；</w:t>
                  </w:r>
                </w:p>
                <w:p w14:paraId="360FB6B0">
                  <w:pPr>
                    <w:pStyle w:val="22"/>
                    <w:numPr>
                      <w:ilvl w:val="0"/>
                      <w:numId w:val="3"/>
                    </w:numPr>
                    <w:rPr>
                      <w:rFonts w:ascii="Times New Roman" w:hAnsi="Times New Roman" w:eastAsia="宋体" w:cs="Times New Roman"/>
                      <w:sz w:val="21"/>
                      <w:szCs w:val="21"/>
                    </w:rPr>
                  </w:pPr>
                  <w:r>
                    <w:rPr>
                      <w:rFonts w:hint="eastAsia" w:ascii="Times New Roman" w:hAnsi="Times New Roman" w:eastAsia="宋体" w:cs="Times New Roman"/>
                      <w:b/>
                      <w:bCs/>
                      <w:sz w:val="21"/>
                      <w:szCs w:val="21"/>
                      <w:u w:val="single"/>
                    </w:rPr>
                    <w:t>《产业结构调整指导目录</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20</w:t>
                  </w:r>
                  <w:r>
                    <w:rPr>
                      <w:rFonts w:hint="eastAsia" w:ascii="Times New Roman" w:hAnsi="Times New Roman" w:eastAsia="宋体" w:cs="Times New Roman"/>
                      <w:b/>
                      <w:bCs/>
                      <w:sz w:val="21"/>
                      <w:szCs w:val="21"/>
                      <w:u w:val="single"/>
                      <w:lang w:val="en-US" w:eastAsia="zh-CN"/>
                    </w:rPr>
                    <w:t>24年本</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w:t>
                  </w:r>
                  <w:r>
                    <w:rPr>
                      <w:rFonts w:ascii="Times New Roman" w:hAnsi="Times New Roman" w:eastAsia="宋体" w:cs="Times New Roman"/>
                      <w:sz w:val="21"/>
                      <w:szCs w:val="21"/>
                    </w:rPr>
                    <w:t xml:space="preserve">等国家产业政策中不属于装备制造业、食品加工业、生物制造产业的其他产业的限制类项目； </w:t>
                  </w:r>
                </w:p>
                <w:p w14:paraId="0C446929">
                  <w:pPr>
                    <w:pStyle w:val="22"/>
                    <w:numPr>
                      <w:ilvl w:val="0"/>
                      <w:numId w:val="3"/>
                    </w:numPr>
                    <w:rPr>
                      <w:rFonts w:ascii="Times New Roman" w:hAnsi="Times New Roman" w:eastAsia="宋体" w:cs="Times New Roman"/>
                      <w:sz w:val="21"/>
                      <w:szCs w:val="21"/>
                    </w:rPr>
                  </w:pPr>
                  <w:r>
                    <w:rPr>
                      <w:rFonts w:ascii="Times New Roman" w:hAnsi="Times New Roman" w:eastAsia="宋体" w:cs="Times New Roman"/>
                      <w:sz w:val="21"/>
                      <w:szCs w:val="21"/>
                    </w:rPr>
                    <w:t>濮阳市环境保护局印发《关于深化建设项目环境影响评价审批制度改革及优化建设项目</w:t>
                  </w:r>
                  <w:r>
                    <w:rPr>
                      <w:rFonts w:hint="eastAsia" w:ascii="Times New Roman" w:hAnsi="Times New Roman" w:eastAsia="宋体" w:cs="Times New Roman"/>
                      <w:sz w:val="21"/>
                      <w:szCs w:val="21"/>
                      <w:lang w:eastAsia="zh-CN"/>
                    </w:rPr>
                    <w:t>“</w:t>
                  </w:r>
                  <w:r>
                    <w:rPr>
                      <w:rFonts w:ascii="Times New Roman" w:hAnsi="Times New Roman" w:eastAsia="宋体" w:cs="Times New Roman"/>
                      <w:sz w:val="21"/>
                      <w:szCs w:val="21"/>
                    </w:rPr>
                    <w:t>三同时</w:t>
                  </w:r>
                  <w:r>
                    <w:rPr>
                      <w:rFonts w:hint="eastAsia" w:ascii="Times New Roman" w:hAnsi="Times New Roman" w:eastAsia="宋体" w:cs="Times New Roman"/>
                      <w:sz w:val="21"/>
                      <w:szCs w:val="21"/>
                      <w:lang w:eastAsia="zh-CN"/>
                    </w:rPr>
                    <w:t>”</w:t>
                  </w:r>
                  <w:r>
                    <w:rPr>
                      <w:rFonts w:ascii="Times New Roman" w:hAnsi="Times New Roman" w:eastAsia="宋体" w:cs="Times New Roman"/>
                      <w:sz w:val="21"/>
                      <w:szCs w:val="21"/>
                    </w:rPr>
                    <w:t>管理工作的实施细则（试行）》的通知（濮环[2015]34号）中大气污染防治重点单元禁止审批类项目；</w:t>
                  </w:r>
                </w:p>
                <w:p w14:paraId="54BD5897">
                  <w:pPr>
                    <w:pStyle w:val="22"/>
                    <w:numPr>
                      <w:ilvl w:val="0"/>
                      <w:numId w:val="3"/>
                    </w:numPr>
                    <w:ind w:left="0" w:leftChars="0" w:firstLine="0" w:firstLineChars="0"/>
                    <w:rPr>
                      <w:rFonts w:ascii="Times New Roman" w:hAnsi="Times New Roman" w:eastAsia="宋体" w:cs="Times New Roman"/>
                      <w:sz w:val="21"/>
                      <w:szCs w:val="21"/>
                    </w:rPr>
                  </w:pPr>
                  <w:r>
                    <w:rPr>
                      <w:rFonts w:hint="eastAsia" w:ascii="Times New Roman" w:hAnsi="Times New Roman" w:eastAsia="宋体" w:cs="Times New Roman"/>
                      <w:b/>
                      <w:bCs/>
                      <w:sz w:val="21"/>
                      <w:szCs w:val="21"/>
                      <w:u w:val="single"/>
                    </w:rPr>
                    <w:t>属于《产业结构调整指导目录</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20</w:t>
                  </w:r>
                  <w:r>
                    <w:rPr>
                      <w:rFonts w:hint="eastAsia" w:ascii="Times New Roman" w:hAnsi="Times New Roman" w:eastAsia="宋体" w:cs="Times New Roman"/>
                      <w:b/>
                      <w:bCs/>
                      <w:sz w:val="21"/>
                      <w:szCs w:val="21"/>
                      <w:u w:val="single"/>
                      <w:lang w:val="en-US" w:eastAsia="zh-CN"/>
                    </w:rPr>
                    <w:t>24年本</w:t>
                  </w:r>
                  <w:r>
                    <w:rPr>
                      <w:rFonts w:hint="eastAsia" w:ascii="Times New Roman" w:hAnsi="Times New Roman" w:eastAsia="宋体" w:cs="Times New Roman"/>
                      <w:b/>
                      <w:bCs/>
                      <w:sz w:val="21"/>
                      <w:szCs w:val="21"/>
                      <w:u w:val="single"/>
                      <w:lang w:eastAsia="zh-CN"/>
                    </w:rPr>
                    <w:t>）</w:t>
                  </w:r>
                  <w:r>
                    <w:rPr>
                      <w:rFonts w:hint="eastAsia" w:ascii="Times New Roman" w:hAnsi="Times New Roman" w:eastAsia="宋体" w:cs="Times New Roman"/>
                      <w:b/>
                      <w:bCs/>
                      <w:sz w:val="21"/>
                      <w:szCs w:val="21"/>
                      <w:u w:val="single"/>
                    </w:rPr>
                    <w:t>》</w:t>
                  </w:r>
                  <w:r>
                    <w:rPr>
                      <w:rFonts w:ascii="Times New Roman" w:hAnsi="Times New Roman" w:eastAsia="宋体" w:cs="Times New Roman"/>
                      <w:sz w:val="21"/>
                      <w:szCs w:val="21"/>
                    </w:rPr>
                    <w:t>等国家产业政策鼓励类和允许类，但不符合功能组团产业定位且污染较大的项目；</w:t>
                  </w:r>
                </w:p>
                <w:p w14:paraId="6A660987">
                  <w:pPr>
                    <w:pStyle w:val="22"/>
                    <w:numPr>
                      <w:ilvl w:val="0"/>
                      <w:numId w:val="3"/>
                    </w:numPr>
                    <w:ind w:left="0" w:leftChars="0" w:firstLine="0" w:firstLineChars="0"/>
                    <w:rPr>
                      <w:rFonts w:ascii="Times New Roman" w:hAnsi="Times New Roman" w:eastAsia="宋体" w:cs="Times New Roman"/>
                      <w:sz w:val="21"/>
                      <w:szCs w:val="21"/>
                    </w:rPr>
                  </w:pPr>
                  <w:r>
                    <w:rPr>
                      <w:rFonts w:ascii="Times New Roman" w:hAnsi="Times New Roman" w:eastAsia="宋体" w:cs="Times New Roman"/>
                      <w:sz w:val="21"/>
                      <w:szCs w:val="21"/>
                    </w:rPr>
                    <w:t>废水经预处理达不到污水处理厂收水水质标准的项目；</w:t>
                  </w:r>
                </w:p>
                <w:p w14:paraId="3B985219">
                  <w:pPr>
                    <w:pStyle w:val="22"/>
                    <w:rPr>
                      <w:rFonts w:ascii="Times New Roman" w:hAnsi="Times New Roman" w:eastAsia="宋体" w:cs="Times New Roman"/>
                      <w:sz w:val="21"/>
                      <w:szCs w:val="21"/>
                    </w:rPr>
                  </w:pPr>
                  <w:r>
                    <w:rPr>
                      <w:rFonts w:hint="eastAsia" w:cs="Times New Roman"/>
                      <w:sz w:val="21"/>
                      <w:szCs w:val="21"/>
                      <w:lang w:val="en-US" w:eastAsia="zh-CN"/>
                    </w:rPr>
                    <w:t>6、</w:t>
                  </w:r>
                  <w:r>
                    <w:rPr>
                      <w:rFonts w:ascii="Times New Roman" w:hAnsi="Times New Roman" w:eastAsia="宋体" w:cs="Times New Roman"/>
                      <w:sz w:val="21"/>
                      <w:szCs w:val="21"/>
                    </w:rPr>
                    <w:t>工艺废气中含有难处理的、有毒有害物质的项目；</w:t>
                  </w:r>
                </w:p>
                <w:p w14:paraId="0962C6CF">
                  <w:pPr>
                    <w:pStyle w:val="22"/>
                    <w:rPr>
                      <w:rFonts w:ascii="Times New Roman" w:hAnsi="Times New Roman" w:eastAsia="宋体" w:cs="Times New Roman"/>
                      <w:sz w:val="21"/>
                      <w:szCs w:val="21"/>
                    </w:rPr>
                  </w:pPr>
                  <w:r>
                    <w:rPr>
                      <w:rFonts w:ascii="Times New Roman" w:hAnsi="Times New Roman" w:eastAsia="宋体" w:cs="Times New Roman"/>
                      <w:sz w:val="21"/>
                      <w:szCs w:val="21"/>
                    </w:rPr>
                    <w:t>7、达不到规模经济的项目；禁止项目详见负面清单。</w:t>
                  </w:r>
                </w:p>
              </w:tc>
              <w:tc>
                <w:tcPr>
                  <w:tcW w:w="2762" w:type="dxa"/>
                  <w:noWrap w:val="0"/>
                  <w:vAlign w:val="center"/>
                </w:tcPr>
                <w:p w14:paraId="4713D05A">
                  <w:pPr>
                    <w:pStyle w:val="22"/>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项目为</w:t>
                  </w:r>
                  <w:r>
                    <w:rPr>
                      <w:rFonts w:hint="eastAsia" w:ascii="Times New Roman" w:hAnsi="Times New Roman" w:eastAsia="宋体" w:cs="Times New Roman"/>
                      <w:sz w:val="21"/>
                      <w:szCs w:val="21"/>
                      <w:lang w:val="en-US" w:eastAsia="zh-CN"/>
                    </w:rPr>
                    <w:t>废旧轮胎综合</w:t>
                  </w:r>
                  <w:r>
                    <w:rPr>
                      <w:rFonts w:hint="eastAsia" w:ascii="Times New Roman" w:hAnsi="Times New Roman" w:eastAsia="宋体" w:cs="Times New Roman"/>
                      <w:sz w:val="21"/>
                      <w:szCs w:val="21"/>
                      <w:lang w:eastAsia="zh-CN"/>
                    </w:rPr>
                    <w:t>利用项目，不属于</w:t>
                  </w:r>
                  <w:r>
                    <w:rPr>
                      <w:rFonts w:hint="eastAsia" w:ascii="Times New Roman" w:hAnsi="Times New Roman" w:eastAsia="宋体" w:cs="Times New Roman"/>
                      <w:sz w:val="21"/>
                      <w:szCs w:val="21"/>
                      <w:lang w:val="en-US" w:eastAsia="zh-CN"/>
                    </w:rPr>
                    <w:t>所列的</w:t>
                  </w:r>
                  <w:r>
                    <w:rPr>
                      <w:rFonts w:hint="eastAsia" w:ascii="Times New Roman" w:hAnsi="Times New Roman" w:eastAsia="宋体" w:cs="Times New Roman"/>
                      <w:sz w:val="21"/>
                      <w:szCs w:val="21"/>
                      <w:lang w:eastAsia="zh-CN"/>
                    </w:rPr>
                    <w:t>禁止类项目</w:t>
                  </w:r>
                </w:p>
              </w:tc>
              <w:tc>
                <w:tcPr>
                  <w:tcW w:w="650" w:type="dxa"/>
                  <w:noWrap w:val="0"/>
                  <w:vAlign w:val="center"/>
                </w:tcPr>
                <w:p w14:paraId="30A4A07D">
                  <w:pPr>
                    <w:pStyle w:val="22"/>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相符</w:t>
                  </w:r>
                </w:p>
              </w:tc>
            </w:tr>
          </w:tbl>
          <w:p w14:paraId="6F4A0ADF">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before="0" w:beforeLines="0" w:line="500" w:lineRule="exact"/>
              <w:jc w:val="left"/>
              <w:textAlignment w:val="auto"/>
              <w:rPr>
                <w:rFonts w:hint="default" w:ascii="Times New Roman" w:hAnsi="Times New Roman" w:eastAsia="宋体" w:cs="Times New Roman"/>
                <w:b/>
                <w:bCs/>
                <w:kern w:val="2"/>
                <w:sz w:val="24"/>
                <w:szCs w:val="24"/>
                <w:u w:val="single"/>
                <w:lang w:val="en-US" w:eastAsia="zh-CN" w:bidi="ar-SA"/>
              </w:rPr>
            </w:pPr>
            <w:r>
              <w:rPr>
                <w:rFonts w:hint="default" w:ascii="Times New Roman" w:hAnsi="Times New Roman" w:eastAsia="宋体" w:cs="Times New Roman"/>
                <w:b/>
                <w:bCs/>
                <w:kern w:val="2"/>
                <w:sz w:val="24"/>
                <w:szCs w:val="24"/>
                <w:u w:val="single"/>
                <w:lang w:val="en-US" w:eastAsia="zh-CN" w:bidi="ar-SA"/>
              </w:rPr>
              <w:t>注：本准入条件中涉及的产业政策和国家、省、市、县各级环境管理要求发生变化时，按照新规定执行。</w:t>
            </w:r>
          </w:p>
          <w:p w14:paraId="44BE35A2">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before="0" w:beforeLines="0" w:line="500" w:lineRule="exact"/>
              <w:ind w:leftChars="20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eastAsia" w:ascii="Times New Roman" w:hAnsi="Times New Roman" w:eastAsia="宋体" w:cs="Times New Roman"/>
                <w:b/>
                <w:bCs/>
                <w:kern w:val="2"/>
                <w:sz w:val="21"/>
                <w:szCs w:val="21"/>
                <w:lang w:val="en-US" w:eastAsia="zh-CN" w:bidi="ar-SA"/>
              </w:rPr>
              <w:t>1-2</w:t>
            </w:r>
            <w:r>
              <w:rPr>
                <w:rFonts w:hint="default" w:ascii="Times New Roman" w:hAnsi="Times New Roman" w:eastAsia="宋体" w:cs="Times New Roman"/>
                <w:b/>
                <w:bCs/>
                <w:kern w:val="2"/>
                <w:sz w:val="21"/>
                <w:szCs w:val="21"/>
                <w:lang w:val="en-US" w:eastAsia="zh-CN" w:bidi="ar-SA"/>
              </w:rPr>
              <w:t xml:space="preserve">  南乐县产业集聚区工业项目负面清单一览表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7"/>
              <w:gridCol w:w="5684"/>
              <w:gridCol w:w="3154"/>
              <w:gridCol w:w="1036"/>
            </w:tblGrid>
            <w:tr w14:paraId="1539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217" w:type="pct"/>
                  <w:noWrap w:val="0"/>
                  <w:vAlign w:val="center"/>
                </w:tcPr>
                <w:p w14:paraId="4621FAC4">
                  <w:pPr>
                    <w:pStyle w:val="22"/>
                    <w:jc w:val="center"/>
                    <w:rPr>
                      <w:rFonts w:ascii="Times New Roman" w:hAnsi="Times New Roman" w:eastAsia="宋体" w:cs="Times New Roman"/>
                      <w:sz w:val="21"/>
                      <w:szCs w:val="21"/>
                    </w:rPr>
                  </w:pPr>
                  <w:r>
                    <w:rPr>
                      <w:rFonts w:ascii="Times New Roman" w:hAnsi="Times New Roman" w:eastAsia="宋体" w:cs="Times New Roman"/>
                      <w:sz w:val="21"/>
                      <w:szCs w:val="21"/>
                    </w:rPr>
                    <w:t>负面清单</w:t>
                  </w:r>
                </w:p>
              </w:tc>
              <w:tc>
                <w:tcPr>
                  <w:tcW w:w="2176" w:type="pct"/>
                  <w:noWrap w:val="0"/>
                  <w:vAlign w:val="center"/>
                </w:tcPr>
                <w:p w14:paraId="443E97A2">
                  <w:pPr>
                    <w:pStyle w:val="22"/>
                    <w:jc w:val="center"/>
                    <w:rPr>
                      <w:rFonts w:ascii="Times New Roman" w:hAnsi="Times New Roman" w:eastAsia="宋体" w:cs="Times New Roman"/>
                      <w:sz w:val="21"/>
                      <w:szCs w:val="21"/>
                    </w:rPr>
                  </w:pPr>
                  <w:r>
                    <w:rPr>
                      <w:rFonts w:ascii="Times New Roman" w:hAnsi="Times New Roman" w:eastAsia="宋体" w:cs="Times New Roman"/>
                      <w:sz w:val="21"/>
                      <w:szCs w:val="21"/>
                    </w:rPr>
                    <w:t>备注</w:t>
                  </w:r>
                </w:p>
              </w:tc>
              <w:tc>
                <w:tcPr>
                  <w:tcW w:w="1208" w:type="pct"/>
                  <w:noWrap w:val="0"/>
                  <w:vAlign w:val="center"/>
                </w:tcPr>
                <w:p w14:paraId="503D3FDE">
                  <w:pPr>
                    <w:pStyle w:val="22"/>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本项目情况</w:t>
                  </w:r>
                </w:p>
              </w:tc>
              <w:tc>
                <w:tcPr>
                  <w:tcW w:w="397" w:type="pct"/>
                  <w:noWrap w:val="0"/>
                  <w:vAlign w:val="center"/>
                </w:tcPr>
                <w:p w14:paraId="2926A8F8">
                  <w:pPr>
                    <w:pStyle w:val="22"/>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相符性</w:t>
                  </w:r>
                </w:p>
              </w:tc>
            </w:tr>
            <w:tr w14:paraId="56059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3" w:hRule="atLeast"/>
              </w:trPr>
              <w:tc>
                <w:tcPr>
                  <w:tcW w:w="1217" w:type="pct"/>
                  <w:noWrap w:val="0"/>
                  <w:vAlign w:val="center"/>
                </w:tcPr>
                <w:p w14:paraId="32A348C7">
                  <w:pPr>
                    <w:pStyle w:val="22"/>
                    <w:rPr>
                      <w:rFonts w:ascii="Times New Roman" w:hAnsi="Times New Roman" w:eastAsia="宋体" w:cs="Times New Roman"/>
                      <w:sz w:val="21"/>
                      <w:szCs w:val="21"/>
                    </w:rPr>
                  </w:pPr>
                  <w:r>
                    <w:rPr>
                      <w:rFonts w:ascii="Times New Roman" w:hAnsi="Times New Roman" w:eastAsia="宋体" w:cs="Times New Roman"/>
                      <w:sz w:val="21"/>
                      <w:szCs w:val="21"/>
                    </w:rPr>
                    <w:t>禁止发展煤化工、冶金、钢铁、铁合金等行业单纯新建和单纯扩大产能的项目</w:t>
                  </w:r>
                </w:p>
              </w:tc>
              <w:tc>
                <w:tcPr>
                  <w:tcW w:w="2176" w:type="pct"/>
                  <w:noWrap w:val="0"/>
                  <w:vAlign w:val="center"/>
                </w:tcPr>
                <w:p w14:paraId="140B7339">
                  <w:pPr>
                    <w:pStyle w:val="22"/>
                    <w:rPr>
                      <w:rFonts w:ascii="Times New Roman" w:hAnsi="Times New Roman" w:eastAsia="宋体" w:cs="Times New Roman"/>
                      <w:sz w:val="21"/>
                      <w:szCs w:val="21"/>
                    </w:rPr>
                  </w:pPr>
                  <w:r>
                    <w:rPr>
                      <w:rFonts w:ascii="Times New Roman" w:hAnsi="Times New Roman" w:eastAsia="宋体" w:cs="Times New Roman"/>
                      <w:sz w:val="21"/>
                      <w:szCs w:val="21"/>
                    </w:rPr>
                    <w:t>濮阳市环境保护局印发《关于深化建设项目环境影响评价审批制度改革及优化建设项目</w:t>
                  </w:r>
                  <w:r>
                    <w:rPr>
                      <w:rFonts w:hint="eastAsia" w:ascii="Times New Roman" w:hAnsi="Times New Roman" w:eastAsia="宋体" w:cs="Times New Roman"/>
                      <w:sz w:val="21"/>
                      <w:szCs w:val="21"/>
                      <w:lang w:eastAsia="zh-CN"/>
                    </w:rPr>
                    <w:t>“</w:t>
                  </w:r>
                  <w:r>
                    <w:rPr>
                      <w:rFonts w:ascii="Times New Roman" w:hAnsi="Times New Roman" w:eastAsia="宋体" w:cs="Times New Roman"/>
                      <w:sz w:val="21"/>
                      <w:szCs w:val="21"/>
                    </w:rPr>
                    <w:t>三同时</w:t>
                  </w:r>
                  <w:r>
                    <w:rPr>
                      <w:rFonts w:hint="eastAsia" w:ascii="Times New Roman" w:hAnsi="Times New Roman" w:eastAsia="宋体" w:cs="Times New Roman"/>
                      <w:sz w:val="21"/>
                      <w:szCs w:val="21"/>
                      <w:lang w:eastAsia="zh-CN"/>
                    </w:rPr>
                    <w:t>”</w:t>
                  </w:r>
                  <w:r>
                    <w:rPr>
                      <w:rFonts w:ascii="Times New Roman" w:hAnsi="Times New Roman" w:eastAsia="宋体" w:cs="Times New Roman"/>
                      <w:sz w:val="21"/>
                      <w:szCs w:val="21"/>
                    </w:rPr>
                    <w:t>管理工作的实施细则（试行）》的通知（濮环[2015]34号）：南乐县产业集聚区属于工业准入优先区，属于大气污染防治重点单元区域；不属于水污染防治重点单元区域，不属于重金属污染防控单元</w:t>
                  </w:r>
                </w:p>
              </w:tc>
              <w:tc>
                <w:tcPr>
                  <w:tcW w:w="1208" w:type="pct"/>
                  <w:noWrap w:val="0"/>
                  <w:vAlign w:val="center"/>
                </w:tcPr>
                <w:p w14:paraId="7A5F836C">
                  <w:pPr>
                    <w:pStyle w:val="2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本项目为</w:t>
                  </w:r>
                  <w:r>
                    <w:rPr>
                      <w:rFonts w:hint="eastAsia" w:ascii="Times New Roman" w:hAnsi="Times New Roman" w:eastAsia="宋体" w:cs="Times New Roman"/>
                      <w:sz w:val="21"/>
                      <w:szCs w:val="21"/>
                      <w:lang w:val="en-US" w:eastAsia="zh-CN"/>
                    </w:rPr>
                    <w:t>废旧轮胎综合</w:t>
                  </w:r>
                  <w:r>
                    <w:rPr>
                      <w:rFonts w:hint="eastAsia" w:ascii="Times New Roman" w:hAnsi="Times New Roman" w:eastAsia="宋体" w:cs="Times New Roman"/>
                      <w:sz w:val="21"/>
                      <w:szCs w:val="21"/>
                      <w:lang w:eastAsia="zh-CN"/>
                    </w:rPr>
                    <w:t>利用项目，不属于禁止类</w:t>
                  </w:r>
                </w:p>
              </w:tc>
              <w:tc>
                <w:tcPr>
                  <w:tcW w:w="397" w:type="pct"/>
                  <w:noWrap w:val="0"/>
                  <w:vAlign w:val="center"/>
                </w:tcPr>
                <w:p w14:paraId="5B2A0577">
                  <w:pPr>
                    <w:pStyle w:val="2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相符</w:t>
                  </w:r>
                </w:p>
              </w:tc>
            </w:tr>
            <w:tr w14:paraId="1720E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217" w:type="pct"/>
                  <w:noWrap w:val="0"/>
                  <w:vAlign w:val="center"/>
                </w:tcPr>
                <w:p w14:paraId="45038A13">
                  <w:pPr>
                    <w:pStyle w:val="22"/>
                    <w:rPr>
                      <w:rFonts w:ascii="Times New Roman" w:hAnsi="Times New Roman" w:eastAsia="宋体" w:cs="Times New Roman"/>
                      <w:sz w:val="21"/>
                      <w:szCs w:val="21"/>
                    </w:rPr>
                  </w:pPr>
                  <w:r>
                    <w:rPr>
                      <w:rFonts w:ascii="Times New Roman" w:hAnsi="Times New Roman" w:eastAsia="宋体" w:cs="Times New Roman"/>
                      <w:sz w:val="21"/>
                      <w:szCs w:val="21"/>
                    </w:rPr>
                    <w:t>禁止新建20蒸吨以下燃煤锅炉</w:t>
                  </w:r>
                </w:p>
              </w:tc>
              <w:tc>
                <w:tcPr>
                  <w:tcW w:w="2176" w:type="pct"/>
                  <w:noWrap w:val="0"/>
                  <w:vAlign w:val="center"/>
                </w:tcPr>
                <w:p w14:paraId="363887C0">
                  <w:pPr>
                    <w:pStyle w:val="22"/>
                    <w:rPr>
                      <w:rFonts w:ascii="Times New Roman" w:hAnsi="Times New Roman" w:eastAsia="宋体" w:cs="Times New Roman"/>
                      <w:sz w:val="21"/>
                      <w:szCs w:val="21"/>
                    </w:rPr>
                  </w:pPr>
                  <w:r>
                    <w:rPr>
                      <w:rFonts w:ascii="Times New Roman" w:hAnsi="Times New Roman" w:eastAsia="宋体" w:cs="Times New Roman"/>
                      <w:sz w:val="21"/>
                      <w:szCs w:val="21"/>
                    </w:rPr>
                    <w:t>《河南省2017年加快产业集聚区集中供热实施方案》：产业集聚区内20蒸吨以下分散燃煤小锅炉在2017年10月底前由环保部门依法依规全部关停</w:t>
                  </w:r>
                </w:p>
              </w:tc>
              <w:tc>
                <w:tcPr>
                  <w:tcW w:w="1208" w:type="pct"/>
                  <w:noWrap w:val="0"/>
                  <w:vAlign w:val="center"/>
                </w:tcPr>
                <w:p w14:paraId="20538CBD">
                  <w:pPr>
                    <w:pStyle w:val="22"/>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本项目不涉及燃煤锅炉</w:t>
                  </w:r>
                </w:p>
              </w:tc>
              <w:tc>
                <w:tcPr>
                  <w:tcW w:w="397" w:type="pct"/>
                  <w:noWrap w:val="0"/>
                  <w:vAlign w:val="center"/>
                </w:tcPr>
                <w:p w14:paraId="3673FA92">
                  <w:pPr>
                    <w:pStyle w:val="2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相符</w:t>
                  </w:r>
                </w:p>
              </w:tc>
            </w:tr>
            <w:tr w14:paraId="136F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17" w:type="pct"/>
                  <w:noWrap w:val="0"/>
                  <w:vAlign w:val="center"/>
                </w:tcPr>
                <w:p w14:paraId="7D668D44">
                  <w:pPr>
                    <w:pStyle w:val="22"/>
                    <w:rPr>
                      <w:rFonts w:ascii="Times New Roman" w:hAnsi="Times New Roman" w:eastAsia="宋体" w:cs="Times New Roman"/>
                      <w:sz w:val="21"/>
                      <w:szCs w:val="21"/>
                    </w:rPr>
                  </w:pPr>
                  <w:r>
                    <w:rPr>
                      <w:rFonts w:ascii="Times New Roman" w:hAnsi="Times New Roman" w:eastAsia="宋体" w:cs="Times New Roman"/>
                      <w:sz w:val="21"/>
                      <w:szCs w:val="21"/>
                    </w:rPr>
                    <w:t>禁止在城关沟、永顺沟河道两侧取土挖沙</w:t>
                  </w:r>
                </w:p>
              </w:tc>
              <w:tc>
                <w:tcPr>
                  <w:tcW w:w="2176" w:type="pct"/>
                  <w:vMerge w:val="restart"/>
                  <w:noWrap w:val="0"/>
                  <w:vAlign w:val="center"/>
                </w:tcPr>
                <w:p w14:paraId="50712D1E">
                  <w:pPr>
                    <w:pStyle w:val="22"/>
                    <w:rPr>
                      <w:rFonts w:ascii="Times New Roman" w:hAnsi="Times New Roman" w:eastAsia="宋体" w:cs="Times New Roman"/>
                      <w:sz w:val="21"/>
                      <w:szCs w:val="21"/>
                    </w:rPr>
                  </w:pPr>
                  <w:r>
                    <w:rPr>
                      <w:rFonts w:ascii="Times New Roman" w:hAnsi="Times New Roman" w:eastAsia="宋体" w:cs="Times New Roman"/>
                      <w:sz w:val="21"/>
                      <w:szCs w:val="21"/>
                    </w:rPr>
                    <w:t>空间管制与引导措施要求</w:t>
                  </w:r>
                </w:p>
              </w:tc>
              <w:tc>
                <w:tcPr>
                  <w:tcW w:w="1208" w:type="pct"/>
                  <w:noWrap w:val="0"/>
                  <w:vAlign w:val="center"/>
                </w:tcPr>
                <w:p w14:paraId="55AE01AF">
                  <w:pPr>
                    <w:pStyle w:val="2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本项目不涉及</w:t>
                  </w:r>
                </w:p>
              </w:tc>
              <w:tc>
                <w:tcPr>
                  <w:tcW w:w="397" w:type="pct"/>
                  <w:vMerge w:val="restart"/>
                  <w:noWrap w:val="0"/>
                  <w:vAlign w:val="center"/>
                </w:tcPr>
                <w:p w14:paraId="7F98190F">
                  <w:pPr>
                    <w:pStyle w:val="2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相符</w:t>
                  </w:r>
                </w:p>
              </w:tc>
            </w:tr>
            <w:tr w14:paraId="3BF38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217" w:type="pct"/>
                  <w:noWrap w:val="0"/>
                  <w:vAlign w:val="center"/>
                </w:tcPr>
                <w:p w14:paraId="2000FEA9">
                  <w:pPr>
                    <w:widowControl/>
                    <w:jc w:val="left"/>
                  </w:pPr>
                  <w:r>
                    <w:rPr>
                      <w:rFonts w:ascii="Times New Roman" w:hAnsi="Times New Roman" w:eastAsia="宋体" w:cs="Times New Roman"/>
                      <w:color w:val="000000"/>
                      <w:kern w:val="2"/>
                      <w:sz w:val="21"/>
                      <w:szCs w:val="21"/>
                      <w:lang w:val="en-US" w:eastAsia="zh-CN" w:bidi="ar-SA"/>
                    </w:rPr>
                    <w:t>禁止在城关沟、永顺沟两侧随意砍伐树木</w:t>
                  </w:r>
                </w:p>
              </w:tc>
              <w:tc>
                <w:tcPr>
                  <w:tcW w:w="2176" w:type="pct"/>
                  <w:vMerge w:val="continue"/>
                  <w:noWrap w:val="0"/>
                  <w:vAlign w:val="center"/>
                </w:tcPr>
                <w:p w14:paraId="36CAE9D6">
                  <w:pPr>
                    <w:pStyle w:val="9"/>
                    <w:jc w:val="center"/>
                  </w:pPr>
                </w:p>
              </w:tc>
              <w:tc>
                <w:tcPr>
                  <w:tcW w:w="1208" w:type="pct"/>
                  <w:noWrap w:val="0"/>
                  <w:vAlign w:val="center"/>
                </w:tcPr>
                <w:p w14:paraId="320243D9">
                  <w:pPr>
                    <w:pStyle w:val="22"/>
                    <w:jc w:val="center"/>
                    <w:rPr>
                      <w:rFonts w:ascii="Times New Roman" w:hAnsi="Times New Roman" w:eastAsia="宋体" w:cs="Times New Roman"/>
                      <w:sz w:val="21"/>
                      <w:szCs w:val="21"/>
                    </w:rPr>
                  </w:pPr>
                  <w:r>
                    <w:rPr>
                      <w:rFonts w:hint="eastAsia" w:ascii="Times New Roman" w:hAnsi="Times New Roman" w:eastAsia="宋体" w:cs="Times New Roman"/>
                      <w:sz w:val="21"/>
                      <w:szCs w:val="21"/>
                      <w:lang w:eastAsia="zh-CN"/>
                    </w:rPr>
                    <w:t>本项目不涉及</w:t>
                  </w:r>
                </w:p>
              </w:tc>
              <w:tc>
                <w:tcPr>
                  <w:tcW w:w="397" w:type="pct"/>
                  <w:vMerge w:val="continue"/>
                  <w:noWrap w:val="0"/>
                  <w:vAlign w:val="center"/>
                </w:tcPr>
                <w:p w14:paraId="24A37EC4">
                  <w:pPr>
                    <w:pStyle w:val="9"/>
                    <w:jc w:val="center"/>
                  </w:pPr>
                </w:p>
              </w:tc>
            </w:tr>
            <w:tr w14:paraId="13D8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17" w:type="pct"/>
                  <w:noWrap w:val="0"/>
                  <w:vAlign w:val="center"/>
                </w:tcPr>
                <w:p w14:paraId="05FE3187">
                  <w:pPr>
                    <w:widowControl/>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禁止在城关沟、永顺沟沿岸防护范围内从事可能造成污染水体水质的活动</w:t>
                  </w:r>
                </w:p>
              </w:tc>
              <w:tc>
                <w:tcPr>
                  <w:tcW w:w="2176" w:type="pct"/>
                  <w:vMerge w:val="continue"/>
                  <w:noWrap w:val="0"/>
                  <w:vAlign w:val="center"/>
                </w:tcPr>
                <w:p w14:paraId="2F01CD64">
                  <w:pPr>
                    <w:pStyle w:val="9"/>
                    <w:jc w:val="center"/>
                    <w:rPr>
                      <w:rFonts w:ascii="Times New Roman" w:hAnsi="Times New Roman" w:eastAsia="宋体" w:cs="Times New Roman"/>
                      <w:color w:val="000000"/>
                      <w:kern w:val="2"/>
                      <w:sz w:val="21"/>
                      <w:szCs w:val="21"/>
                      <w:lang w:val="en-US" w:eastAsia="zh-CN" w:bidi="ar-SA"/>
                    </w:rPr>
                  </w:pPr>
                </w:p>
              </w:tc>
              <w:tc>
                <w:tcPr>
                  <w:tcW w:w="1208" w:type="pct"/>
                  <w:noWrap w:val="0"/>
                  <w:vAlign w:val="center"/>
                </w:tcPr>
                <w:p w14:paraId="4FB5D5F2">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c>
                <w:tcPr>
                  <w:tcW w:w="397" w:type="pct"/>
                  <w:vMerge w:val="continue"/>
                  <w:noWrap w:val="0"/>
                  <w:vAlign w:val="center"/>
                </w:tcPr>
                <w:p w14:paraId="6EC4BA54">
                  <w:pPr>
                    <w:pStyle w:val="9"/>
                    <w:jc w:val="center"/>
                    <w:rPr>
                      <w:rFonts w:ascii="Times New Roman" w:hAnsi="Times New Roman" w:eastAsia="宋体" w:cs="Times New Roman"/>
                      <w:color w:val="000000"/>
                      <w:kern w:val="2"/>
                      <w:sz w:val="21"/>
                      <w:szCs w:val="21"/>
                      <w:lang w:val="en-US" w:eastAsia="zh-CN" w:bidi="ar-SA"/>
                    </w:rPr>
                  </w:pPr>
                </w:p>
              </w:tc>
            </w:tr>
            <w:tr w14:paraId="07AB9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394" w:type="pct"/>
                  <w:gridSpan w:val="2"/>
                  <w:noWrap w:val="0"/>
                  <w:vAlign w:val="center"/>
                </w:tcPr>
                <w:p w14:paraId="2C63B756">
                  <w:pPr>
                    <w:widowControl/>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禁止新建</w:t>
                  </w:r>
                  <w:r>
                    <w:rPr>
                      <w:rFonts w:hint="eastAsia" w:ascii="Times New Roman" w:hAnsi="Times New Roman" w:eastAsia="宋体" w:cs="Times New Roman"/>
                      <w:color w:val="000000"/>
                      <w:kern w:val="2"/>
                      <w:sz w:val="21"/>
                      <w:szCs w:val="21"/>
                      <w:lang w:val="en-US" w:eastAsia="zh-CN" w:bidi="ar-SA"/>
                    </w:rPr>
                    <w:t>《产业结构调整指导目录（2024年本）》</w:t>
                  </w:r>
                  <w:r>
                    <w:rPr>
                      <w:rFonts w:ascii="Times New Roman" w:hAnsi="Times New Roman" w:eastAsia="宋体" w:cs="Times New Roman"/>
                      <w:color w:val="000000"/>
                      <w:kern w:val="2"/>
                      <w:sz w:val="21"/>
                      <w:szCs w:val="21"/>
                      <w:lang w:val="en-US" w:eastAsia="zh-CN" w:bidi="ar-SA"/>
                    </w:rPr>
                    <w:t>等国家产业政策中不属于装备制造业、食品加工业、生物制造产业的其他产业的淘汰类和限制类项目</w:t>
                  </w:r>
                </w:p>
              </w:tc>
              <w:tc>
                <w:tcPr>
                  <w:tcW w:w="1208" w:type="pct"/>
                  <w:noWrap w:val="0"/>
                  <w:vAlign w:val="center"/>
                </w:tcPr>
                <w:p w14:paraId="301F7B6D">
                  <w:pPr>
                    <w:widowControl/>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本项目不涉及《目录》中淘汰、限制类项目</w:t>
                  </w:r>
                </w:p>
              </w:tc>
              <w:tc>
                <w:tcPr>
                  <w:tcW w:w="397" w:type="pct"/>
                  <w:noWrap w:val="0"/>
                  <w:vAlign w:val="center"/>
                </w:tcPr>
                <w:p w14:paraId="746F2CFB">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2B29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394" w:type="pct"/>
                  <w:gridSpan w:val="2"/>
                  <w:noWrap w:val="0"/>
                  <w:vAlign w:val="center"/>
                </w:tcPr>
                <w:p w14:paraId="4914AC8B">
                  <w:pPr>
                    <w:widowControl/>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禁止新建属于</w:t>
                  </w:r>
                  <w:r>
                    <w:rPr>
                      <w:rFonts w:hint="eastAsia" w:ascii="Times New Roman" w:hAnsi="Times New Roman" w:eastAsia="宋体" w:cs="Times New Roman"/>
                      <w:sz w:val="21"/>
                      <w:szCs w:val="21"/>
                      <w:u w:val="single"/>
                    </w:rPr>
                    <w:t>《产业结构调整指导目录</w:t>
                  </w: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rPr>
                    <w:t>20</w:t>
                  </w:r>
                  <w:r>
                    <w:rPr>
                      <w:rFonts w:hint="eastAsia" w:cs="Times New Roman"/>
                      <w:sz w:val="21"/>
                      <w:szCs w:val="21"/>
                      <w:u w:val="single"/>
                      <w:lang w:val="en-US" w:eastAsia="zh-CN"/>
                    </w:rPr>
                    <w:t>24年本</w:t>
                  </w: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rPr>
                    <w:t>》</w:t>
                  </w:r>
                  <w:r>
                    <w:rPr>
                      <w:rFonts w:ascii="Times New Roman" w:hAnsi="Times New Roman" w:eastAsia="宋体" w:cs="Times New Roman"/>
                      <w:color w:val="000000"/>
                      <w:kern w:val="2"/>
                      <w:sz w:val="21"/>
                      <w:szCs w:val="21"/>
                      <w:lang w:val="en-US" w:eastAsia="zh-CN" w:bidi="ar-SA"/>
                    </w:rPr>
                    <w:t>等国家产业政策鼓励类和允许类，但不符合功能组团产业定位且污染排放较大的项目</w:t>
                  </w:r>
                </w:p>
              </w:tc>
              <w:tc>
                <w:tcPr>
                  <w:tcW w:w="1208" w:type="pct"/>
                  <w:noWrap w:val="0"/>
                  <w:vAlign w:val="center"/>
                </w:tcPr>
                <w:p w14:paraId="2099BEB4">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本项目属于《目录》中鼓励类项目</w:t>
                  </w:r>
                </w:p>
              </w:tc>
              <w:tc>
                <w:tcPr>
                  <w:tcW w:w="397" w:type="pct"/>
                  <w:noWrap w:val="0"/>
                  <w:vAlign w:val="center"/>
                </w:tcPr>
                <w:p w14:paraId="0F9E1FB4">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799AD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394" w:type="pct"/>
                  <w:gridSpan w:val="2"/>
                  <w:noWrap w:val="0"/>
                  <w:vAlign w:val="center"/>
                </w:tcPr>
                <w:p w14:paraId="528806D1">
                  <w:pPr>
                    <w:widowControl/>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禁止新建废水经预处理达不到污水处理厂收水水质标准的项目</w:t>
                  </w:r>
                </w:p>
              </w:tc>
              <w:tc>
                <w:tcPr>
                  <w:tcW w:w="1208" w:type="pct"/>
                  <w:noWrap w:val="0"/>
                  <w:vAlign w:val="center"/>
                </w:tcPr>
                <w:p w14:paraId="08DD87E3">
                  <w:pPr>
                    <w:widowControl/>
                    <w:jc w:val="center"/>
                    <w:rPr>
                      <w:rFonts w:ascii="Times New Roman" w:hAnsi="Times New Roman" w:eastAsia="宋体" w:cs="Times New Roman"/>
                      <w:color w:val="000000"/>
                      <w:kern w:val="2"/>
                      <w:sz w:val="21"/>
                      <w:szCs w:val="21"/>
                      <w:lang w:val="en-US" w:eastAsia="zh-CN" w:bidi="ar-SA"/>
                    </w:rPr>
                  </w:pPr>
                  <w:r>
                    <w:rPr>
                      <w:rFonts w:hint="eastAsia" w:cs="Times New Roman"/>
                      <w:color w:val="auto"/>
                      <w:kern w:val="2"/>
                      <w:sz w:val="21"/>
                      <w:szCs w:val="21"/>
                      <w:lang w:val="en-US" w:eastAsia="zh-CN" w:bidi="ar-SA"/>
                    </w:rPr>
                    <w:t>本项目</w:t>
                  </w:r>
                  <w:r>
                    <w:rPr>
                      <w:rFonts w:hint="eastAsia" w:ascii="Times New Roman" w:hAnsi="Times New Roman" w:eastAsia="宋体" w:cs="Times New Roman"/>
                      <w:color w:val="auto"/>
                      <w:kern w:val="2"/>
                      <w:sz w:val="21"/>
                      <w:szCs w:val="21"/>
                      <w:lang w:val="en-US" w:eastAsia="zh-CN" w:bidi="ar-SA"/>
                    </w:rPr>
                    <w:t>废水</w:t>
                  </w:r>
                  <w:r>
                    <w:rPr>
                      <w:rFonts w:hint="eastAsia" w:cs="Times New Roman"/>
                      <w:color w:val="auto"/>
                      <w:kern w:val="2"/>
                      <w:sz w:val="21"/>
                      <w:szCs w:val="21"/>
                      <w:lang w:val="en-US" w:eastAsia="zh-CN" w:bidi="ar-SA"/>
                    </w:rPr>
                    <w:t>主要为生活废水</w:t>
                  </w:r>
                  <w:r>
                    <w:rPr>
                      <w:rFonts w:hint="eastAsia" w:ascii="Times New Roman" w:hAnsi="Times New Roman" w:eastAsia="宋体" w:cs="Times New Roman"/>
                      <w:color w:val="auto"/>
                      <w:kern w:val="2"/>
                      <w:sz w:val="21"/>
                      <w:szCs w:val="21"/>
                      <w:lang w:val="en-US" w:eastAsia="zh-CN" w:bidi="ar-SA"/>
                    </w:rPr>
                    <w:t>经处理</w:t>
                  </w:r>
                  <w:r>
                    <w:rPr>
                      <w:rFonts w:hint="eastAsia" w:cs="Times New Roman"/>
                      <w:color w:val="auto"/>
                      <w:kern w:val="2"/>
                      <w:sz w:val="21"/>
                      <w:szCs w:val="21"/>
                      <w:lang w:val="en-US" w:eastAsia="zh-CN" w:bidi="ar-SA"/>
                    </w:rPr>
                    <w:t>达标后，排入南乐县城污水处理厂</w:t>
                  </w:r>
                  <w:r>
                    <w:rPr>
                      <w:rFonts w:hint="eastAsia" w:ascii="Times New Roman" w:hAnsi="Times New Roman" w:eastAsia="宋体" w:cs="Times New Roman"/>
                      <w:color w:val="auto"/>
                      <w:kern w:val="2"/>
                      <w:sz w:val="21"/>
                      <w:szCs w:val="21"/>
                      <w:lang w:val="en-US" w:eastAsia="zh-CN" w:bidi="ar-SA"/>
                    </w:rPr>
                    <w:t>，满足</w:t>
                  </w:r>
                  <w:r>
                    <w:rPr>
                      <w:rFonts w:hint="eastAsia" w:cs="Times New Roman"/>
                      <w:color w:val="auto"/>
                      <w:kern w:val="2"/>
                      <w:sz w:val="21"/>
                      <w:szCs w:val="21"/>
                      <w:lang w:val="en-US" w:eastAsia="zh-CN" w:bidi="ar-SA"/>
                    </w:rPr>
                    <w:t>南乐县城污水处理厂</w:t>
                  </w:r>
                  <w:r>
                    <w:rPr>
                      <w:rFonts w:hint="eastAsia" w:ascii="Times New Roman" w:hAnsi="Times New Roman" w:eastAsia="宋体" w:cs="Times New Roman"/>
                      <w:color w:val="auto"/>
                      <w:kern w:val="2"/>
                      <w:sz w:val="21"/>
                      <w:szCs w:val="21"/>
                      <w:lang w:val="en-US" w:eastAsia="zh-CN" w:bidi="ar-SA"/>
                    </w:rPr>
                    <w:t>收水标准</w:t>
                  </w:r>
                </w:p>
              </w:tc>
              <w:tc>
                <w:tcPr>
                  <w:tcW w:w="397" w:type="pct"/>
                  <w:noWrap w:val="0"/>
                  <w:vAlign w:val="center"/>
                </w:tcPr>
                <w:p w14:paraId="5FEEA9E8">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7D3D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394" w:type="pct"/>
                  <w:gridSpan w:val="2"/>
                  <w:noWrap w:val="0"/>
                  <w:vAlign w:val="center"/>
                </w:tcPr>
                <w:p w14:paraId="023F59FD">
                  <w:pPr>
                    <w:widowControl/>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禁止新建工艺废气中含有难处理的、有毒有害物质的项目</w:t>
                  </w:r>
                </w:p>
              </w:tc>
              <w:tc>
                <w:tcPr>
                  <w:tcW w:w="1208" w:type="pct"/>
                  <w:noWrap w:val="0"/>
                  <w:vAlign w:val="center"/>
                </w:tcPr>
                <w:p w14:paraId="7CD795D5">
                  <w:pPr>
                    <w:widowControl/>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本项目废气不涉及</w:t>
                  </w:r>
                  <w:r>
                    <w:rPr>
                      <w:rFonts w:ascii="Times New Roman" w:hAnsi="Times New Roman" w:eastAsia="宋体" w:cs="Times New Roman"/>
                      <w:color w:val="000000"/>
                      <w:kern w:val="2"/>
                      <w:sz w:val="21"/>
                      <w:szCs w:val="21"/>
                      <w:lang w:val="en-US" w:eastAsia="zh-CN" w:bidi="ar-SA"/>
                    </w:rPr>
                    <w:t>难处理的、有毒有害物质</w:t>
                  </w:r>
                </w:p>
              </w:tc>
              <w:tc>
                <w:tcPr>
                  <w:tcW w:w="397" w:type="pct"/>
                  <w:noWrap w:val="0"/>
                  <w:vAlign w:val="center"/>
                </w:tcPr>
                <w:p w14:paraId="4C1A3729">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51B48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394" w:type="pct"/>
                  <w:gridSpan w:val="2"/>
                  <w:noWrap w:val="0"/>
                  <w:vAlign w:val="center"/>
                </w:tcPr>
                <w:p w14:paraId="0E6DFC68">
                  <w:pPr>
                    <w:widowControl/>
                    <w:rPr>
                      <w:rFonts w:ascii="Times New Roman" w:hAnsi="Times New Roman" w:eastAsia="宋体" w:cs="Times New Roman"/>
                      <w:color w:val="000000"/>
                      <w:kern w:val="2"/>
                      <w:sz w:val="21"/>
                      <w:szCs w:val="21"/>
                      <w:lang w:val="en-US" w:eastAsia="zh-CN" w:bidi="ar-SA"/>
                    </w:rPr>
                  </w:pPr>
                  <w:r>
                    <w:rPr>
                      <w:rFonts w:ascii="Times New Roman" w:hAnsi="Times New Roman" w:eastAsia="宋体" w:cs="Times New Roman"/>
                      <w:color w:val="000000"/>
                      <w:kern w:val="2"/>
                      <w:sz w:val="21"/>
                      <w:szCs w:val="21"/>
                      <w:lang w:val="en-US" w:eastAsia="zh-CN" w:bidi="ar-SA"/>
                    </w:rPr>
                    <w:t>禁止新建达不到规模经济的项目</w:t>
                  </w:r>
                </w:p>
              </w:tc>
              <w:tc>
                <w:tcPr>
                  <w:tcW w:w="1208" w:type="pct"/>
                  <w:noWrap w:val="0"/>
                  <w:vAlign w:val="center"/>
                </w:tcPr>
                <w:p w14:paraId="5F095C27">
                  <w:pPr>
                    <w:widowControl/>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本项目不属于</w:t>
                  </w:r>
                </w:p>
              </w:tc>
              <w:tc>
                <w:tcPr>
                  <w:tcW w:w="397" w:type="pct"/>
                  <w:noWrap w:val="0"/>
                  <w:vAlign w:val="center"/>
                </w:tcPr>
                <w:p w14:paraId="497527A3">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4A86A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394" w:type="pct"/>
                  <w:gridSpan w:val="2"/>
                  <w:noWrap w:val="0"/>
                  <w:vAlign w:val="center"/>
                </w:tcPr>
                <w:p w14:paraId="345312D3">
                  <w:pPr>
                    <w:widowControl/>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u w:val="single"/>
                    </w:rPr>
                    <w:t>《产业结构调整指导目录</w:t>
                  </w: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rPr>
                    <w:t>20</w:t>
                  </w:r>
                  <w:r>
                    <w:rPr>
                      <w:rFonts w:hint="eastAsia" w:cs="Times New Roman"/>
                      <w:sz w:val="21"/>
                      <w:szCs w:val="21"/>
                      <w:u w:val="single"/>
                      <w:lang w:val="en-US" w:eastAsia="zh-CN"/>
                    </w:rPr>
                    <w:t>24年本</w:t>
                  </w: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rPr>
                    <w:t>》</w:t>
                  </w:r>
                  <w:r>
                    <w:rPr>
                      <w:rFonts w:ascii="Times New Roman" w:hAnsi="Times New Roman" w:eastAsia="宋体" w:cs="Times New Roman"/>
                      <w:color w:val="000000"/>
                      <w:kern w:val="2"/>
                      <w:sz w:val="21"/>
                      <w:szCs w:val="21"/>
                      <w:lang w:val="en-US" w:eastAsia="zh-CN" w:bidi="ar-SA"/>
                    </w:rPr>
                    <w:t>中属于装备制造业的淘汰类项目</w:t>
                  </w:r>
                </w:p>
              </w:tc>
              <w:tc>
                <w:tcPr>
                  <w:tcW w:w="1208" w:type="pct"/>
                  <w:noWrap w:val="0"/>
                  <w:vAlign w:val="center"/>
                </w:tcPr>
                <w:p w14:paraId="19EA3477">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本项目不属于</w:t>
                  </w:r>
                </w:p>
              </w:tc>
              <w:tc>
                <w:tcPr>
                  <w:tcW w:w="397" w:type="pct"/>
                  <w:noWrap w:val="0"/>
                  <w:vAlign w:val="center"/>
                </w:tcPr>
                <w:p w14:paraId="0D015525">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41F9A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394" w:type="pct"/>
                  <w:gridSpan w:val="2"/>
                  <w:noWrap w:val="0"/>
                  <w:vAlign w:val="center"/>
                </w:tcPr>
                <w:p w14:paraId="1E6058B5">
                  <w:pPr>
                    <w:widowControl/>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u w:val="single"/>
                    </w:rPr>
                    <w:t>《产业结构调整指导目录</w:t>
                  </w: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rPr>
                    <w:t>20</w:t>
                  </w:r>
                  <w:r>
                    <w:rPr>
                      <w:rFonts w:hint="eastAsia" w:cs="Times New Roman"/>
                      <w:sz w:val="21"/>
                      <w:szCs w:val="21"/>
                      <w:u w:val="single"/>
                      <w:lang w:val="en-US" w:eastAsia="zh-CN"/>
                    </w:rPr>
                    <w:t>24年本</w:t>
                  </w: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rPr>
                    <w:t>》</w:t>
                  </w:r>
                  <w:r>
                    <w:rPr>
                      <w:rFonts w:ascii="Times New Roman" w:hAnsi="Times New Roman" w:eastAsia="宋体" w:cs="Times New Roman"/>
                      <w:color w:val="000000"/>
                      <w:kern w:val="2"/>
                      <w:sz w:val="21"/>
                      <w:szCs w:val="21"/>
                      <w:lang w:val="en-US" w:eastAsia="zh-CN" w:bidi="ar-SA"/>
                    </w:rPr>
                    <w:t>中属于食品加工业的淘汰类项目</w:t>
                  </w:r>
                </w:p>
              </w:tc>
              <w:tc>
                <w:tcPr>
                  <w:tcW w:w="1208" w:type="pct"/>
                  <w:noWrap w:val="0"/>
                  <w:vAlign w:val="center"/>
                </w:tcPr>
                <w:p w14:paraId="370634AB">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本项目不属于</w:t>
                  </w:r>
                </w:p>
              </w:tc>
              <w:tc>
                <w:tcPr>
                  <w:tcW w:w="397" w:type="pct"/>
                  <w:noWrap w:val="0"/>
                  <w:vAlign w:val="center"/>
                </w:tcPr>
                <w:p w14:paraId="307F95CF">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7BE4F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394" w:type="pct"/>
                  <w:gridSpan w:val="2"/>
                  <w:noWrap w:val="0"/>
                  <w:vAlign w:val="center"/>
                </w:tcPr>
                <w:p w14:paraId="74DF3CA9">
                  <w:pPr>
                    <w:widowControl/>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sz w:val="21"/>
                      <w:szCs w:val="21"/>
                      <w:u w:val="single"/>
                    </w:rPr>
                    <w:t>《产业结构调整指导目录</w:t>
                  </w: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rPr>
                    <w:t>20</w:t>
                  </w:r>
                  <w:r>
                    <w:rPr>
                      <w:rFonts w:hint="eastAsia" w:cs="Times New Roman"/>
                      <w:sz w:val="21"/>
                      <w:szCs w:val="21"/>
                      <w:u w:val="single"/>
                      <w:lang w:val="en-US" w:eastAsia="zh-CN"/>
                    </w:rPr>
                    <w:t>24年本</w:t>
                  </w:r>
                  <w:r>
                    <w:rPr>
                      <w:rFonts w:hint="eastAsia" w:ascii="Times New Roman" w:hAnsi="Times New Roman" w:eastAsia="宋体" w:cs="Times New Roman"/>
                      <w:sz w:val="21"/>
                      <w:szCs w:val="21"/>
                      <w:u w:val="single"/>
                      <w:lang w:eastAsia="zh-CN"/>
                    </w:rPr>
                    <w:t>）</w:t>
                  </w:r>
                  <w:r>
                    <w:rPr>
                      <w:rFonts w:hint="eastAsia" w:ascii="Times New Roman" w:hAnsi="Times New Roman" w:eastAsia="宋体" w:cs="Times New Roman"/>
                      <w:sz w:val="21"/>
                      <w:szCs w:val="21"/>
                      <w:u w:val="single"/>
                    </w:rPr>
                    <w:t>》</w:t>
                  </w:r>
                  <w:r>
                    <w:rPr>
                      <w:rFonts w:ascii="Times New Roman" w:hAnsi="Times New Roman" w:eastAsia="宋体" w:cs="Times New Roman"/>
                      <w:color w:val="000000"/>
                      <w:kern w:val="2"/>
                      <w:sz w:val="21"/>
                      <w:szCs w:val="21"/>
                      <w:lang w:val="en-US" w:eastAsia="zh-CN" w:bidi="ar-SA"/>
                    </w:rPr>
                    <w:t>中属于生物制造产业的淘汰类项目</w:t>
                  </w:r>
                </w:p>
              </w:tc>
              <w:tc>
                <w:tcPr>
                  <w:tcW w:w="1208" w:type="pct"/>
                  <w:noWrap w:val="0"/>
                  <w:vAlign w:val="center"/>
                </w:tcPr>
                <w:p w14:paraId="388FAFD8">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本项目不属于</w:t>
                  </w:r>
                </w:p>
              </w:tc>
              <w:tc>
                <w:tcPr>
                  <w:tcW w:w="397" w:type="pct"/>
                  <w:noWrap w:val="0"/>
                  <w:vAlign w:val="center"/>
                </w:tcPr>
                <w:p w14:paraId="1ED9888D">
                  <w:pPr>
                    <w:widowControl/>
                    <w:jc w:val="center"/>
                    <w:rPr>
                      <w:rFonts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bl>
          <w:p w14:paraId="345EB282">
            <w:pPr>
              <w:pStyle w:val="20"/>
              <w:keepNext w:val="0"/>
              <w:keepLines w:val="0"/>
              <w:pageBreakBefore w:val="0"/>
              <w:widowControl w:val="0"/>
              <w:numPr>
                <w:ilvl w:val="0"/>
                <w:numId w:val="0"/>
              </w:numPr>
              <w:kinsoku/>
              <w:wordWrap/>
              <w:overflowPunct/>
              <w:topLinePunct w:val="0"/>
              <w:autoSpaceDE w:val="0"/>
              <w:autoSpaceDN w:val="0"/>
              <w:bidi w:val="0"/>
              <w:adjustRightInd w:val="0"/>
              <w:snapToGrid/>
              <w:spacing w:before="0" w:beforeLines="0" w:line="500" w:lineRule="exact"/>
              <w:jc w:val="left"/>
              <w:textAlignment w:val="auto"/>
              <w:rPr>
                <w:rFonts w:hint="default" w:ascii="Times New Roman" w:hAnsi="Times New Roman" w:eastAsia="宋体" w:cs="Times New Roman"/>
                <w:b/>
                <w:bCs/>
                <w:kern w:val="2"/>
                <w:sz w:val="24"/>
                <w:szCs w:val="24"/>
                <w:u w:val="single"/>
                <w:lang w:val="en-US" w:eastAsia="zh-CN" w:bidi="ar-SA"/>
              </w:rPr>
            </w:pPr>
            <w:r>
              <w:rPr>
                <w:rFonts w:hint="default" w:ascii="Times New Roman" w:hAnsi="Times New Roman" w:eastAsia="宋体" w:cs="Times New Roman"/>
                <w:b/>
                <w:bCs/>
                <w:kern w:val="2"/>
                <w:sz w:val="24"/>
                <w:szCs w:val="24"/>
                <w:u w:val="single"/>
                <w:lang w:val="en-US" w:eastAsia="zh-CN" w:bidi="ar-SA"/>
              </w:rPr>
              <w:t>注：本准入条件中涉及的产业政策和国家、省、市、县各级环境管理要求发生变化时，按照新规定执行。</w:t>
            </w:r>
          </w:p>
          <w:p w14:paraId="327F03DE">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本项目位于南乐县产业集聚区，属于《产业结构调整指导目录（20</w:t>
            </w:r>
            <w:r>
              <w:rPr>
                <w:rFonts w:hint="eastAsia" w:ascii="Times New Roman" w:hAnsi="Times New Roman" w:eastAsia="宋体"/>
                <w:lang w:val="en-US" w:eastAsia="zh-CN"/>
              </w:rPr>
              <w:t>24</w:t>
            </w:r>
            <w:r>
              <w:rPr>
                <w:rFonts w:hint="default" w:ascii="Times New Roman" w:hAnsi="Times New Roman" w:eastAsia="宋体"/>
                <w:lang w:val="en-US" w:eastAsia="zh-CN"/>
              </w:rPr>
              <w:t>年本）》中</w:t>
            </w:r>
            <w:r>
              <w:rPr>
                <w:rFonts w:hint="eastAsia" w:ascii="Times New Roman" w:hAnsi="Times New Roman" w:eastAsia="宋体"/>
                <w:lang w:val="en-US" w:eastAsia="zh-CN"/>
              </w:rPr>
              <w:t>鼓励</w:t>
            </w:r>
            <w:r>
              <w:rPr>
                <w:rFonts w:hint="default" w:ascii="Times New Roman" w:hAnsi="Times New Roman" w:eastAsia="宋体"/>
                <w:lang w:val="en-US" w:eastAsia="zh-CN"/>
              </w:rPr>
              <w:t>类项目</w:t>
            </w:r>
            <w:r>
              <w:rPr>
                <w:rFonts w:hint="eastAsia" w:ascii="Times New Roman" w:hAnsi="Times New Roman" w:eastAsia="宋体"/>
                <w:lang w:val="en-US" w:eastAsia="zh-CN"/>
              </w:rPr>
              <w:t>。本项目贯彻国家“节能减排政策”和“发展循环经济”的方针，并充分利用河南及周边废旧轮胎资源，变废为宝，将地区废弃资源转化为经济优势，使资源最大限度的发挥作用。</w:t>
            </w:r>
            <w:r>
              <w:rPr>
                <w:rFonts w:hint="default" w:ascii="Times New Roman" w:hAnsi="Times New Roman" w:eastAsia="宋体"/>
                <w:lang w:val="en-US" w:eastAsia="zh-CN"/>
              </w:rPr>
              <w:t>本项目符合南乐县产业集聚区发展规划要求</w:t>
            </w:r>
            <w:r>
              <w:rPr>
                <w:rFonts w:hint="eastAsia" w:ascii="Times New Roman" w:hAnsi="Times New Roman" w:eastAsia="宋体"/>
                <w:lang w:val="en-US" w:eastAsia="zh-CN"/>
              </w:rPr>
              <w:t>。</w:t>
            </w:r>
          </w:p>
          <w:p w14:paraId="5DD4D0E2">
            <w:pPr>
              <w:pStyle w:val="28"/>
              <w:spacing w:line="520" w:lineRule="exact"/>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3、与南乐县产业集聚区发展规划环评报告书审查意见（豫环审【2009】441号）的相符性</w:t>
            </w:r>
          </w:p>
          <w:p w14:paraId="57C46504">
            <w:pPr>
              <w:spacing w:line="360" w:lineRule="auto"/>
              <w:jc w:val="center"/>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表1-3  本项目与南乐县产业集聚区发展规划环评报告书审查意见（豫环审【2009】441号）的相符性</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6630"/>
              <w:gridCol w:w="5635"/>
            </w:tblGrid>
            <w:tr w14:paraId="4BC0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415465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序号</w:t>
                  </w:r>
                </w:p>
              </w:tc>
              <w:tc>
                <w:tcPr>
                  <w:tcW w:w="6630" w:type="dxa"/>
                  <w:noWrap w:val="0"/>
                  <w:vAlign w:val="center"/>
                </w:tcPr>
                <w:p w14:paraId="619997B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审查意见</w:t>
                  </w:r>
                </w:p>
              </w:tc>
              <w:tc>
                <w:tcPr>
                  <w:tcW w:w="5635" w:type="dxa"/>
                  <w:noWrap w:val="0"/>
                  <w:vAlign w:val="center"/>
                </w:tcPr>
                <w:p w14:paraId="78FE1F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本项目情况</w:t>
                  </w:r>
                </w:p>
              </w:tc>
            </w:tr>
            <w:tr w14:paraId="56D47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125CD2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6630" w:type="dxa"/>
                  <w:noWrap w:val="0"/>
                  <w:vAlign w:val="center"/>
                </w:tcPr>
                <w:p w14:paraId="285998A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按照</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清污分流、雨污分流</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的要求规划建设集聚区排水系统，加快配套污水管网，确保入区企业外排废水全部经管网收集后进入</w:t>
                  </w:r>
                  <w:r>
                    <w:rPr>
                      <w:rFonts w:hint="eastAsia" w:cs="Times New Roman"/>
                      <w:color w:val="000000"/>
                      <w:kern w:val="2"/>
                      <w:sz w:val="21"/>
                      <w:szCs w:val="21"/>
                      <w:lang w:val="en-US" w:eastAsia="zh-CN" w:bidi="ar-SA"/>
                    </w:rPr>
                    <w:t>南乐县城污水处理厂</w:t>
                  </w:r>
                  <w:r>
                    <w:rPr>
                      <w:rFonts w:hint="default" w:ascii="Times New Roman" w:hAnsi="Times New Roman" w:eastAsia="宋体" w:cs="Times New Roman"/>
                      <w:color w:val="000000"/>
                      <w:kern w:val="2"/>
                      <w:sz w:val="21"/>
                      <w:szCs w:val="21"/>
                      <w:lang w:val="en-US" w:eastAsia="zh-CN" w:bidi="ar-SA"/>
                    </w:rPr>
                    <w:t>，入区企业均不得单独设置污水排放口</w:t>
                  </w:r>
                </w:p>
              </w:tc>
              <w:tc>
                <w:tcPr>
                  <w:tcW w:w="5635" w:type="dxa"/>
                  <w:noWrap w:val="0"/>
                  <w:vAlign w:val="center"/>
                </w:tcPr>
                <w:p w14:paraId="65A2C5D1">
                  <w:pPr>
                    <w:keepNext w:val="0"/>
                    <w:keepLines w:val="0"/>
                    <w:widowControl/>
                    <w:suppressLineNumbers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本项目无废渣排放，雨水直接排入厂区雨水管网，生产废水</w:t>
                  </w:r>
                  <w:r>
                    <w:rPr>
                      <w:rFonts w:hint="eastAsia" w:cs="Times New Roman"/>
                      <w:color w:val="000000"/>
                      <w:kern w:val="2"/>
                      <w:sz w:val="21"/>
                      <w:szCs w:val="21"/>
                      <w:lang w:val="en-US" w:eastAsia="zh-CN" w:bidi="ar-SA"/>
                    </w:rPr>
                    <w:t>循环使用不外排</w:t>
                  </w:r>
                  <w:r>
                    <w:rPr>
                      <w:rFonts w:hint="eastAsia" w:ascii="Times New Roman" w:hAnsi="Times New Roman" w:eastAsia="宋体" w:cs="Times New Roman"/>
                      <w:color w:val="000000"/>
                      <w:kern w:val="2"/>
                      <w:sz w:val="21"/>
                      <w:szCs w:val="21"/>
                      <w:lang w:val="en-US" w:eastAsia="zh-CN" w:bidi="ar-SA"/>
                    </w:rPr>
                    <w:t>，生活水排入</w:t>
                  </w:r>
                  <w:r>
                    <w:rPr>
                      <w:rFonts w:hint="eastAsia" w:cs="Times New Roman"/>
                      <w:color w:val="000000"/>
                      <w:kern w:val="2"/>
                      <w:sz w:val="21"/>
                      <w:szCs w:val="21"/>
                      <w:lang w:val="en-US" w:eastAsia="zh-CN" w:bidi="ar-SA"/>
                    </w:rPr>
                    <w:t>南乐县城污水处理厂</w:t>
                  </w:r>
                </w:p>
              </w:tc>
            </w:tr>
            <w:tr w14:paraId="41886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4C794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6630" w:type="dxa"/>
                  <w:noWrap w:val="0"/>
                  <w:vAlign w:val="center"/>
                </w:tcPr>
                <w:p w14:paraId="37CBEAF4">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集聚区应尽快按规划建设区域集中供热设施，实施集中供热，关停区内小锅炉</w:t>
                  </w:r>
                </w:p>
              </w:tc>
              <w:tc>
                <w:tcPr>
                  <w:tcW w:w="5635" w:type="dxa"/>
                  <w:noWrap w:val="0"/>
                  <w:vAlign w:val="center"/>
                </w:tcPr>
                <w:p w14:paraId="087D8398">
                  <w:pPr>
                    <w:keepNext w:val="0"/>
                    <w:keepLines w:val="0"/>
                    <w:widowControl/>
                    <w:suppressLineNumbers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本项目无需</w:t>
                  </w:r>
                  <w:r>
                    <w:rPr>
                      <w:rFonts w:hint="eastAsia" w:cs="Times New Roman"/>
                      <w:color w:val="000000"/>
                      <w:kern w:val="2"/>
                      <w:sz w:val="21"/>
                      <w:szCs w:val="21"/>
                      <w:lang w:val="en-US" w:eastAsia="zh-CN" w:bidi="ar-SA"/>
                    </w:rPr>
                    <w:t>集中</w:t>
                  </w:r>
                  <w:r>
                    <w:rPr>
                      <w:rFonts w:hint="eastAsia" w:ascii="Times New Roman" w:hAnsi="Times New Roman" w:eastAsia="宋体" w:cs="Times New Roman"/>
                      <w:color w:val="000000"/>
                      <w:kern w:val="2"/>
                      <w:sz w:val="21"/>
                      <w:szCs w:val="21"/>
                      <w:lang w:val="en-US" w:eastAsia="zh-CN" w:bidi="ar-SA"/>
                    </w:rPr>
                    <w:t>供热</w:t>
                  </w:r>
                </w:p>
              </w:tc>
            </w:tr>
            <w:tr w14:paraId="70422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61773B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6630" w:type="dxa"/>
                  <w:noWrap w:val="0"/>
                  <w:vAlign w:val="center"/>
                </w:tcPr>
                <w:p w14:paraId="135B59BA">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按照循环经济的要求，提高固体废物的综合利用率，一般工业固废回收或综合利用，外排固废应统一运至专用处置场安全处置，严禁企业随意弃置</w:t>
                  </w:r>
                </w:p>
              </w:tc>
              <w:tc>
                <w:tcPr>
                  <w:tcW w:w="5635" w:type="dxa"/>
                  <w:noWrap w:val="0"/>
                  <w:vAlign w:val="center"/>
                </w:tcPr>
                <w:p w14:paraId="141AE4AA">
                  <w:pPr>
                    <w:keepNext w:val="0"/>
                    <w:keepLines w:val="0"/>
                    <w:widowControl/>
                    <w:suppressLineNumbers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本项目一般工业固废能做到回收利用或处理</w:t>
                  </w:r>
                </w:p>
              </w:tc>
            </w:tr>
            <w:tr w14:paraId="2E72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7E5F0F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c>
                <w:tcPr>
                  <w:tcW w:w="6630" w:type="dxa"/>
                  <w:noWrap w:val="0"/>
                  <w:vAlign w:val="center"/>
                </w:tcPr>
                <w:p w14:paraId="359A13F5">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设置生活垃圾中转站及收集系统，生活垃圾统一运至生活垃圾填埋场处置</w:t>
                  </w:r>
                </w:p>
              </w:tc>
              <w:tc>
                <w:tcPr>
                  <w:tcW w:w="5635" w:type="dxa"/>
                  <w:noWrap w:val="0"/>
                  <w:vAlign w:val="center"/>
                </w:tcPr>
                <w:p w14:paraId="483A5F96">
                  <w:pPr>
                    <w:keepNext w:val="0"/>
                    <w:keepLines w:val="0"/>
                    <w:widowControl/>
                    <w:suppressLineNumbers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本项目生活垃圾交环卫部门统一处理</w:t>
                  </w:r>
                </w:p>
              </w:tc>
            </w:tr>
            <w:tr w14:paraId="7096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2EC3258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c>
                <w:tcPr>
                  <w:tcW w:w="6630" w:type="dxa"/>
                  <w:noWrap w:val="0"/>
                  <w:vAlign w:val="center"/>
                </w:tcPr>
                <w:p w14:paraId="036889EA">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严格执行污染物排放总量控制制度</w:t>
                  </w:r>
                </w:p>
              </w:tc>
              <w:tc>
                <w:tcPr>
                  <w:tcW w:w="5635" w:type="dxa"/>
                  <w:noWrap w:val="0"/>
                  <w:vAlign w:val="center"/>
                </w:tcPr>
                <w:p w14:paraId="5DA2A2E6">
                  <w:pPr>
                    <w:keepNext w:val="0"/>
                    <w:keepLines w:val="0"/>
                    <w:widowControl/>
                    <w:suppressLineNumbers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本项目建成后严格执行排污许可制度</w:t>
                  </w:r>
                </w:p>
              </w:tc>
            </w:tr>
            <w:tr w14:paraId="7A13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42AC65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w:t>
                  </w:r>
                </w:p>
              </w:tc>
              <w:tc>
                <w:tcPr>
                  <w:tcW w:w="6630" w:type="dxa"/>
                  <w:noWrap w:val="0"/>
                  <w:vAlign w:val="center"/>
                </w:tcPr>
                <w:p w14:paraId="3B7ED46C">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抓紧规划建设</w:t>
                  </w:r>
                  <w:r>
                    <w:rPr>
                      <w:rFonts w:hint="eastAsia" w:cs="Times New Roman"/>
                      <w:color w:val="000000"/>
                      <w:kern w:val="2"/>
                      <w:sz w:val="21"/>
                      <w:szCs w:val="21"/>
                      <w:lang w:val="en-US" w:eastAsia="zh-CN" w:bidi="ar-SA"/>
                    </w:rPr>
                    <w:t>南乐县城污水处理厂</w:t>
                  </w:r>
                  <w:r>
                    <w:rPr>
                      <w:rFonts w:hint="eastAsia" w:ascii="Times New Roman" w:hAnsi="Times New Roman" w:eastAsia="宋体" w:cs="Times New Roman"/>
                      <w:color w:val="000000"/>
                      <w:kern w:val="2"/>
                      <w:sz w:val="21"/>
                      <w:szCs w:val="21"/>
                      <w:lang w:val="en-US" w:eastAsia="zh-CN" w:bidi="ar-SA"/>
                    </w:rPr>
                    <w:t>扩建工程及中水回用工程，减少废水排放</w:t>
                  </w:r>
                </w:p>
              </w:tc>
              <w:tc>
                <w:tcPr>
                  <w:tcW w:w="5635" w:type="dxa"/>
                  <w:noWrap w:val="0"/>
                  <w:vAlign w:val="center"/>
                </w:tcPr>
                <w:p w14:paraId="7D71D795">
                  <w:pPr>
                    <w:keepNext w:val="0"/>
                    <w:keepLines w:val="0"/>
                    <w:widowControl/>
                    <w:suppressLineNumbers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本项目不涉及中水回用</w:t>
                  </w:r>
                </w:p>
              </w:tc>
            </w:tr>
            <w:tr w14:paraId="1BE6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682438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w:t>
                  </w:r>
                </w:p>
              </w:tc>
              <w:tc>
                <w:tcPr>
                  <w:tcW w:w="6630" w:type="dxa"/>
                  <w:noWrap w:val="0"/>
                  <w:vAlign w:val="center"/>
                </w:tcPr>
                <w:p w14:paraId="6E84B0BF">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定期对地下水进行监测，发现问题及时采取有效防治措施，避免对地下水造成污染</w:t>
                  </w:r>
                </w:p>
              </w:tc>
              <w:tc>
                <w:tcPr>
                  <w:tcW w:w="5635" w:type="dxa"/>
                  <w:noWrap w:val="0"/>
                  <w:vAlign w:val="center"/>
                </w:tcPr>
                <w:p w14:paraId="0406A828">
                  <w:pPr>
                    <w:keepNext w:val="0"/>
                    <w:keepLines w:val="0"/>
                    <w:widowControl/>
                    <w:suppressLineNumbers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本项目无需设置地下水监测</w:t>
                  </w:r>
                </w:p>
              </w:tc>
            </w:tr>
            <w:tr w14:paraId="08BAF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1E8AEE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8</w:t>
                  </w:r>
                </w:p>
              </w:tc>
              <w:tc>
                <w:tcPr>
                  <w:tcW w:w="6630" w:type="dxa"/>
                  <w:noWrap w:val="0"/>
                  <w:vAlign w:val="center"/>
                </w:tcPr>
                <w:p w14:paraId="51F96C56">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南乐县政府应尽快制定合理的水资源利用规划，加强引黄河道（马颊河）沿线保护，逐步开发利用引黄水；集聚区内不得新增自备井，并有计划逐步关停企业自备井</w:t>
                  </w:r>
                </w:p>
              </w:tc>
              <w:tc>
                <w:tcPr>
                  <w:tcW w:w="5635" w:type="dxa"/>
                  <w:noWrap w:val="0"/>
                  <w:vAlign w:val="center"/>
                </w:tcPr>
                <w:p w14:paraId="06C1BC68">
                  <w:pPr>
                    <w:keepNext w:val="0"/>
                    <w:keepLines w:val="0"/>
                    <w:widowControl/>
                    <w:suppressLineNumbers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本项目不设置自备井，水源来自市政管网</w:t>
                  </w:r>
                </w:p>
              </w:tc>
            </w:tr>
            <w:tr w14:paraId="27B33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70ED69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6630" w:type="dxa"/>
                  <w:noWrap w:val="0"/>
                  <w:vAlign w:val="center"/>
                </w:tcPr>
                <w:p w14:paraId="472DB9BA">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按照开发计划和进度及时拆迁，妥善安置，优先安排集聚区范围内距离火灾危险源较近的村庄搬迁，禁止在企业卫生防护距离内布设新的居民点、学校、医院等环境敏感点，积极加强对拆迁居民的培训，拓宽就业渠道，保证其生活基本稳定，构建和谐社会</w:t>
                  </w:r>
                </w:p>
              </w:tc>
              <w:tc>
                <w:tcPr>
                  <w:tcW w:w="5635" w:type="dxa"/>
                  <w:noWrap w:val="0"/>
                  <w:vAlign w:val="center"/>
                </w:tcPr>
                <w:p w14:paraId="589DC1BF">
                  <w:pPr>
                    <w:keepNext w:val="0"/>
                    <w:keepLines w:val="0"/>
                    <w:widowControl/>
                    <w:suppressLineNumbers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本项目不涉及村庄搬迁和卫生防护距离</w:t>
                  </w:r>
                </w:p>
              </w:tc>
            </w:tr>
            <w:tr w14:paraId="2FDF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5C826C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w:t>
                  </w:r>
                </w:p>
              </w:tc>
              <w:tc>
                <w:tcPr>
                  <w:tcW w:w="6630" w:type="dxa"/>
                  <w:noWrap w:val="0"/>
                  <w:vAlign w:val="center"/>
                </w:tcPr>
                <w:p w14:paraId="3ABB1042">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加强集聚区环境监督管理，完善环境管理机构，制定环境管理目标、制度和监测措施，编制并实施环境保护规划和实施方案，指导入区项目建设。建立环境管理（含监测）资料档案，加强环保宣传、教育及培训，实施环境保护动态化管理</w:t>
                  </w:r>
                </w:p>
              </w:tc>
              <w:tc>
                <w:tcPr>
                  <w:tcW w:w="5635" w:type="dxa"/>
                  <w:noWrap w:val="0"/>
                  <w:vAlign w:val="center"/>
                </w:tcPr>
                <w:p w14:paraId="65256E44">
                  <w:pPr>
                    <w:keepNext w:val="0"/>
                    <w:keepLines w:val="0"/>
                    <w:widowControl/>
                    <w:suppressLineNumbers w:val="0"/>
                    <w:jc w:val="both"/>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本项目建成后设置专门的环保机构，落实各项环保措施</w:t>
                  </w:r>
                </w:p>
              </w:tc>
            </w:tr>
            <w:tr w14:paraId="2364F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4C8CC71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11</w:t>
                  </w:r>
                </w:p>
              </w:tc>
              <w:tc>
                <w:tcPr>
                  <w:tcW w:w="6630" w:type="dxa"/>
                  <w:noWrap w:val="0"/>
                  <w:vAlign w:val="center"/>
                </w:tcPr>
                <w:p w14:paraId="2BF043F9">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在集聚区发展规划实施及开发建设中，要严格执行环保“三同时”制度，自觉接受环保部门的检查与监督管理</w:t>
                  </w:r>
                </w:p>
              </w:tc>
              <w:tc>
                <w:tcPr>
                  <w:tcW w:w="5635" w:type="dxa"/>
                  <w:noWrap w:val="0"/>
                  <w:vAlign w:val="center"/>
                </w:tcPr>
                <w:p w14:paraId="3A4E0808">
                  <w:pPr>
                    <w:keepNext w:val="0"/>
                    <w:keepLines w:val="0"/>
                    <w:widowControl/>
                    <w:suppressLineNumbers w:val="0"/>
                    <w:jc w:val="both"/>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本项目建成后严格执行环评和“三同时”制度，并自觉接受濮阳市生态环境局南乐分局的环境保护检查与监督管理</w:t>
                  </w:r>
                </w:p>
              </w:tc>
            </w:tr>
            <w:tr w14:paraId="4E773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dxa"/>
                  <w:noWrap w:val="0"/>
                  <w:vAlign w:val="center"/>
                </w:tcPr>
                <w:p w14:paraId="5C45BE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12</w:t>
                  </w:r>
                </w:p>
              </w:tc>
              <w:tc>
                <w:tcPr>
                  <w:tcW w:w="6630" w:type="dxa"/>
                  <w:noWrap w:val="0"/>
                  <w:vAlign w:val="center"/>
                </w:tcPr>
                <w:p w14:paraId="5599FA01">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对以后的规划开发工作进行相应的调整和改进，对建设内容发生重大变化的，应重新进行环境影响评价，并报有关部门批准</w:t>
                  </w:r>
                </w:p>
              </w:tc>
              <w:tc>
                <w:tcPr>
                  <w:tcW w:w="5635" w:type="dxa"/>
                  <w:noWrap w:val="0"/>
                  <w:vAlign w:val="center"/>
                </w:tcPr>
                <w:p w14:paraId="49ABFA65">
                  <w:pPr>
                    <w:keepNext w:val="0"/>
                    <w:keepLines w:val="0"/>
                    <w:widowControl/>
                    <w:suppressLineNumbers w:val="0"/>
                    <w:jc w:val="both"/>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集聚区规划调整方案编制完成。本项目建设内容若发生重大变化，应重新进行环境影响评价，并</w:t>
                  </w:r>
                  <w:r>
                    <w:rPr>
                      <w:rFonts w:hint="eastAsia" w:ascii="Times New Roman" w:hAnsi="Times New Roman" w:eastAsia="宋体" w:cs="Times New Roman"/>
                      <w:color w:val="auto"/>
                      <w:kern w:val="2"/>
                      <w:sz w:val="21"/>
                      <w:szCs w:val="21"/>
                      <w:lang w:val="en-US" w:eastAsia="zh-CN" w:bidi="ar-SA"/>
                    </w:rPr>
                    <w:t>报有关部门批准</w:t>
                  </w:r>
                </w:p>
              </w:tc>
            </w:tr>
          </w:tbl>
          <w:p w14:paraId="7F5C8D86">
            <w:pPr>
              <w:bidi w:val="0"/>
              <w:rPr>
                <w:rFonts w:hint="default"/>
                <w:lang w:val="en-US" w:eastAsia="zh-CN"/>
              </w:rPr>
            </w:pPr>
          </w:p>
          <w:p w14:paraId="0C4E9A60">
            <w:pPr>
              <w:pStyle w:val="4"/>
            </w:pPr>
          </w:p>
          <w:p w14:paraId="031F1462"/>
          <w:p w14:paraId="5C881C46"/>
          <w:p w14:paraId="5EBD4FCD"/>
          <w:p w14:paraId="522CF8E6"/>
          <w:p w14:paraId="3EBC13FE"/>
          <w:p w14:paraId="6DD9E753"/>
          <w:p w14:paraId="43D77B13"/>
          <w:p w14:paraId="3C4507E0"/>
          <w:p w14:paraId="02EEAE55">
            <w:pPr>
              <w:pStyle w:val="4"/>
            </w:pPr>
          </w:p>
          <w:p w14:paraId="419A128D"/>
          <w:p w14:paraId="3306FA6B">
            <w:pPr>
              <w:pStyle w:val="4"/>
            </w:pPr>
          </w:p>
        </w:tc>
      </w:tr>
    </w:tbl>
    <w:p w14:paraId="7DBCCA6A">
      <w:pPr>
        <w:rPr>
          <w:lang w:val="en-US" w:eastAsia="zh-CN"/>
        </w:rPr>
        <w:sectPr>
          <w:pgSz w:w="16838" w:h="11906" w:orient="landscape"/>
          <w:pgMar w:top="1800" w:right="1440" w:bottom="1800" w:left="1440" w:header="851" w:footer="992" w:gutter="0"/>
          <w:pgNumType w:fmt="decimal"/>
          <w:cols w:space="425" w:num="1"/>
          <w:docGrid w:type="lines" w:linePitch="312" w:charSpace="0"/>
        </w:sectPr>
      </w:pP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7768"/>
      </w:tblGrid>
      <w:tr w14:paraId="22AF48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2" w:type="dxa"/>
            <w:noWrap w:val="0"/>
            <w:vAlign w:val="center"/>
          </w:tcPr>
          <w:p w14:paraId="04737F0B">
            <w:pPr>
              <w:autoSpaceDE w:val="0"/>
              <w:autoSpaceDN w:val="0"/>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其他符合性分析</w:t>
            </w:r>
          </w:p>
        </w:tc>
        <w:tc>
          <w:tcPr>
            <w:tcW w:w="7768" w:type="dxa"/>
            <w:noWrap w:val="0"/>
            <w:vAlign w:val="center"/>
          </w:tcPr>
          <w:p w14:paraId="14620244">
            <w:pPr>
              <w:pStyle w:val="28"/>
              <w:spacing w:line="520" w:lineRule="exact"/>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u w:val="single"/>
                <w:lang w:val="en-US" w:eastAsia="zh-CN" w:bidi="zh-CN"/>
              </w:rPr>
              <w:t>1、与</w:t>
            </w:r>
            <w:r>
              <w:rPr>
                <w:rFonts w:hint="eastAsia" w:ascii="Times New Roman" w:hAnsi="Times New Roman" w:eastAsia="宋体" w:cs="Times New Roman"/>
                <w:b/>
                <w:bCs/>
                <w:color w:val="000000"/>
                <w:u w:val="single"/>
                <w:lang w:val="en-US" w:eastAsia="zh-CN" w:bidi="zh-CN"/>
              </w:rPr>
              <w:t>“三线一单”</w:t>
            </w:r>
            <w:r>
              <w:rPr>
                <w:rFonts w:hint="default" w:ascii="Times New Roman" w:hAnsi="Times New Roman" w:eastAsia="宋体" w:cs="Times New Roman"/>
                <w:b/>
                <w:bCs/>
                <w:color w:val="000000"/>
                <w:u w:val="single"/>
                <w:lang w:val="en-US" w:eastAsia="zh-CN" w:bidi="zh-CN"/>
              </w:rPr>
              <w:t>相符相分析</w:t>
            </w:r>
          </w:p>
          <w:p w14:paraId="5A29328D">
            <w:pPr>
              <w:autoSpaceDE w:val="0"/>
              <w:autoSpaceDN w:val="0"/>
              <w:adjustRightInd w:val="0"/>
              <w:snapToGrid w:val="0"/>
              <w:spacing w:line="360" w:lineRule="auto"/>
              <w:ind w:firstLine="482" w:firstLineChars="200"/>
              <w:rPr>
                <w:rFonts w:hint="default" w:ascii="Times New Roman" w:hAnsi="Times New Roman" w:eastAsia="宋体"/>
                <w:b/>
                <w:bCs/>
                <w:u w:val="single"/>
                <w:lang w:val="en-US" w:eastAsia="zh-CN"/>
              </w:rPr>
            </w:pPr>
            <w:r>
              <w:rPr>
                <w:rFonts w:hint="default" w:ascii="Times New Roman" w:hAnsi="Times New Roman" w:eastAsia="宋体"/>
                <w:b/>
                <w:bCs/>
                <w:u w:val="single"/>
                <w:lang w:val="en-US" w:eastAsia="zh-CN"/>
              </w:rPr>
              <w:t>（1）与生态保护红线相符性</w:t>
            </w:r>
          </w:p>
          <w:p w14:paraId="1A34C5E7">
            <w:pPr>
              <w:autoSpaceDE w:val="0"/>
              <w:autoSpaceDN w:val="0"/>
              <w:adjustRightInd w:val="0"/>
              <w:snapToGrid w:val="0"/>
              <w:spacing w:line="360" w:lineRule="auto"/>
              <w:ind w:firstLine="482" w:firstLineChars="200"/>
              <w:rPr>
                <w:rFonts w:hint="default" w:ascii="Times New Roman" w:hAnsi="Times New Roman" w:eastAsia="宋体"/>
                <w:b/>
                <w:bCs/>
                <w:lang w:val="en-US" w:eastAsia="zh-CN"/>
              </w:rPr>
            </w:pPr>
            <w:r>
              <w:rPr>
                <w:rFonts w:hint="default" w:ascii="Times New Roman" w:hAnsi="Times New Roman" w:eastAsia="宋体"/>
                <w:b/>
                <w:bCs/>
                <w:u w:val="single"/>
                <w:lang w:val="en-US" w:eastAsia="zh-CN"/>
              </w:rPr>
              <w:t>依据“河南省‘三线一单’生态环境分区管控更新成果（2023年版）”，本项目位于南乐县产业集聚区</w:t>
            </w:r>
            <w:r>
              <w:rPr>
                <w:rFonts w:hint="eastAsia"/>
                <w:b/>
                <w:bCs/>
                <w:u w:val="single"/>
                <w:lang w:val="en-US" w:eastAsia="zh-CN"/>
              </w:rPr>
              <w:t>民生路南侧、</w:t>
            </w:r>
            <w:r>
              <w:rPr>
                <w:rFonts w:hint="default" w:ascii="Times New Roman" w:hAnsi="Times New Roman" w:eastAsia="宋体"/>
                <w:b/>
                <w:bCs/>
                <w:u w:val="single"/>
                <w:lang w:val="en-US" w:eastAsia="zh-CN"/>
              </w:rPr>
              <w:t>发展大道</w:t>
            </w:r>
            <w:r>
              <w:rPr>
                <w:rFonts w:hint="eastAsia"/>
                <w:b/>
                <w:bCs/>
                <w:u w:val="single"/>
                <w:lang w:val="en-US" w:eastAsia="zh-CN"/>
              </w:rPr>
              <w:t>西侧</w:t>
            </w:r>
            <w:r>
              <w:rPr>
                <w:rFonts w:hint="default" w:ascii="Times New Roman" w:hAnsi="Times New Roman" w:eastAsia="宋体"/>
                <w:b/>
                <w:bCs/>
                <w:u w:val="single"/>
                <w:lang w:val="en-US" w:eastAsia="zh-CN"/>
              </w:rPr>
              <w:t>，属于重点管控单元，不涉及自然保护区、风景名胜区、森林公园、饮用水源保护区等，不在生态保护红线范围。</w:t>
            </w:r>
          </w:p>
          <w:p w14:paraId="23F9181C">
            <w:pPr>
              <w:autoSpaceDE w:val="0"/>
              <w:autoSpaceDN w:val="0"/>
              <w:adjustRightInd w:val="0"/>
              <w:snapToGrid w:val="0"/>
              <w:spacing w:line="360" w:lineRule="auto"/>
              <w:ind w:firstLine="480" w:firstLineChars="200"/>
              <w:rPr>
                <w:rFonts w:hint="default" w:ascii="Times New Roman" w:hAnsi="Times New Roman" w:eastAsia="宋体"/>
                <w:u w:val="none"/>
                <w:lang w:val="en-US" w:eastAsia="zh-CN"/>
              </w:rPr>
            </w:pPr>
            <w:r>
              <w:rPr>
                <w:rFonts w:hint="default" w:ascii="Times New Roman" w:hAnsi="Times New Roman" w:eastAsia="宋体"/>
                <w:u w:val="none"/>
                <w:lang w:val="en-US" w:eastAsia="zh-CN"/>
              </w:rPr>
              <w:t>（2）与资源利用上线相符性分析</w:t>
            </w:r>
          </w:p>
          <w:p w14:paraId="0801A166">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本项目为</w:t>
            </w:r>
            <w:r>
              <w:rPr>
                <w:rFonts w:hint="eastAsia" w:ascii="Times New Roman" w:hAnsi="Times New Roman" w:eastAsia="宋体"/>
                <w:lang w:val="en-US" w:eastAsia="zh-CN"/>
              </w:rPr>
              <w:t>废旧轮胎综合</w:t>
            </w:r>
            <w:r>
              <w:rPr>
                <w:rFonts w:hint="eastAsia" w:ascii="Times New Roman" w:hAnsi="Times New Roman" w:eastAsia="宋体"/>
                <w:lang w:eastAsia="zh-CN"/>
              </w:rPr>
              <w:t>利用</w:t>
            </w:r>
            <w:r>
              <w:rPr>
                <w:rFonts w:hint="default" w:ascii="Times New Roman" w:hAnsi="Times New Roman" w:eastAsia="宋体"/>
                <w:lang w:val="en-US" w:eastAsia="zh-CN"/>
              </w:rPr>
              <w:t>项目，运营过程中用水由</w:t>
            </w:r>
            <w:r>
              <w:rPr>
                <w:rFonts w:hint="eastAsia" w:ascii="Times New Roman" w:hAnsi="Times New Roman" w:eastAsia="宋体"/>
                <w:lang w:val="en-US" w:eastAsia="zh-CN"/>
              </w:rPr>
              <w:t>园区</w:t>
            </w:r>
            <w:r>
              <w:rPr>
                <w:rFonts w:hint="default" w:ascii="Times New Roman" w:hAnsi="Times New Roman" w:eastAsia="宋体"/>
                <w:lang w:val="en-US" w:eastAsia="zh-CN"/>
              </w:rPr>
              <w:t>统一</w:t>
            </w:r>
            <w:r>
              <w:rPr>
                <w:rFonts w:hint="eastAsia" w:ascii="Times New Roman" w:hAnsi="Times New Roman" w:eastAsia="宋体"/>
                <w:lang w:val="en-US" w:eastAsia="zh-CN"/>
              </w:rPr>
              <w:t>供给</w:t>
            </w:r>
            <w:r>
              <w:rPr>
                <w:rFonts w:hint="default" w:ascii="Times New Roman" w:hAnsi="Times New Roman" w:eastAsia="宋体"/>
                <w:lang w:val="en-US" w:eastAsia="zh-CN"/>
              </w:rPr>
              <w:t>，用电由市政电网供</w:t>
            </w:r>
            <w:r>
              <w:rPr>
                <w:rFonts w:hint="eastAsia" w:ascii="Times New Roman" w:hAnsi="Times New Roman" w:eastAsia="宋体"/>
                <w:lang w:val="en-US" w:eastAsia="zh-CN"/>
              </w:rPr>
              <w:t>给</w:t>
            </w:r>
            <w:r>
              <w:rPr>
                <w:rFonts w:hint="default" w:ascii="Times New Roman" w:hAnsi="Times New Roman" w:eastAsia="宋体"/>
                <w:lang w:val="en-US" w:eastAsia="zh-CN"/>
              </w:rPr>
              <w:t>，本项目的建设符合</w:t>
            </w:r>
            <w:r>
              <w:rPr>
                <w:rFonts w:hint="eastAsia" w:ascii="Times New Roman" w:hAnsi="Times New Roman" w:eastAsia="宋体"/>
                <w:lang w:val="en-US" w:eastAsia="zh-CN"/>
              </w:rPr>
              <w:t>南乐县产业集聚区</w:t>
            </w:r>
            <w:r>
              <w:rPr>
                <w:rFonts w:hint="default" w:ascii="Times New Roman" w:hAnsi="Times New Roman" w:eastAsia="宋体"/>
                <w:lang w:val="en-US" w:eastAsia="zh-CN"/>
              </w:rPr>
              <w:t>总体规划，因此，本项目的实施不会突破当地资源利用上线。</w:t>
            </w:r>
          </w:p>
          <w:p w14:paraId="4BFBBBAA">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综上，项目建设符合资源利用上线要求。</w:t>
            </w:r>
          </w:p>
          <w:p w14:paraId="5ED53285">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（3）与环境质量底线相符性分析</w:t>
            </w:r>
          </w:p>
          <w:p w14:paraId="21872EE5">
            <w:pPr>
              <w:autoSpaceDE w:val="0"/>
              <w:autoSpaceDN w:val="0"/>
              <w:adjustRightInd w:val="0"/>
              <w:snapToGrid w:val="0"/>
              <w:spacing w:line="360" w:lineRule="auto"/>
              <w:ind w:firstLine="482" w:firstLineChars="200"/>
              <w:rPr>
                <w:rFonts w:hint="default" w:ascii="Times New Roman" w:hAnsi="Times New Roman" w:eastAsia="宋体"/>
                <w:b/>
                <w:bCs/>
                <w:lang w:val="en-US" w:eastAsia="zh-CN"/>
              </w:rPr>
            </w:pPr>
            <w:r>
              <w:rPr>
                <w:rFonts w:hint="default" w:ascii="Times New Roman" w:hAnsi="Times New Roman" w:eastAsia="宋体"/>
                <w:b/>
                <w:bCs/>
                <w:u w:val="single"/>
                <w:lang w:val="en-US" w:eastAsia="zh-CN"/>
              </w:rPr>
              <w:t>根据202</w:t>
            </w:r>
            <w:r>
              <w:rPr>
                <w:rFonts w:hint="eastAsia" w:ascii="Times New Roman" w:hAnsi="Times New Roman" w:eastAsia="宋体"/>
                <w:b/>
                <w:bCs/>
                <w:u w:val="single"/>
                <w:lang w:val="en-US" w:eastAsia="zh-CN"/>
              </w:rPr>
              <w:t>3</w:t>
            </w:r>
            <w:r>
              <w:rPr>
                <w:rFonts w:hint="default" w:ascii="Times New Roman" w:hAnsi="Times New Roman" w:eastAsia="宋体"/>
                <w:b/>
                <w:bCs/>
                <w:u w:val="single"/>
                <w:lang w:val="en-US" w:eastAsia="zh-CN"/>
              </w:rPr>
              <w:t>年濮阳市环境质量状况公报中数据，项目所在区域PM</w:t>
            </w:r>
            <w:r>
              <w:rPr>
                <w:rFonts w:hint="default" w:ascii="Times New Roman" w:hAnsi="Times New Roman" w:eastAsia="宋体"/>
                <w:b/>
                <w:bCs/>
                <w:u w:val="single"/>
                <w:vertAlign w:val="subscript"/>
                <w:lang w:val="en-US" w:eastAsia="zh-CN"/>
              </w:rPr>
              <w:t>10</w:t>
            </w:r>
            <w:r>
              <w:rPr>
                <w:rFonts w:hint="default" w:ascii="Times New Roman" w:hAnsi="Times New Roman" w:eastAsia="宋体"/>
                <w:b/>
                <w:bCs/>
                <w:u w:val="single"/>
                <w:lang w:val="en-US" w:eastAsia="zh-CN"/>
              </w:rPr>
              <w:t>、PM</w:t>
            </w:r>
            <w:r>
              <w:rPr>
                <w:rFonts w:hint="default" w:ascii="Times New Roman" w:hAnsi="Times New Roman" w:eastAsia="宋体"/>
                <w:b/>
                <w:bCs/>
                <w:u w:val="single"/>
                <w:vertAlign w:val="subscript"/>
                <w:lang w:val="en-US" w:eastAsia="zh-CN"/>
              </w:rPr>
              <w:t>2.5</w:t>
            </w:r>
            <w:r>
              <w:rPr>
                <w:rFonts w:hint="default" w:ascii="Times New Roman" w:hAnsi="Times New Roman" w:eastAsia="宋体"/>
                <w:b/>
                <w:bCs/>
                <w:u w:val="single"/>
                <w:lang w:val="en-US" w:eastAsia="zh-CN"/>
              </w:rPr>
              <w:t>、O</w:t>
            </w:r>
            <w:r>
              <w:rPr>
                <w:rFonts w:hint="default" w:ascii="Times New Roman" w:hAnsi="Times New Roman" w:eastAsia="宋体"/>
                <w:b/>
                <w:bCs/>
                <w:u w:val="single"/>
                <w:vertAlign w:val="subscript"/>
                <w:lang w:val="en-US" w:eastAsia="zh-CN"/>
              </w:rPr>
              <w:t>3</w:t>
            </w:r>
            <w:r>
              <w:rPr>
                <w:rFonts w:hint="default" w:ascii="Times New Roman" w:hAnsi="Times New Roman" w:eastAsia="宋体"/>
                <w:b/>
                <w:bCs/>
                <w:u w:val="single"/>
                <w:lang w:val="en-US" w:eastAsia="zh-CN"/>
              </w:rPr>
              <w:t>浓度超过《环境空气质量标准》（GB3095-2012）</w:t>
            </w:r>
            <w:r>
              <w:rPr>
                <w:rFonts w:hint="eastAsia" w:ascii="Times New Roman" w:hAnsi="Times New Roman" w:eastAsia="宋体"/>
                <w:b/>
                <w:bCs/>
                <w:u w:val="single"/>
                <w:lang w:val="en-US" w:eastAsia="zh-CN"/>
              </w:rPr>
              <w:t>及修改单</w:t>
            </w:r>
            <w:r>
              <w:rPr>
                <w:rFonts w:hint="default" w:ascii="Times New Roman" w:hAnsi="Times New Roman" w:eastAsia="宋体"/>
                <w:b/>
                <w:bCs/>
                <w:u w:val="single"/>
                <w:lang w:val="en-US" w:eastAsia="zh-CN"/>
              </w:rPr>
              <w:t>二级标准；SO</w:t>
            </w:r>
            <w:r>
              <w:rPr>
                <w:rFonts w:hint="default" w:ascii="Times New Roman" w:hAnsi="Times New Roman" w:eastAsia="宋体"/>
                <w:b/>
                <w:bCs/>
                <w:u w:val="single"/>
                <w:vertAlign w:val="subscript"/>
                <w:lang w:val="en-US" w:eastAsia="zh-CN"/>
              </w:rPr>
              <w:t>2</w:t>
            </w:r>
            <w:r>
              <w:rPr>
                <w:rFonts w:hint="eastAsia"/>
                <w:b/>
                <w:bCs/>
                <w:u w:val="single"/>
                <w:lang w:val="en-US" w:eastAsia="zh-CN"/>
              </w:rPr>
              <w:t>、</w:t>
            </w:r>
            <w:r>
              <w:rPr>
                <w:rFonts w:hint="default" w:ascii="Times New Roman" w:hAnsi="Times New Roman" w:eastAsia="宋体"/>
                <w:b/>
                <w:bCs/>
                <w:u w:val="single"/>
                <w:lang w:val="en-US" w:eastAsia="zh-CN"/>
              </w:rPr>
              <w:t>NO</w:t>
            </w:r>
            <w:r>
              <w:rPr>
                <w:rFonts w:hint="default" w:ascii="Times New Roman" w:hAnsi="Times New Roman" w:eastAsia="宋体"/>
                <w:b/>
                <w:bCs/>
                <w:u w:val="single"/>
                <w:vertAlign w:val="subscript"/>
                <w:lang w:val="en-US" w:eastAsia="zh-CN"/>
              </w:rPr>
              <w:t>2</w:t>
            </w:r>
            <w:r>
              <w:rPr>
                <w:rFonts w:hint="eastAsia"/>
                <w:b/>
                <w:bCs/>
                <w:u w:val="single"/>
                <w:lang w:val="en-US" w:eastAsia="zh-CN"/>
              </w:rPr>
              <w:t>、</w:t>
            </w:r>
            <w:r>
              <w:rPr>
                <w:rFonts w:hint="default" w:ascii="Times New Roman" w:hAnsi="Times New Roman" w:eastAsia="宋体"/>
                <w:b/>
                <w:bCs/>
                <w:u w:val="single"/>
                <w:lang w:val="en-US" w:eastAsia="zh-CN"/>
              </w:rPr>
              <w:t>CO浓度</w:t>
            </w:r>
            <w:r>
              <w:rPr>
                <w:rFonts w:hint="eastAsia" w:ascii="Times New Roman" w:hAnsi="Times New Roman" w:eastAsia="宋体"/>
                <w:b/>
                <w:bCs/>
                <w:u w:val="single"/>
                <w:lang w:val="en-US" w:eastAsia="zh-CN"/>
              </w:rPr>
              <w:t>满足</w:t>
            </w:r>
            <w:r>
              <w:rPr>
                <w:rFonts w:hint="default" w:ascii="Times New Roman" w:hAnsi="Times New Roman" w:eastAsia="宋体"/>
                <w:b/>
                <w:bCs/>
                <w:u w:val="single"/>
                <w:lang w:val="en-US" w:eastAsia="zh-CN"/>
              </w:rPr>
              <w:t>《环境空气质量标准》（GB3095-2012）</w:t>
            </w:r>
            <w:r>
              <w:rPr>
                <w:rFonts w:hint="eastAsia" w:ascii="Times New Roman" w:hAnsi="Times New Roman" w:eastAsia="宋体"/>
                <w:b/>
                <w:bCs/>
                <w:u w:val="single"/>
                <w:lang w:val="en-US" w:eastAsia="zh-CN"/>
              </w:rPr>
              <w:t>及修改单</w:t>
            </w:r>
            <w:r>
              <w:rPr>
                <w:rFonts w:hint="default" w:ascii="Times New Roman" w:hAnsi="Times New Roman" w:eastAsia="宋体"/>
                <w:b/>
                <w:bCs/>
                <w:u w:val="single"/>
                <w:lang w:val="en-US" w:eastAsia="zh-CN"/>
              </w:rPr>
              <w:t>二级标准。</w:t>
            </w:r>
          </w:p>
          <w:p w14:paraId="65839FE3">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根据202</w:t>
            </w:r>
            <w:r>
              <w:rPr>
                <w:rFonts w:hint="eastAsia" w:ascii="Times New Roman" w:hAnsi="Times New Roman" w:eastAsia="宋体"/>
                <w:lang w:val="en-US" w:eastAsia="zh-CN"/>
              </w:rPr>
              <w:t>3</w:t>
            </w:r>
            <w:r>
              <w:rPr>
                <w:rFonts w:hint="default" w:ascii="Times New Roman" w:hAnsi="Times New Roman" w:eastAsia="宋体"/>
                <w:lang w:val="en-US" w:eastAsia="zh-CN"/>
              </w:rPr>
              <w:t>年濮阳市环境质量状况公报中数据，地表水</w:t>
            </w:r>
            <w:r>
              <w:rPr>
                <w:rFonts w:hint="eastAsia" w:ascii="Times New Roman" w:hAnsi="Times New Roman" w:eastAsia="宋体"/>
                <w:lang w:val="en-US" w:eastAsia="zh-CN"/>
              </w:rPr>
              <w:t>马颊</w:t>
            </w:r>
            <w:r>
              <w:rPr>
                <w:rFonts w:hint="default" w:ascii="Times New Roman" w:hAnsi="Times New Roman" w:eastAsia="宋体"/>
                <w:lang w:val="en-US" w:eastAsia="zh-CN"/>
              </w:rPr>
              <w:t>河</w:t>
            </w:r>
            <w:r>
              <w:rPr>
                <w:rFonts w:hint="eastAsia" w:ascii="Times New Roman" w:hAnsi="Times New Roman" w:eastAsia="宋体"/>
                <w:lang w:val="en-US" w:eastAsia="zh-CN"/>
              </w:rPr>
              <w:t>南乐水文站</w:t>
            </w:r>
            <w:r>
              <w:rPr>
                <w:rFonts w:hint="default" w:ascii="Times New Roman" w:hAnsi="Times New Roman" w:eastAsia="宋体"/>
                <w:lang w:val="en-US" w:eastAsia="zh-CN"/>
              </w:rPr>
              <w:t>断面满足《地表水环境质量标准》（GB3838-2002）Ⅳ类标准要求。</w:t>
            </w:r>
          </w:p>
          <w:p w14:paraId="0F2C4ECA">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eastAsia" w:ascii="Times New Roman" w:hAnsi="Times New Roman" w:eastAsia="宋体"/>
                <w:lang w:val="en-US" w:eastAsia="zh-CN"/>
              </w:rPr>
              <w:t xml:space="preserve">本项目主要污染物为废气、废水、噪声、固废等，运营期采取相应的污染防治措施后，各类污染物的排放不会改变区域环境功能区质量要求，能维持环境功能区质量现状。 </w:t>
            </w:r>
          </w:p>
          <w:p w14:paraId="39796078">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（4）生态环境准入清单</w:t>
            </w:r>
          </w:p>
          <w:p w14:paraId="62C7BE82">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default" w:ascii="Times New Roman" w:hAnsi="Times New Roman" w:eastAsia="宋体"/>
                <w:lang w:val="en-US" w:eastAsia="zh-CN"/>
              </w:rPr>
              <w:t>本项目位于</w:t>
            </w:r>
            <w:r>
              <w:rPr>
                <w:rFonts w:hint="eastAsia" w:ascii="Times New Roman" w:hAnsi="Times New Roman" w:eastAsia="宋体"/>
                <w:lang w:val="en-US" w:eastAsia="zh-CN"/>
              </w:rPr>
              <w:t>濮阳市南乐县产业集聚区</w:t>
            </w:r>
            <w:r>
              <w:rPr>
                <w:rFonts w:hint="default" w:ascii="Times New Roman" w:hAnsi="Times New Roman" w:eastAsia="宋体"/>
                <w:lang w:val="en-US" w:eastAsia="zh-CN"/>
              </w:rPr>
              <w:t>，根据《濮阳市</w:t>
            </w:r>
            <w:r>
              <w:rPr>
                <w:rFonts w:hint="eastAsia" w:ascii="Times New Roman" w:hAnsi="Times New Roman" w:eastAsia="宋体"/>
                <w:lang w:val="en-US" w:eastAsia="zh-CN"/>
              </w:rPr>
              <w:t>“</w:t>
            </w:r>
            <w:r>
              <w:rPr>
                <w:rFonts w:hint="default" w:ascii="Times New Roman" w:hAnsi="Times New Roman" w:eastAsia="宋体"/>
                <w:lang w:val="en-US" w:eastAsia="zh-CN"/>
              </w:rPr>
              <w:t>三线一单</w:t>
            </w:r>
            <w:r>
              <w:rPr>
                <w:rFonts w:hint="eastAsia" w:ascii="Times New Roman" w:hAnsi="Times New Roman" w:eastAsia="宋体"/>
                <w:lang w:val="en-US" w:eastAsia="zh-CN"/>
              </w:rPr>
              <w:t>”</w:t>
            </w:r>
            <w:r>
              <w:rPr>
                <w:rFonts w:hint="default" w:ascii="Times New Roman" w:hAnsi="Times New Roman" w:eastAsia="宋体"/>
                <w:lang w:val="en-US" w:eastAsia="zh-CN"/>
              </w:rPr>
              <w:t>生态环境分区管控实施方案》（濮政【2021】21号文）</w:t>
            </w:r>
            <w:r>
              <w:rPr>
                <w:rFonts w:hint="eastAsia" w:ascii="Times New Roman" w:hAnsi="Times New Roman" w:eastAsia="宋体"/>
                <w:lang w:val="en-US" w:eastAsia="zh-CN"/>
              </w:rPr>
              <w:t>及《关于发布“三线一单”生态环境分区管控准入清单的函》（濮环函〔2021〕17号）</w:t>
            </w:r>
            <w:r>
              <w:rPr>
                <w:rFonts w:hint="default" w:ascii="Times New Roman" w:hAnsi="Times New Roman" w:eastAsia="宋体"/>
                <w:lang w:val="en-US" w:eastAsia="zh-CN"/>
              </w:rPr>
              <w:t>相关要求，项目位于濮阳市各县区分区管控单元生态环境准入清单中的—</w:t>
            </w:r>
            <w:r>
              <w:rPr>
                <w:rFonts w:hint="eastAsia" w:ascii="Times New Roman" w:hAnsi="Times New Roman" w:eastAsia="宋体"/>
                <w:lang w:val="en-US" w:eastAsia="zh-CN"/>
              </w:rPr>
              <w:t>南乐县产业集聚区</w:t>
            </w:r>
            <w:r>
              <w:rPr>
                <w:rFonts w:hint="default" w:ascii="Times New Roman" w:hAnsi="Times New Roman" w:eastAsia="宋体"/>
                <w:lang w:val="en-US" w:eastAsia="zh-CN"/>
              </w:rPr>
              <w:t>（环境管控单元编码：ZH41092320001），</w:t>
            </w:r>
            <w:r>
              <w:rPr>
                <w:rFonts w:hint="eastAsia" w:ascii="Times New Roman" w:hAnsi="Times New Roman" w:eastAsia="宋体"/>
                <w:lang w:val="en-US" w:eastAsia="zh-CN"/>
              </w:rPr>
              <w:t>管控单元分类：</w:t>
            </w:r>
            <w:r>
              <w:rPr>
                <w:rFonts w:hint="default" w:ascii="Times New Roman" w:hAnsi="Times New Roman" w:eastAsia="宋体"/>
                <w:lang w:val="en-US" w:eastAsia="zh-CN"/>
              </w:rPr>
              <w:t>重点管控单元。濮阳市生态环境总体准入要求和</w:t>
            </w:r>
            <w:r>
              <w:rPr>
                <w:rFonts w:hint="eastAsia" w:ascii="Times New Roman" w:hAnsi="Times New Roman" w:eastAsia="宋体"/>
                <w:lang w:val="en-US" w:eastAsia="zh-CN"/>
              </w:rPr>
              <w:t>濮阳市南乐县产业集聚区</w:t>
            </w:r>
            <w:r>
              <w:rPr>
                <w:rFonts w:hint="default" w:ascii="Times New Roman" w:hAnsi="Times New Roman" w:eastAsia="宋体"/>
                <w:lang w:val="en-US" w:eastAsia="zh-CN"/>
              </w:rPr>
              <w:t>生态环境准入要求如下：</w:t>
            </w:r>
          </w:p>
          <w:p w14:paraId="6444DF00">
            <w:pPr>
              <w:spacing w:line="360" w:lineRule="auto"/>
              <w:jc w:val="center"/>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表1-4  濮阳市生态环境总体准入要求</w:t>
            </w:r>
          </w:p>
          <w:tbl>
            <w:tblPr>
              <w:tblStyle w:val="16"/>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5"/>
              <w:gridCol w:w="6022"/>
              <w:gridCol w:w="920"/>
            </w:tblGrid>
            <w:tr w14:paraId="4E43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5" w:type="pct"/>
                  <w:noWrap w:val="0"/>
                  <w:vAlign w:val="center"/>
                </w:tcPr>
                <w:p w14:paraId="6E16E9C3">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zh-CN" w:eastAsia="zh-CN" w:bidi="ar-SA"/>
                    </w:rPr>
                    <w:t>产业发展</w:t>
                  </w:r>
                </w:p>
              </w:tc>
              <w:tc>
                <w:tcPr>
                  <w:tcW w:w="3994" w:type="pct"/>
                  <w:noWrap w:val="0"/>
                  <w:vAlign w:val="center"/>
                </w:tcPr>
                <w:p w14:paraId="79311ABE">
                  <w:pPr>
                    <w:pStyle w:val="2"/>
                    <w:keepNext w:val="0"/>
                    <w:keepLines w:val="0"/>
                    <w:pageBreakBefore w:val="0"/>
                    <w:widowControl w:val="0"/>
                    <w:tabs>
                      <w:tab w:val="left" w:pos="2010"/>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21"/>
                      <w:szCs w:val="21"/>
                      <w:lang w:val="zh-CN" w:eastAsia="zh-CN" w:bidi="ar-SA"/>
                    </w:rPr>
                  </w:pPr>
                  <w:r>
                    <w:rPr>
                      <w:rFonts w:hint="default" w:ascii="Times New Roman" w:hAnsi="Times New Roman" w:eastAsia="宋体" w:cs="Times New Roman"/>
                      <w:color w:val="000000"/>
                      <w:kern w:val="2"/>
                      <w:sz w:val="21"/>
                      <w:szCs w:val="21"/>
                      <w:lang w:val="zh-CN" w:eastAsia="zh-CN" w:bidi="ar-SA"/>
                    </w:rPr>
                    <w:t>管控要求</w:t>
                  </w:r>
                </w:p>
              </w:tc>
              <w:tc>
                <w:tcPr>
                  <w:tcW w:w="610" w:type="pct"/>
                  <w:noWrap w:val="0"/>
                  <w:vAlign w:val="center"/>
                </w:tcPr>
                <w:p w14:paraId="5D2E5948">
                  <w:pPr>
                    <w:pStyle w:val="2"/>
                    <w:keepNext w:val="0"/>
                    <w:keepLines w:val="0"/>
                    <w:pageBreakBefore w:val="0"/>
                    <w:widowControl w:val="0"/>
                    <w:tabs>
                      <w:tab w:val="left" w:pos="2010"/>
                    </w:tabs>
                    <w:kinsoku/>
                    <w:wordWrap/>
                    <w:overflowPunct/>
                    <w:topLinePunct w:val="0"/>
                    <w:autoSpaceDE/>
                    <w:autoSpaceDN/>
                    <w:bidi w:val="0"/>
                    <w:adjustRightInd/>
                    <w:snapToGrid/>
                    <w:spacing w:line="320" w:lineRule="exact"/>
                    <w:ind w:firstLine="0" w:firstLineChars="0"/>
                    <w:jc w:val="center"/>
                    <w:textAlignment w:val="auto"/>
                    <w:rPr>
                      <w:rFonts w:hint="default" w:ascii="Times New Roman" w:hAnsi="Times New Roman" w:eastAsia="宋体" w:cs="Times New Roman"/>
                      <w:color w:val="000000"/>
                      <w:kern w:val="2"/>
                      <w:sz w:val="21"/>
                      <w:szCs w:val="21"/>
                      <w:lang w:val="zh-CN" w:eastAsia="zh-CN" w:bidi="ar-SA"/>
                    </w:rPr>
                  </w:pPr>
                  <w:r>
                    <w:rPr>
                      <w:rFonts w:hint="default" w:ascii="Times New Roman" w:hAnsi="Times New Roman" w:eastAsia="宋体" w:cs="Times New Roman"/>
                      <w:color w:val="000000"/>
                      <w:kern w:val="2"/>
                      <w:sz w:val="21"/>
                      <w:szCs w:val="21"/>
                      <w:lang w:val="zh-CN" w:eastAsia="zh-CN" w:bidi="ar-SA"/>
                    </w:rPr>
                    <w:t>本项目情况</w:t>
                  </w:r>
                </w:p>
              </w:tc>
            </w:tr>
            <w:tr w14:paraId="2F6F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395" w:type="pct"/>
                  <w:vMerge w:val="restart"/>
                  <w:noWrap w:val="0"/>
                  <w:vAlign w:val="center"/>
                </w:tcPr>
                <w:p w14:paraId="5F8838D9">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空间布局约束</w:t>
                  </w:r>
                </w:p>
              </w:tc>
              <w:tc>
                <w:tcPr>
                  <w:tcW w:w="3994" w:type="pct"/>
                  <w:noWrap w:val="0"/>
                  <w:vAlign w:val="center"/>
                </w:tcPr>
                <w:p w14:paraId="1E7D0356">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禁止新建严重污染水环境和破坏生态的建设项目，淘汰污染水环境的落后工艺、技术和设备，推进涉及污染水环境的工业企业清洁生产。对于需取得排污许可证的企业，禁止无排污许可证或者违反排污许可证的规定排放废水、废气。马颊河保护重点区域内，禁止建设畜禽养殖场、养殖小区、水产养殖场，禁止倾倒、抛撒、堆放、填埋生活垃圾、餐厨垃圾、建筑垃圾、工业固体废物、医疗固体废物、放射性物质等废弃物，禁止擅自从事占用、围垦、取土、取水、砍伐林木等行为。</w:t>
                  </w:r>
                </w:p>
              </w:tc>
              <w:tc>
                <w:tcPr>
                  <w:tcW w:w="610" w:type="pct"/>
                  <w:noWrap w:val="0"/>
                  <w:vAlign w:val="center"/>
                </w:tcPr>
                <w:p w14:paraId="41A0DE11">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085F9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395" w:type="pct"/>
                  <w:vMerge w:val="continue"/>
                  <w:noWrap w:val="0"/>
                  <w:vAlign w:val="center"/>
                </w:tcPr>
                <w:p w14:paraId="32C4CDB0">
                  <w:pPr>
                    <w:keepNext w:val="0"/>
                    <w:keepLines w:val="0"/>
                    <w:widowControl/>
                    <w:suppressLineNumbers w:val="0"/>
                    <w:jc w:val="center"/>
                    <w:textAlignment w:val="center"/>
                    <w:rPr>
                      <w:rFonts w:ascii="Times New Roman" w:hAnsi="Times New Roman" w:eastAsia="宋体" w:cs="Times New Roman"/>
                      <w:color w:val="000000"/>
                      <w:kern w:val="2"/>
                      <w:sz w:val="21"/>
                      <w:szCs w:val="21"/>
                      <w:lang w:val="en-US" w:eastAsia="zh-CN" w:bidi="ar-SA"/>
                    </w:rPr>
                  </w:pPr>
                </w:p>
              </w:tc>
              <w:tc>
                <w:tcPr>
                  <w:tcW w:w="3994" w:type="pct"/>
                  <w:noWrap w:val="0"/>
                  <w:vAlign w:val="center"/>
                </w:tcPr>
                <w:p w14:paraId="7E255869">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禁止在地质环境脆弱区开发矿产资源，禁止开采已有土壤覆盖层的古河道埋藏沙，禁止开挖耕地烧制实心砖瓦。禁止开采区内，除国家基础性、公益性地质调查及符合政策要求的、以国家战略性矿产地储备为矿产资源勘查项目外，一律不得新设探、采矿权，严厉打击和取缔违法采矿活动。已经设立的矿业权，在维护矿业权人合法权益的前提下，依法有序退出。在限制开采区内，要严格控制开采矿种矿业权设置，确实需要设置矿业权时，要严格规划审查，进行规划论证。</w:t>
                  </w:r>
                </w:p>
              </w:tc>
              <w:tc>
                <w:tcPr>
                  <w:tcW w:w="610" w:type="pct"/>
                  <w:noWrap w:val="0"/>
                  <w:vAlign w:val="center"/>
                </w:tcPr>
                <w:p w14:paraId="3D9E066C">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632FE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395" w:type="pct"/>
                  <w:vMerge w:val="continue"/>
                  <w:noWrap w:val="0"/>
                  <w:vAlign w:val="center"/>
                </w:tcPr>
                <w:p w14:paraId="206F37FC">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p>
              </w:tc>
              <w:tc>
                <w:tcPr>
                  <w:tcW w:w="3994" w:type="pct"/>
                  <w:noWrap w:val="0"/>
                  <w:vAlign w:val="center"/>
                </w:tcPr>
                <w:p w14:paraId="2FBC13D7">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3</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严格控制新建、扩建钢铁、石油、化工、电力、有色金属冶炼、水泥、建筑陶瓷等重点行业高排放、高污染工业项目。禁止在人口集中区域从事经营性露天喷漆、喷涂、喷砂等产生含挥发性有机物废气的作业；禁止露天焚烧落叶、树枝、枯草等产生烟尘污染的物质，以及非法焚烧电子废弃物、油毡、橡胶、塑料、皮革、沥青、垃圾等产生有毒有害、恶臭或者强烈异味气体的物质。市、县人民政府划定并公布高污染燃料禁燃区，在禁燃区内，禁止销售、燃用高污染燃料，禁止新建、扩建燃用高污染燃料的设施。</w:t>
                  </w:r>
                </w:p>
              </w:tc>
              <w:tc>
                <w:tcPr>
                  <w:tcW w:w="610" w:type="pct"/>
                  <w:noWrap w:val="0"/>
                  <w:vAlign w:val="center"/>
                </w:tcPr>
                <w:p w14:paraId="1307886B">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709B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395" w:type="pct"/>
                  <w:vMerge w:val="continue"/>
                  <w:noWrap w:val="0"/>
                  <w:vAlign w:val="center"/>
                </w:tcPr>
                <w:p w14:paraId="57CC60E1">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p>
              </w:tc>
              <w:tc>
                <w:tcPr>
                  <w:tcW w:w="3994" w:type="pct"/>
                  <w:noWrap w:val="0"/>
                  <w:vAlign w:val="center"/>
                </w:tcPr>
                <w:p w14:paraId="0EEC7AD7">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4</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除热电联产外，严格控制新建燃煤发电项目。原则上禁止新建、扩建钢铁、电解铝、水泥、平板玻璃、传统煤化工（甲醇、合成氨）、焦化、铸造、铝用炭素、砖瓦窑、耐火材料等行业单纯新增产能项目。禁止建设生产和使用高VOCs含量的溶剂型涂料、油墨、胶粘剂等项目。禁止新建燃料类煤气发生炉和 35 蒸吨/时及以下燃煤锅炉。</w:t>
                  </w:r>
                </w:p>
              </w:tc>
              <w:tc>
                <w:tcPr>
                  <w:tcW w:w="610" w:type="pct"/>
                  <w:noWrap w:val="0"/>
                  <w:vAlign w:val="center"/>
                </w:tcPr>
                <w:p w14:paraId="4BB7DA00">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本项目不涉及</w:t>
                  </w:r>
                </w:p>
              </w:tc>
            </w:tr>
            <w:tr w14:paraId="731C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395" w:type="pct"/>
                  <w:vMerge w:val="continue"/>
                  <w:noWrap w:val="0"/>
                  <w:vAlign w:val="center"/>
                </w:tcPr>
                <w:p w14:paraId="172F934F">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p>
              </w:tc>
              <w:tc>
                <w:tcPr>
                  <w:tcW w:w="3994" w:type="pct"/>
                  <w:noWrap w:val="0"/>
                  <w:vAlign w:val="center"/>
                </w:tcPr>
                <w:p w14:paraId="410F4D04">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5</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调整不符合生态环境功能定位的产业布局、产业规模和产业结构，按照《产业结构调整指导目录（2019 年本）》和《河南省部分工业行业淘汰落后生产工艺装备和产品目录》，对禁止和限制发展的行业、生产工艺和产业进行关停淘汰。关停退出热效率低下、敞开未封闭，装备简易落后、自动化水平低，布局分散、规模小、无组织排放突出，以及无治理设施或治理设施工艺落后的工业炉窑。</w:t>
                  </w:r>
                </w:p>
              </w:tc>
              <w:tc>
                <w:tcPr>
                  <w:tcW w:w="610" w:type="pct"/>
                  <w:noWrap w:val="0"/>
                  <w:vAlign w:val="center"/>
                </w:tcPr>
                <w:p w14:paraId="5E04D982">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1F6D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9" w:hRule="atLeast"/>
              </w:trPr>
              <w:tc>
                <w:tcPr>
                  <w:tcW w:w="395" w:type="pct"/>
                  <w:vMerge w:val="continue"/>
                  <w:noWrap w:val="0"/>
                  <w:vAlign w:val="center"/>
                </w:tcPr>
                <w:p w14:paraId="6B0962B7">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p>
              </w:tc>
              <w:tc>
                <w:tcPr>
                  <w:tcW w:w="3994" w:type="pct"/>
                  <w:noWrap w:val="0"/>
                  <w:vAlign w:val="center"/>
                </w:tcPr>
                <w:p w14:paraId="562E1F17">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6</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坚决遏制高耗能、高排放项目盲目发展。新建、改建、扩建</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两高</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项目应符合生态环境保护法律法规和相关法定规划，满足重点污染物排放总量控制、碳排放达峰目标、生态环境准入清单、相关规划环评和相应行业建设项目环境准入条件、环评文件审批原则要求。对于不符合相关法律法规的，依法不予审批。按照相关文件要求，沿黄重点地区严格</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高污染、高耗水、高耗能</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项目准入。</w:t>
                  </w:r>
                </w:p>
              </w:tc>
              <w:tc>
                <w:tcPr>
                  <w:tcW w:w="610" w:type="pct"/>
                  <w:noWrap w:val="0"/>
                  <w:vAlign w:val="center"/>
                </w:tcPr>
                <w:p w14:paraId="5954AC06">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1D09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395" w:type="pct"/>
                  <w:vMerge w:val="continue"/>
                  <w:noWrap w:val="0"/>
                  <w:vAlign w:val="center"/>
                </w:tcPr>
                <w:p w14:paraId="06BD77E3">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p>
              </w:tc>
              <w:tc>
                <w:tcPr>
                  <w:tcW w:w="3994" w:type="pct"/>
                  <w:noWrap w:val="0"/>
                  <w:vAlign w:val="center"/>
                </w:tcPr>
                <w:p w14:paraId="343E13A4">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7</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切实加快市城区工业企业退城入园步伐，推动经济高质量发展，按照相关要求完成市城区工业企业退城入园任务。</w:t>
                  </w:r>
                </w:p>
              </w:tc>
              <w:tc>
                <w:tcPr>
                  <w:tcW w:w="610" w:type="pct"/>
                  <w:noWrap w:val="0"/>
                  <w:vAlign w:val="center"/>
                </w:tcPr>
                <w:p w14:paraId="1F164134">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5E37B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95" w:type="pct"/>
                  <w:vMerge w:val="restart"/>
                  <w:noWrap w:val="0"/>
                  <w:vAlign w:val="center"/>
                </w:tcPr>
                <w:p w14:paraId="72F1E5D4">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污染物排放管控</w:t>
                  </w:r>
                </w:p>
              </w:tc>
              <w:tc>
                <w:tcPr>
                  <w:tcW w:w="3994" w:type="pct"/>
                  <w:noWrap w:val="0"/>
                  <w:vAlign w:val="center"/>
                </w:tcPr>
                <w:p w14:paraId="63787F3E">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新、改、扩建项目主要污染物排放要求满足当地总量减排要求。</w:t>
                  </w:r>
                </w:p>
              </w:tc>
              <w:tc>
                <w:tcPr>
                  <w:tcW w:w="610" w:type="pct"/>
                  <w:noWrap w:val="0"/>
                  <w:vAlign w:val="center"/>
                </w:tcPr>
                <w:p w14:paraId="6298D0D4">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本项目主要污染物满足要求</w:t>
                  </w:r>
                </w:p>
              </w:tc>
            </w:tr>
            <w:tr w14:paraId="3A15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95" w:type="pct"/>
                  <w:vMerge w:val="continue"/>
                  <w:noWrap w:val="0"/>
                  <w:vAlign w:val="center"/>
                </w:tcPr>
                <w:p w14:paraId="2D13874C">
                  <w:pPr>
                    <w:keepNext w:val="0"/>
                    <w:keepLines w:val="0"/>
                    <w:widowControl/>
                    <w:suppressLineNumbers w:val="0"/>
                    <w:jc w:val="center"/>
                    <w:textAlignment w:val="center"/>
                    <w:rPr>
                      <w:rFonts w:ascii="Times New Roman" w:hAnsi="Times New Roman" w:eastAsia="宋体" w:cs="Times New Roman"/>
                      <w:color w:val="000000"/>
                      <w:kern w:val="2"/>
                      <w:sz w:val="21"/>
                      <w:szCs w:val="21"/>
                      <w:lang w:val="en-US" w:eastAsia="zh-CN" w:bidi="ar-SA"/>
                    </w:rPr>
                  </w:pPr>
                </w:p>
              </w:tc>
              <w:tc>
                <w:tcPr>
                  <w:tcW w:w="3994" w:type="pct"/>
                  <w:noWrap w:val="0"/>
                  <w:vAlign w:val="center"/>
                </w:tcPr>
                <w:p w14:paraId="552BC638">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持续调整优化产业结构：加快调整不符合生态环境功能定位的产业布局、产业规模和产业结构，加大过剩和落后产能压减力度，开展传统产业集群升级改造；持续调整优化能源结构：严控煤炭消费总量，推动集中供暖建设、清洁取暖建设，提高天然气供应保障能力，发展可再生能源；持续调整优化交通运输结构：大力发展铁路运输，提高晋豫鲁铁路等现有铁路资源利用效率，加大公路网建设力度，加快推进机动车结构升级。</w:t>
                  </w:r>
                </w:p>
              </w:tc>
              <w:tc>
                <w:tcPr>
                  <w:tcW w:w="610" w:type="pct"/>
                  <w:noWrap w:val="0"/>
                  <w:vAlign w:val="center"/>
                </w:tcPr>
                <w:p w14:paraId="51DBA108">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0BABE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95" w:type="pct"/>
                  <w:vMerge w:val="continue"/>
                  <w:noWrap w:val="0"/>
                  <w:vAlign w:val="center"/>
                </w:tcPr>
                <w:p w14:paraId="5847CCA5">
                  <w:pPr>
                    <w:keepNext w:val="0"/>
                    <w:keepLines w:val="0"/>
                    <w:widowControl/>
                    <w:suppressLineNumbers w:val="0"/>
                    <w:jc w:val="center"/>
                    <w:textAlignment w:val="center"/>
                    <w:rPr>
                      <w:rFonts w:hint="default"/>
                      <w:lang w:val="en-US" w:eastAsia="zh-CN"/>
                    </w:rPr>
                  </w:pPr>
                </w:p>
              </w:tc>
              <w:tc>
                <w:tcPr>
                  <w:tcW w:w="3994" w:type="pct"/>
                  <w:noWrap w:val="0"/>
                  <w:vAlign w:val="center"/>
                </w:tcPr>
                <w:p w14:paraId="4E8695B7">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3</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全面推进源头替代，在技术成熟的家具、工业涂装等行业，大力推广使用低挥发性有机物含量涂料、油墨、胶粘剂；加强废气收集和处理，推进石油、化工、电力等排污单位治污设施升级改造，加强大气污染物排放精细化管理，严格控制无组织排放。</w:t>
                  </w:r>
                </w:p>
              </w:tc>
              <w:tc>
                <w:tcPr>
                  <w:tcW w:w="610" w:type="pct"/>
                  <w:noWrap w:val="0"/>
                  <w:vAlign w:val="center"/>
                </w:tcPr>
                <w:p w14:paraId="292071B4">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3FFF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395" w:type="pct"/>
                  <w:vMerge w:val="continue"/>
                  <w:noWrap w:val="0"/>
                  <w:vAlign w:val="center"/>
                </w:tcPr>
                <w:p w14:paraId="51994AFB">
                  <w:pPr>
                    <w:keepNext w:val="0"/>
                    <w:keepLines w:val="0"/>
                    <w:widowControl/>
                    <w:suppressLineNumbers w:val="0"/>
                    <w:jc w:val="center"/>
                    <w:textAlignment w:val="center"/>
                    <w:rPr>
                      <w:rFonts w:hint="default"/>
                      <w:lang w:val="en-US" w:eastAsia="zh-CN"/>
                    </w:rPr>
                  </w:pPr>
                </w:p>
              </w:tc>
              <w:tc>
                <w:tcPr>
                  <w:tcW w:w="3994" w:type="pct"/>
                  <w:noWrap w:val="0"/>
                  <w:vAlign w:val="center"/>
                </w:tcPr>
                <w:p w14:paraId="23267E3A">
                  <w:pPr>
                    <w:keepNext w:val="0"/>
                    <w:keepLines w:val="0"/>
                    <w:widowControl/>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4、加快城镇污水收集和处理设施建设，推进城市建成区黑臭水体治理，促进城镇污水再生利用，加快城镇污水处理厂污泥安全处置；加快河道综合治理与水生态修复，推动入河排污口综合整治，持续推进农村环境综合整治，强化畜禽养殖粪污综合治理。</w:t>
                  </w:r>
                </w:p>
              </w:tc>
              <w:tc>
                <w:tcPr>
                  <w:tcW w:w="610" w:type="pct"/>
                  <w:noWrap w:val="0"/>
                  <w:vAlign w:val="center"/>
                </w:tcPr>
                <w:p w14:paraId="743D20A3">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1A99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395" w:type="pct"/>
                  <w:vMerge w:val="restart"/>
                  <w:noWrap w:val="0"/>
                  <w:vAlign w:val="center"/>
                </w:tcPr>
                <w:p w14:paraId="4C85B8C9">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环境风险防控</w:t>
                  </w:r>
                </w:p>
              </w:tc>
              <w:tc>
                <w:tcPr>
                  <w:tcW w:w="3994" w:type="pct"/>
                  <w:noWrap w:val="0"/>
                  <w:vAlign w:val="center"/>
                </w:tcPr>
                <w:p w14:paraId="3FD1AC62">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r>
                    <w:rPr>
                      <w:rFonts w:hint="default" w:ascii="Times New Roman" w:hAnsi="Times New Roman" w:eastAsia="宋体" w:cs="Times New Roman"/>
                      <w:color w:val="000000"/>
                      <w:kern w:val="2"/>
                      <w:sz w:val="21"/>
                      <w:szCs w:val="21"/>
                      <w:lang w:val="en-US" w:eastAsia="zh-CN" w:bidi="ar-SA"/>
                    </w:rPr>
                    <w:t>强化空气质量预测预报能力建设，提升预测预报精准程度。实施</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一厂一策</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清单化管理，做到减排措施全覆盖。</w:t>
                  </w:r>
                </w:p>
              </w:tc>
              <w:tc>
                <w:tcPr>
                  <w:tcW w:w="610" w:type="pct"/>
                  <w:noWrap w:val="0"/>
                  <w:vAlign w:val="center"/>
                </w:tcPr>
                <w:p w14:paraId="3FA1C92F">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7CC86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395" w:type="pct"/>
                  <w:vMerge w:val="continue"/>
                  <w:noWrap w:val="0"/>
                  <w:vAlign w:val="center"/>
                </w:tcPr>
                <w:p w14:paraId="47CD641B">
                  <w:pPr>
                    <w:keepNext w:val="0"/>
                    <w:keepLines w:val="0"/>
                    <w:widowControl/>
                    <w:suppressLineNumbers w:val="0"/>
                    <w:jc w:val="center"/>
                    <w:textAlignment w:val="center"/>
                    <w:rPr>
                      <w:rFonts w:ascii="Times New Roman" w:hAnsi="Times New Roman" w:eastAsia="宋体" w:cs="Times New Roman"/>
                      <w:color w:val="000000"/>
                      <w:kern w:val="2"/>
                      <w:sz w:val="21"/>
                      <w:szCs w:val="21"/>
                      <w:lang w:val="en-US" w:eastAsia="zh-CN" w:bidi="ar-SA"/>
                    </w:rPr>
                  </w:pPr>
                </w:p>
              </w:tc>
              <w:tc>
                <w:tcPr>
                  <w:tcW w:w="3994" w:type="pct"/>
                  <w:noWrap w:val="0"/>
                  <w:vAlign w:val="center"/>
                </w:tcPr>
                <w:p w14:paraId="126AE637">
                  <w:pPr>
                    <w:keepNext w:val="0"/>
                    <w:keepLines w:val="0"/>
                    <w:widowControl/>
                    <w:numPr>
                      <w:ilvl w:val="0"/>
                      <w:numId w:val="0"/>
                    </w:numPr>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r>
                    <w:rPr>
                      <w:rFonts w:hint="default" w:ascii="Times New Roman" w:hAnsi="Times New Roman" w:eastAsia="宋体" w:cs="Times New Roman"/>
                      <w:color w:val="000000"/>
                      <w:kern w:val="2"/>
                      <w:sz w:val="21"/>
                      <w:szCs w:val="21"/>
                      <w:lang w:val="en-US" w:eastAsia="zh-CN" w:bidi="ar-SA"/>
                    </w:rPr>
                    <w:t>黄河、金堤河、马颊河、卫河、徒骇河等重要河流，建立与上下游城市的联防联控机制，市域上下游县、区强化信息共享、实行共河共治，完善闸坝调度机制，避免发生重、特大跨界水污染事故。</w:t>
                  </w:r>
                </w:p>
              </w:tc>
              <w:tc>
                <w:tcPr>
                  <w:tcW w:w="610" w:type="pct"/>
                  <w:noWrap w:val="0"/>
                  <w:vAlign w:val="center"/>
                </w:tcPr>
                <w:p w14:paraId="08499163">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515C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trPr>
              <w:tc>
                <w:tcPr>
                  <w:tcW w:w="395" w:type="pct"/>
                  <w:vMerge w:val="continue"/>
                  <w:noWrap w:val="0"/>
                  <w:vAlign w:val="center"/>
                </w:tcPr>
                <w:p w14:paraId="42C74CDD">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p>
              </w:tc>
              <w:tc>
                <w:tcPr>
                  <w:tcW w:w="3994" w:type="pct"/>
                  <w:noWrap w:val="0"/>
                  <w:vAlign w:val="center"/>
                </w:tcPr>
                <w:p w14:paraId="4F583159">
                  <w:pPr>
                    <w:keepNext w:val="0"/>
                    <w:keepLines w:val="0"/>
                    <w:widowControl/>
                    <w:suppressLineNumbers w:val="0"/>
                    <w:jc w:val="both"/>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3</w:t>
                  </w: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加强重金属污染防治监管；推进固体废物堆存场所排查整治；强化生活污染源管控，开展城乡生活垃圾分类；推进固体废物处理处置及综合利用。</w:t>
                  </w:r>
                </w:p>
              </w:tc>
              <w:tc>
                <w:tcPr>
                  <w:tcW w:w="610" w:type="pct"/>
                  <w:noWrap w:val="0"/>
                  <w:vAlign w:val="center"/>
                </w:tcPr>
                <w:p w14:paraId="59A4FDCC">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本项目不涉及</w:t>
                  </w:r>
                </w:p>
              </w:tc>
            </w:tr>
            <w:tr w14:paraId="2178F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395" w:type="pct"/>
                  <w:vMerge w:val="restart"/>
                  <w:noWrap w:val="0"/>
                  <w:vAlign w:val="center"/>
                </w:tcPr>
                <w:p w14:paraId="354B5BD4">
                  <w:pPr>
                    <w:pStyle w:val="22"/>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资源开发效率要求</w:t>
                  </w:r>
                </w:p>
              </w:tc>
              <w:tc>
                <w:tcPr>
                  <w:tcW w:w="3994" w:type="pct"/>
                  <w:noWrap w:val="0"/>
                  <w:vAlign w:val="center"/>
                </w:tcPr>
                <w:p w14:paraId="4578ED7C">
                  <w:pPr>
                    <w:pStyle w:val="22"/>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w:t>
                  </w:r>
                  <w:r>
                    <w:rPr>
                      <w:rFonts w:hint="default" w:ascii="Times New Roman" w:hAnsi="Times New Roman" w:eastAsia="宋体" w:cs="Times New Roman"/>
                      <w:sz w:val="21"/>
                      <w:szCs w:val="21"/>
                      <w:lang w:eastAsia="zh-CN"/>
                    </w:rPr>
                    <w:t>十四五期间，全市煤炭消费总量控制完成国家、省、市下达目标要求。全市能耗增量控制目标控制完成国家、省、市下达目标要求。</w:t>
                  </w:r>
                </w:p>
              </w:tc>
              <w:tc>
                <w:tcPr>
                  <w:tcW w:w="610" w:type="pct"/>
                  <w:noWrap w:val="0"/>
                  <w:vAlign w:val="center"/>
                </w:tcPr>
                <w:p w14:paraId="3538C3F3">
                  <w:pPr>
                    <w:pStyle w:val="22"/>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本项目不涉及</w:t>
                  </w:r>
                </w:p>
              </w:tc>
            </w:tr>
            <w:tr w14:paraId="64B93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395" w:type="pct"/>
                  <w:vMerge w:val="continue"/>
                  <w:noWrap w:val="0"/>
                  <w:vAlign w:val="center"/>
                </w:tcPr>
                <w:p w14:paraId="2FAF4E53">
                  <w:pPr>
                    <w:pStyle w:val="22"/>
                    <w:rPr>
                      <w:rFonts w:hint="eastAsia" w:ascii="Times New Roman" w:hAnsi="Times New Roman" w:eastAsia="宋体" w:cs="Times New Roman"/>
                      <w:sz w:val="21"/>
                      <w:szCs w:val="21"/>
                      <w:lang w:eastAsia="zh-CN"/>
                    </w:rPr>
                  </w:pPr>
                </w:p>
              </w:tc>
              <w:tc>
                <w:tcPr>
                  <w:tcW w:w="3994" w:type="pct"/>
                  <w:noWrap w:val="0"/>
                  <w:vAlign w:val="center"/>
                </w:tcPr>
                <w:p w14:paraId="7914E23A">
                  <w:pPr>
                    <w:pStyle w:val="22"/>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lang w:eastAsia="zh-CN"/>
                    </w:rPr>
                    <w:t>十四五期间，全市年用水总量控制完成国家、省、市下达目标要求。各行业节水取得突出成效，水资源利用效率显著提升，实施计划用水管理、价格管理和节水</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三同时</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sz w:val="21"/>
                      <w:szCs w:val="21"/>
                      <w:lang w:eastAsia="zh-CN"/>
                    </w:rPr>
                    <w:t>管理。</w:t>
                  </w:r>
                </w:p>
              </w:tc>
              <w:tc>
                <w:tcPr>
                  <w:tcW w:w="610" w:type="pct"/>
                  <w:noWrap w:val="0"/>
                  <w:vAlign w:val="center"/>
                </w:tcPr>
                <w:p w14:paraId="5A78462F">
                  <w:pPr>
                    <w:pStyle w:val="22"/>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本项目不涉及</w:t>
                  </w:r>
                </w:p>
              </w:tc>
            </w:tr>
            <w:tr w14:paraId="115C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395" w:type="pct"/>
                  <w:vMerge w:val="continue"/>
                  <w:noWrap w:val="0"/>
                  <w:vAlign w:val="center"/>
                </w:tcPr>
                <w:p w14:paraId="6C712306">
                  <w:pPr>
                    <w:pStyle w:val="22"/>
                    <w:rPr>
                      <w:rFonts w:hint="eastAsia" w:ascii="Times New Roman" w:hAnsi="Times New Roman" w:eastAsia="宋体" w:cs="Times New Roman"/>
                      <w:sz w:val="21"/>
                      <w:szCs w:val="21"/>
                      <w:lang w:val="en-US" w:eastAsia="zh-CN"/>
                    </w:rPr>
                  </w:pPr>
                </w:p>
              </w:tc>
              <w:tc>
                <w:tcPr>
                  <w:tcW w:w="3994" w:type="pct"/>
                  <w:noWrap w:val="0"/>
                  <w:vAlign w:val="center"/>
                </w:tcPr>
                <w:p w14:paraId="21ADE6F5">
                  <w:pPr>
                    <w:pStyle w:val="22"/>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w:t>
                  </w:r>
                  <w:r>
                    <w:rPr>
                      <w:rFonts w:hint="default" w:ascii="Times New Roman" w:hAnsi="Times New Roman" w:eastAsia="宋体" w:cs="Times New Roman"/>
                      <w:sz w:val="21"/>
                      <w:szCs w:val="21"/>
                      <w:lang w:eastAsia="zh-CN"/>
                    </w:rPr>
                    <w:t>实行严格的耕地保护制度和节约用地制度，提高土地资源利用效率，实现从扩张型发展向内涵式发展的转变。新增建设用地土壤环境安全保障率100%。</w:t>
                  </w:r>
                </w:p>
              </w:tc>
              <w:tc>
                <w:tcPr>
                  <w:tcW w:w="610" w:type="pct"/>
                  <w:noWrap w:val="0"/>
                  <w:vAlign w:val="center"/>
                </w:tcPr>
                <w:p w14:paraId="69F403F1">
                  <w:pPr>
                    <w:pStyle w:val="22"/>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eastAsia="zh-CN"/>
                    </w:rPr>
                    <w:t>本项目不涉及</w:t>
                  </w:r>
                </w:p>
              </w:tc>
            </w:tr>
          </w:tbl>
          <w:p w14:paraId="6C06E4CD">
            <w:pPr>
              <w:spacing w:line="360" w:lineRule="auto"/>
              <w:jc w:val="center"/>
              <w:rPr>
                <w:rFonts w:hint="eastAsia"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GB" w:eastAsia="zh-CN"/>
              </w:rPr>
              <w:t>表</w:t>
            </w:r>
            <w:r>
              <w:rPr>
                <w:rFonts w:hint="eastAsia" w:ascii="Times New Roman" w:hAnsi="Times New Roman" w:eastAsia="宋体" w:cs="Times New Roman"/>
                <w:b/>
                <w:bCs/>
                <w:sz w:val="21"/>
                <w:szCs w:val="21"/>
                <w:lang w:val="en-US" w:eastAsia="zh-CN"/>
              </w:rPr>
              <w:t>1-5  濮阳市南乐县产业集聚区生态环境总体准入要求</w:t>
            </w:r>
          </w:p>
          <w:tbl>
            <w:tblPr>
              <w:tblStyle w:val="1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31"/>
              <w:gridCol w:w="4673"/>
              <w:gridCol w:w="1397"/>
              <w:gridCol w:w="839"/>
            </w:tblGrid>
            <w:tr w14:paraId="785A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3517" w:type="pct"/>
                  <w:gridSpan w:val="2"/>
                  <w:noWrap w:val="0"/>
                  <w:vAlign w:val="center"/>
                </w:tcPr>
                <w:p w14:paraId="777993BE">
                  <w:pPr>
                    <w:pStyle w:val="2"/>
                    <w:tabs>
                      <w:tab w:val="left" w:pos="2010"/>
                    </w:tabs>
                    <w:spacing w:line="360" w:lineRule="exact"/>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zh-CN" w:eastAsia="zh-CN" w:bidi="ar-SA"/>
                    </w:rPr>
                    <w:t>管控要求</w:t>
                  </w:r>
                </w:p>
              </w:tc>
              <w:tc>
                <w:tcPr>
                  <w:tcW w:w="926" w:type="pct"/>
                  <w:noWrap w:val="0"/>
                  <w:vAlign w:val="center"/>
                </w:tcPr>
                <w:p w14:paraId="27A27F9A">
                  <w:pPr>
                    <w:pStyle w:val="2"/>
                    <w:tabs>
                      <w:tab w:val="left" w:pos="2010"/>
                    </w:tabs>
                    <w:spacing w:line="360" w:lineRule="exact"/>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zh-CN" w:eastAsia="zh-CN" w:bidi="ar-SA"/>
                    </w:rPr>
                    <w:t>本项目情况</w:t>
                  </w:r>
                </w:p>
              </w:tc>
              <w:tc>
                <w:tcPr>
                  <w:tcW w:w="556" w:type="pct"/>
                  <w:noWrap w:val="0"/>
                  <w:vAlign w:val="center"/>
                </w:tcPr>
                <w:p w14:paraId="3E215CB6">
                  <w:pPr>
                    <w:pStyle w:val="2"/>
                    <w:tabs>
                      <w:tab w:val="left" w:pos="2010"/>
                    </w:tabs>
                    <w:spacing w:line="360" w:lineRule="exact"/>
                    <w:ind w:firstLine="0" w:firstLineChars="0"/>
                    <w:jc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zh-CN" w:eastAsia="zh-CN" w:bidi="ar-SA"/>
                    </w:rPr>
                    <w:t>相符性</w:t>
                  </w:r>
                </w:p>
              </w:tc>
            </w:tr>
            <w:tr w14:paraId="2538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9" w:type="pct"/>
                  <w:noWrap w:val="0"/>
                  <w:vAlign w:val="center"/>
                </w:tcPr>
                <w:p w14:paraId="4F7067EA">
                  <w:pPr>
                    <w:pStyle w:val="22"/>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空间布局约束</w:t>
                  </w:r>
                </w:p>
              </w:tc>
              <w:tc>
                <w:tcPr>
                  <w:tcW w:w="3098" w:type="pct"/>
                  <w:noWrap w:val="0"/>
                  <w:vAlign w:val="center"/>
                </w:tcPr>
                <w:p w14:paraId="474198FD">
                  <w:pPr>
                    <w:pStyle w:val="22"/>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入驻项目应符合园区规划或规划环评的要求。在居民安置区的上风向区域禁止入驻大气污染较为严重的工业企业；东环路两侧的类工业用地禁止入驻以大气污染为主的工业项目；禁止发展煤化工冶金、钢铁、铁合金等单纯新建和单纯扩大产能的项目。</w:t>
                  </w:r>
                </w:p>
                <w:p w14:paraId="2A67B052">
                  <w:pPr>
                    <w:pStyle w:val="22"/>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2、控制入驻高耗水、高排水建设项目和污水处理后达不到集中污水处理厂收水水质标准的建设项目。</w:t>
                  </w:r>
                </w:p>
              </w:tc>
              <w:tc>
                <w:tcPr>
                  <w:tcW w:w="926" w:type="pct"/>
                  <w:noWrap w:val="0"/>
                  <w:vAlign w:val="center"/>
                </w:tcPr>
                <w:p w14:paraId="5570BCBD">
                  <w:pPr>
                    <w:pStyle w:val="22"/>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本项目为废旧轮胎综合利用，</w:t>
                  </w:r>
                  <w:r>
                    <w:rPr>
                      <w:rFonts w:hint="eastAsia" w:ascii="Times New Roman" w:hAnsi="Times New Roman" w:eastAsia="宋体" w:cs="Times New Roman"/>
                      <w:color w:val="000000"/>
                      <w:kern w:val="2"/>
                      <w:sz w:val="21"/>
                      <w:szCs w:val="21"/>
                      <w:lang w:val="zh-CN" w:eastAsia="zh-CN" w:bidi="ar-SA"/>
                    </w:rPr>
                    <w:t>不涉及所列禁止类项目</w:t>
                  </w:r>
                  <w:r>
                    <w:rPr>
                      <w:rFonts w:hint="eastAsia" w:cs="Times New Roman"/>
                      <w:color w:val="000000"/>
                      <w:kern w:val="2"/>
                      <w:sz w:val="21"/>
                      <w:szCs w:val="21"/>
                      <w:lang w:val="zh-CN" w:eastAsia="zh-CN" w:bidi="ar-SA"/>
                    </w:rPr>
                    <w:t>。</w:t>
                  </w:r>
                </w:p>
              </w:tc>
              <w:tc>
                <w:tcPr>
                  <w:tcW w:w="556" w:type="pct"/>
                  <w:noWrap w:val="0"/>
                  <w:vAlign w:val="center"/>
                </w:tcPr>
                <w:p w14:paraId="37C3D58E">
                  <w:pPr>
                    <w:pStyle w:val="22"/>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6D25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9" w:type="pct"/>
                  <w:noWrap w:val="0"/>
                  <w:vAlign w:val="center"/>
                </w:tcPr>
                <w:p w14:paraId="184B3FC3">
                  <w:pPr>
                    <w:pStyle w:val="22"/>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污染物排放管控</w:t>
                  </w:r>
                </w:p>
              </w:tc>
              <w:tc>
                <w:tcPr>
                  <w:tcW w:w="3098" w:type="pct"/>
                  <w:noWrap w:val="0"/>
                  <w:vAlign w:val="center"/>
                </w:tcPr>
                <w:p w14:paraId="490C7504">
                  <w:pPr>
                    <w:pStyle w:val="22"/>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1、大气：优化产业结构，严格控制入区项目的引入条件；入区企业要严格执行“三同时”制度，优化工艺流程，推行清洁生产，对污染物排放进行全过程控制。</w:t>
                  </w:r>
                </w:p>
                <w:p w14:paraId="3B864A26">
                  <w:pPr>
                    <w:pStyle w:val="22"/>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水：严格限制高耗水、高污染的企业入驻集聚区；沥青、油料、化学物品等要采取防止雨水冲刷和防淋溶措施；采用先进的生产工艺和污染物处理工艺，加大废水回用率，最大限度地减少水污染物的排放。禁止含重金属废水进入城市生活污水处理厂。</w:t>
                  </w:r>
                </w:p>
              </w:tc>
              <w:tc>
                <w:tcPr>
                  <w:tcW w:w="926" w:type="pct"/>
                  <w:noWrap w:val="0"/>
                  <w:vAlign w:val="center"/>
                </w:tcPr>
                <w:p w14:paraId="14C72877">
                  <w:pPr>
                    <w:pStyle w:val="22"/>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项目符合园区规划，项目建成后严格执行“三同时”制度，对污染物排放进行全过程控制；</w:t>
                  </w:r>
                </w:p>
                <w:p w14:paraId="05BF62A6">
                  <w:pPr>
                    <w:pStyle w:val="22"/>
                    <w:rPr>
                      <w:rFonts w:hint="default" w:ascii="Times New Roman" w:hAnsi="Times New Roman" w:eastAsia="宋体" w:cs="Times New Roman"/>
                      <w:b/>
                      <w:bCs/>
                      <w:color w:val="000000"/>
                      <w:kern w:val="2"/>
                      <w:sz w:val="21"/>
                      <w:szCs w:val="21"/>
                      <w:lang w:val="en-US" w:eastAsia="zh-CN" w:bidi="ar-SA"/>
                    </w:rPr>
                  </w:pPr>
                  <w:r>
                    <w:rPr>
                      <w:rFonts w:hint="eastAsia"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t>本项目不属于高耗水、高污染企业，项</w:t>
                  </w:r>
                  <w:r>
                    <w:rPr>
                      <w:rFonts w:hint="eastAsia" w:ascii="Times New Roman" w:hAnsi="Times New Roman" w:eastAsia="宋体" w:cs="Times New Roman"/>
                      <w:b/>
                      <w:bCs/>
                      <w:color w:val="000000"/>
                      <w:kern w:val="2"/>
                      <w:sz w:val="21"/>
                      <w:szCs w:val="21"/>
                      <w:u w:val="single"/>
                      <w:lang w:val="en-US" w:eastAsia="zh-CN" w:bidi="ar-SA"/>
                    </w:rPr>
                    <w:t>目产生的废气经布袋除尘器处理后通过二级活性炭吸附由不低于</w:t>
                  </w:r>
                  <w:r>
                    <w:rPr>
                      <w:rFonts w:hint="eastAsia" w:ascii="Times New Roman" w:hAnsi="Times New Roman" w:eastAsia="宋体" w:cs="Times New Roman"/>
                      <w:b/>
                      <w:bCs/>
                      <w:color w:val="000000"/>
                      <w:kern w:val="2"/>
                      <w:sz w:val="21"/>
                      <w:szCs w:val="21"/>
                      <w:lang w:val="en-US" w:eastAsia="zh-CN" w:bidi="ar-SA"/>
                    </w:rPr>
                    <w:t xml:space="preserve"> </w:t>
                  </w:r>
                  <w:r>
                    <w:rPr>
                      <w:rFonts w:hint="eastAsia" w:ascii="Times New Roman" w:hAnsi="Times New Roman" w:eastAsia="宋体" w:cs="Times New Roman"/>
                      <w:b/>
                      <w:bCs/>
                      <w:color w:val="000000"/>
                      <w:kern w:val="2"/>
                      <w:sz w:val="21"/>
                      <w:szCs w:val="21"/>
                      <w:u w:val="single"/>
                      <w:lang w:val="en-US" w:eastAsia="zh-CN" w:bidi="ar-SA"/>
                    </w:rPr>
                    <w:t>15m 高排气筒排放</w:t>
                  </w:r>
                  <w:r>
                    <w:rPr>
                      <w:rFonts w:hint="eastAsia" w:cs="Times New Roman"/>
                      <w:b/>
                      <w:bCs/>
                      <w:color w:val="000000"/>
                      <w:kern w:val="2"/>
                      <w:sz w:val="21"/>
                      <w:szCs w:val="21"/>
                      <w:lang w:val="en-US" w:eastAsia="zh-CN" w:bidi="ar-SA"/>
                    </w:rPr>
                    <w:t>。</w:t>
                  </w:r>
                </w:p>
              </w:tc>
              <w:tc>
                <w:tcPr>
                  <w:tcW w:w="556" w:type="pct"/>
                  <w:noWrap w:val="0"/>
                  <w:vAlign w:val="center"/>
                </w:tcPr>
                <w:p w14:paraId="78948B62">
                  <w:pPr>
                    <w:pStyle w:val="22"/>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12A78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9" w:type="pct"/>
                  <w:noWrap w:val="0"/>
                  <w:vAlign w:val="center"/>
                </w:tcPr>
                <w:p w14:paraId="1F9B4112">
                  <w:pPr>
                    <w:pStyle w:val="22"/>
                    <w:jc w:val="center"/>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lang w:eastAsia="zh-CN"/>
                    </w:rPr>
                    <w:t>环境风险防控</w:t>
                  </w:r>
                </w:p>
              </w:tc>
              <w:tc>
                <w:tcPr>
                  <w:tcW w:w="3098" w:type="pct"/>
                  <w:noWrap w:val="0"/>
                  <w:vAlign w:val="center"/>
                </w:tcPr>
                <w:p w14:paraId="60454B79">
                  <w:pPr>
                    <w:pStyle w:val="22"/>
                    <w:rPr>
                      <w:rFonts w:hint="eastAsia" w:ascii="Times New Roman" w:hAnsi="Times New Roman" w:eastAsia="宋体" w:cs="Times New Roman"/>
                      <w:b/>
                      <w:bCs/>
                      <w:sz w:val="21"/>
                      <w:szCs w:val="21"/>
                      <w:u w:val="single"/>
                      <w:lang w:eastAsia="zh-CN"/>
                    </w:rPr>
                  </w:pPr>
                  <w:r>
                    <w:rPr>
                      <w:rFonts w:hint="eastAsia" w:ascii="Times New Roman" w:hAnsi="Times New Roman" w:eastAsia="宋体" w:cs="Times New Roman"/>
                      <w:b/>
                      <w:bCs/>
                      <w:sz w:val="21"/>
                      <w:szCs w:val="21"/>
                      <w:u w:val="single"/>
                      <w:lang w:eastAsia="zh-CN"/>
                    </w:rPr>
                    <w:t>1、针对区域存在的各类风险源，制订完善的安全管理制度和建立有效的安全防范体系，制订风险事故应急措施或预案。</w:t>
                  </w:r>
                </w:p>
                <w:p w14:paraId="00C680AD">
                  <w:pPr>
                    <w:pStyle w:val="22"/>
                    <w:rPr>
                      <w:rFonts w:hint="eastAsia" w:ascii="Times New Roman" w:hAnsi="Times New Roman" w:eastAsia="宋体" w:cs="Times New Roman"/>
                      <w:b/>
                      <w:bCs/>
                      <w:sz w:val="21"/>
                      <w:szCs w:val="21"/>
                      <w:u w:val="single"/>
                      <w:lang w:eastAsia="zh-CN"/>
                    </w:rPr>
                  </w:pPr>
                  <w:r>
                    <w:rPr>
                      <w:rFonts w:hint="eastAsia" w:ascii="Times New Roman" w:hAnsi="Times New Roman" w:eastAsia="宋体" w:cs="Times New Roman"/>
                      <w:b/>
                      <w:bCs/>
                      <w:sz w:val="21"/>
                      <w:szCs w:val="21"/>
                      <w:u w:val="single"/>
                      <w:lang w:eastAsia="zh-CN"/>
                    </w:rPr>
                    <w:t>2、化工和危险化学品生产、储存、使用等企业在拆除生产设施设备、污染治理设施时，要事先制定企业拆除活动污染防治方案和拆除活动环境应急预案。</w:t>
                  </w:r>
                </w:p>
                <w:p w14:paraId="578C1308">
                  <w:pPr>
                    <w:pStyle w:val="22"/>
                    <w:rPr>
                      <w:rFonts w:hint="default"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u w:val="single"/>
                      <w:lang w:eastAsia="zh-CN"/>
                    </w:rPr>
                    <w:t>3、充分利用企业用地调查成果和注销、撤销排污许可的信息考虑行业、生产年限等因素，确定优先监管地块，并按要求采取污染管控措施。</w:t>
                  </w:r>
                </w:p>
              </w:tc>
              <w:tc>
                <w:tcPr>
                  <w:tcW w:w="926" w:type="pct"/>
                  <w:noWrap w:val="0"/>
                  <w:vAlign w:val="center"/>
                </w:tcPr>
                <w:p w14:paraId="0571572B">
                  <w:pPr>
                    <w:pStyle w:val="22"/>
                    <w:rPr>
                      <w:rFonts w:hint="eastAsia" w:ascii="Times New Roman" w:hAnsi="Times New Roman" w:eastAsia="宋体" w:cs="Times New Roman"/>
                      <w:b/>
                      <w:bCs/>
                      <w:sz w:val="21"/>
                      <w:szCs w:val="21"/>
                      <w:u w:val="single"/>
                      <w:lang w:eastAsia="zh-CN"/>
                    </w:rPr>
                  </w:pPr>
                  <w:r>
                    <w:rPr>
                      <w:rFonts w:hint="eastAsia" w:ascii="Times New Roman" w:hAnsi="Times New Roman" w:eastAsia="宋体" w:cs="Times New Roman"/>
                      <w:b/>
                      <w:bCs/>
                      <w:sz w:val="21"/>
                      <w:szCs w:val="21"/>
                      <w:u w:val="single"/>
                      <w:lang w:eastAsia="zh-CN"/>
                    </w:rPr>
                    <w:t>本项目采取了环境风险措施，在项目建成后编制环境应急预案。</w:t>
                  </w:r>
                </w:p>
                <w:p w14:paraId="6245DA8F">
                  <w:pPr>
                    <w:pStyle w:val="22"/>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u w:val="single"/>
                      <w:lang w:eastAsia="zh-CN"/>
                    </w:rPr>
                    <w:t>项目不涉及危险化学品生产设施设备、污染治理设施的拆除。</w:t>
                  </w:r>
                </w:p>
              </w:tc>
              <w:tc>
                <w:tcPr>
                  <w:tcW w:w="556" w:type="pct"/>
                  <w:noWrap w:val="0"/>
                  <w:vAlign w:val="center"/>
                </w:tcPr>
                <w:p w14:paraId="58459263">
                  <w:pPr>
                    <w:pStyle w:val="22"/>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相符</w:t>
                  </w:r>
                </w:p>
              </w:tc>
            </w:tr>
            <w:tr w14:paraId="7E80D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419" w:type="pct"/>
                  <w:noWrap w:val="0"/>
                  <w:vAlign w:val="center"/>
                </w:tcPr>
                <w:p w14:paraId="01178152">
                  <w:pPr>
                    <w:pStyle w:val="22"/>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资源开发效率要求</w:t>
                  </w:r>
                </w:p>
              </w:tc>
              <w:tc>
                <w:tcPr>
                  <w:tcW w:w="3098" w:type="pct"/>
                  <w:noWrap w:val="0"/>
                  <w:vAlign w:val="center"/>
                </w:tcPr>
                <w:p w14:paraId="12EF2CE3">
                  <w:pPr>
                    <w:pStyle w:val="22"/>
                    <w:rPr>
                      <w:rFonts w:hint="default" w:ascii="Times New Roman" w:hAnsi="Times New Roman" w:eastAsia="宋体" w:cs="Times New Roman"/>
                      <w:sz w:val="21"/>
                      <w:szCs w:val="21"/>
                      <w:lang w:eastAsia="zh-CN"/>
                    </w:rPr>
                  </w:pPr>
                  <w:r>
                    <w:rPr>
                      <w:rFonts w:hint="eastAsia" w:ascii="Times New Roman" w:hAnsi="Times New Roman" w:eastAsia="宋体" w:cs="Times New Roman"/>
                      <w:sz w:val="21"/>
                      <w:szCs w:val="21"/>
                      <w:lang w:eastAsia="zh-CN"/>
                    </w:rPr>
                    <w:t>地下水超采地区，</w:t>
                  </w:r>
                  <w:r>
                    <w:rPr>
                      <w:rFonts w:hint="eastAsia" w:ascii="Times New Roman" w:hAnsi="Times New Roman" w:eastAsia="宋体" w:cs="Times New Roman"/>
                      <w:sz w:val="21"/>
                      <w:szCs w:val="21"/>
                      <w:lang w:val="en-US" w:eastAsia="zh-CN"/>
                    </w:rPr>
                    <w:t>控制高耗水新建、改建、扩建项目</w:t>
                  </w:r>
                  <w:r>
                    <w:rPr>
                      <w:rFonts w:hint="eastAsia" w:ascii="Times New Roman" w:hAnsi="Times New Roman" w:eastAsia="宋体" w:cs="Times New Roman"/>
                      <w:sz w:val="21"/>
                      <w:szCs w:val="21"/>
                      <w:lang w:eastAsia="zh-CN"/>
                    </w:rPr>
                    <w:t>。</w:t>
                  </w:r>
                </w:p>
              </w:tc>
              <w:tc>
                <w:tcPr>
                  <w:tcW w:w="926" w:type="pct"/>
                  <w:noWrap w:val="0"/>
                  <w:vAlign w:val="center"/>
                </w:tcPr>
                <w:p w14:paraId="6616BBB0">
                  <w:pPr>
                    <w:pStyle w:val="22"/>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sz w:val="21"/>
                      <w:szCs w:val="21"/>
                      <w:u w:val="single"/>
                      <w:lang w:eastAsia="zh-CN"/>
                    </w:rPr>
                    <w:t>本项目采用市政供水，不使用地下水。</w:t>
                  </w:r>
                </w:p>
              </w:tc>
              <w:tc>
                <w:tcPr>
                  <w:tcW w:w="556" w:type="pct"/>
                  <w:noWrap w:val="0"/>
                  <w:vAlign w:val="center"/>
                </w:tcPr>
                <w:p w14:paraId="6218C11A">
                  <w:pPr>
                    <w:pStyle w:val="22"/>
                    <w:jc w:val="center"/>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相符</w:t>
                  </w:r>
                </w:p>
              </w:tc>
            </w:tr>
          </w:tbl>
          <w:p w14:paraId="1BD5BC4D">
            <w:pPr>
              <w:autoSpaceDE w:val="0"/>
              <w:autoSpaceDN w:val="0"/>
              <w:adjustRightInd w:val="0"/>
              <w:snapToGrid w:val="0"/>
              <w:spacing w:line="360" w:lineRule="auto"/>
              <w:ind w:firstLine="480" w:firstLineChars="200"/>
              <w:rPr>
                <w:rFonts w:hint="eastAsia" w:ascii="Times New Roman" w:hAnsi="Times New Roman" w:eastAsia="宋体"/>
                <w:lang w:val="en-US" w:eastAsia="zh-CN"/>
              </w:rPr>
            </w:pPr>
            <w:r>
              <w:rPr>
                <w:rFonts w:hint="eastAsia" w:ascii="Times New Roman" w:hAnsi="Times New Roman" w:eastAsia="宋体"/>
                <w:lang w:val="en-US" w:eastAsia="zh-CN"/>
              </w:rPr>
              <w:t>综上所述，本项目符合“三线一单”相关要求。</w:t>
            </w:r>
          </w:p>
          <w:p w14:paraId="17A15EEA">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2、</w:t>
            </w:r>
            <w:r>
              <w:rPr>
                <w:rFonts w:hint="default" w:ascii="Times New Roman" w:hAnsi="Times New Roman" w:eastAsia="宋体" w:cs="Times New Roman"/>
                <w:b/>
                <w:bCs/>
                <w:color w:val="000000"/>
                <w:lang w:val="en-US" w:eastAsia="zh-CN" w:bidi="zh-CN"/>
              </w:rPr>
              <w:t>产业政策的相符性</w:t>
            </w:r>
          </w:p>
          <w:p w14:paraId="2AFFE4F4">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2.1项目与《产业结构调整指导目录（2024年本）》相符性分析</w:t>
            </w:r>
          </w:p>
          <w:p w14:paraId="5C6C94CF">
            <w:pPr>
              <w:autoSpaceDE w:val="0"/>
              <w:autoSpaceDN w:val="0"/>
              <w:adjustRightInd w:val="0"/>
              <w:snapToGrid w:val="0"/>
              <w:spacing w:line="360" w:lineRule="auto"/>
              <w:ind w:firstLine="480" w:firstLineChars="200"/>
              <w:rPr>
                <w:rFonts w:hint="default" w:ascii="Times New Roman" w:hAnsi="Times New Roman" w:eastAsia="宋体"/>
                <w:lang w:val="en-US" w:eastAsia="zh-CN"/>
              </w:rPr>
            </w:pPr>
            <w:r>
              <w:rPr>
                <w:rFonts w:hint="eastAsia" w:ascii="Times New Roman" w:hAnsi="Times New Roman" w:eastAsia="宋体"/>
                <w:lang w:val="en-US" w:eastAsia="zh-CN"/>
              </w:rPr>
              <w:t>根据</w:t>
            </w:r>
            <w:r>
              <w:rPr>
                <w:rFonts w:hint="default" w:ascii="Times New Roman" w:hAnsi="Times New Roman" w:eastAsia="宋体"/>
              </w:rPr>
              <w:t>《产业结构调整指导目录（20</w:t>
            </w:r>
            <w:r>
              <w:rPr>
                <w:rFonts w:hint="eastAsia" w:ascii="Times New Roman" w:hAnsi="Times New Roman" w:eastAsia="宋体"/>
                <w:lang w:val="en-US" w:eastAsia="zh-CN"/>
              </w:rPr>
              <w:t>24</w:t>
            </w:r>
            <w:r>
              <w:rPr>
                <w:rFonts w:hint="default" w:ascii="Times New Roman" w:hAnsi="Times New Roman" w:eastAsia="宋体"/>
              </w:rPr>
              <w:t>年本）》，本项目属</w:t>
            </w:r>
            <w:r>
              <w:rPr>
                <w:rFonts w:hint="eastAsia" w:ascii="Times New Roman" w:hAnsi="Times New Roman" w:eastAsia="宋体"/>
                <w:lang w:val="en-US" w:eastAsia="zh-CN"/>
              </w:rPr>
              <w:t>鼓励</w:t>
            </w:r>
            <w:r>
              <w:rPr>
                <w:rFonts w:hint="default" w:ascii="Times New Roman" w:hAnsi="Times New Roman" w:eastAsia="宋体"/>
              </w:rPr>
              <w:t>类项目，符合国家产业政策。项目已经在</w:t>
            </w:r>
            <w:r>
              <w:rPr>
                <w:rFonts w:hint="eastAsia" w:ascii="Times New Roman" w:hAnsi="Times New Roman" w:eastAsia="宋体"/>
                <w:lang w:eastAsia="zh-CN"/>
              </w:rPr>
              <w:t>南乐县行政审批和服务信息管理局</w:t>
            </w:r>
            <w:r>
              <w:rPr>
                <w:rFonts w:hint="default" w:ascii="Times New Roman" w:hAnsi="Times New Roman" w:eastAsia="宋体"/>
              </w:rPr>
              <w:t>备案，</w:t>
            </w:r>
            <w:r>
              <w:rPr>
                <w:rFonts w:hint="eastAsia" w:ascii="Times New Roman" w:hAnsi="Times New Roman" w:eastAsia="宋体"/>
                <w:lang w:eastAsia="zh-CN"/>
              </w:rPr>
              <w:t>项目代码</w:t>
            </w:r>
            <w:r>
              <w:rPr>
                <w:rFonts w:hint="default" w:ascii="Times New Roman" w:hAnsi="Times New Roman" w:eastAsia="宋体"/>
              </w:rPr>
              <w:t>为</w:t>
            </w:r>
            <w:r>
              <w:rPr>
                <w:rFonts w:hint="eastAsia" w:ascii="Times New Roman" w:hAnsi="Times New Roman" w:eastAsia="宋体"/>
                <w:lang w:val="en-US" w:eastAsia="zh-CN"/>
              </w:rPr>
              <w:t>2306-410923-04-01-468652</w:t>
            </w:r>
            <w:r>
              <w:rPr>
                <w:rFonts w:hint="default" w:ascii="Times New Roman" w:hAnsi="Times New Roman" w:eastAsia="宋体"/>
                <w:lang w:val="en-US" w:eastAsia="zh-CN"/>
              </w:rPr>
              <w:t>。</w:t>
            </w:r>
          </w:p>
          <w:p w14:paraId="4A7EFF8E">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2.2与《河南省2023年蓝天保卫战实施方案》（豫环委办〔2023〕4号）相符性分析</w:t>
            </w:r>
          </w:p>
          <w:p w14:paraId="0A976B05">
            <w:pPr>
              <w:spacing w:line="360" w:lineRule="auto"/>
              <w:jc w:val="center"/>
              <w:rPr>
                <w:rFonts w:hint="default" w:ascii="Times New Roman" w:hAnsi="Times New Roman" w:eastAsia="宋体"/>
                <w:b/>
                <w:bCs/>
                <w:sz w:val="21"/>
                <w:szCs w:val="21"/>
                <w:lang w:val="en-US" w:eastAsia="zh-CN"/>
              </w:rPr>
            </w:pPr>
            <w:r>
              <w:rPr>
                <w:rFonts w:hint="eastAsia" w:ascii="Times New Roman" w:hAnsi="Times New Roman" w:eastAsia="宋体"/>
                <w:b/>
                <w:bCs/>
                <w:sz w:val="21"/>
                <w:szCs w:val="21"/>
                <w:lang w:val="en-US" w:eastAsia="zh-CN"/>
              </w:rPr>
              <w:t>表1-6  与《河南省2023年蓝天保卫战实施方案》（豫环委办〔2023〕4号）相符性分析一览表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4521"/>
              <w:gridCol w:w="1482"/>
              <w:gridCol w:w="690"/>
            </w:tblGrid>
            <w:tr w14:paraId="504B8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70" w:type="dxa"/>
                  <w:gridSpan w:val="2"/>
                  <w:noWrap w:val="0"/>
                  <w:vAlign w:val="center"/>
                </w:tcPr>
                <w:p w14:paraId="38C614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实施方案</w:t>
                  </w:r>
                </w:p>
              </w:tc>
              <w:tc>
                <w:tcPr>
                  <w:tcW w:w="1482" w:type="dxa"/>
                  <w:noWrap w:val="0"/>
                  <w:vAlign w:val="center"/>
                </w:tcPr>
                <w:p w14:paraId="6912B5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本项目情况</w:t>
                  </w:r>
                </w:p>
              </w:tc>
              <w:tc>
                <w:tcPr>
                  <w:tcW w:w="690" w:type="dxa"/>
                  <w:noWrap w:val="0"/>
                  <w:vAlign w:val="center"/>
                </w:tcPr>
                <w:p w14:paraId="6C69F6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相符性</w:t>
                  </w:r>
                </w:p>
              </w:tc>
            </w:tr>
            <w:tr w14:paraId="73E2E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noWrap w:val="0"/>
                  <w:vAlign w:val="center"/>
                </w:tcPr>
                <w:p w14:paraId="24D86C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（一）持续推进产业结构优化调整</w:t>
                  </w:r>
                </w:p>
              </w:tc>
              <w:tc>
                <w:tcPr>
                  <w:tcW w:w="4521" w:type="dxa"/>
                  <w:noWrap w:val="0"/>
                  <w:vAlign w:val="center"/>
                </w:tcPr>
                <w:p w14:paraId="6F76BB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加快传统产业集群升级改造。组织对炭素、耐火材料、包装印刷、家具制造等行业产业集群开展排查摸底，2023年6月底前建立重点行业产业集群及园区清单台账，研究制定“一群一策”整治提升方案，从生产工艺、产能规模、能耗水平、燃料类型、污染治理和区域环境综合整治等方面明确升级改造标准，支持建设集中供热（气）中心、集中涂装中心、活性炭集中再生处理中心、有机溶剂回收处置中心，培育一批绿色工厂、绿色工业园区，不断优化产业结构，推进工业企业绿色低碳高质量发展。</w:t>
                  </w:r>
                </w:p>
              </w:tc>
              <w:tc>
                <w:tcPr>
                  <w:tcW w:w="1482" w:type="dxa"/>
                  <w:noWrap w:val="0"/>
                  <w:vAlign w:val="center"/>
                </w:tcPr>
                <w:p w14:paraId="54EA00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本项目为废旧轮胎综合利用项目，位于南乐县产业集聚区</w:t>
                  </w:r>
                  <w:r>
                    <w:rPr>
                      <w:rFonts w:hint="eastAsia" w:ascii="Times New Roman" w:hAnsi="Times New Roman" w:eastAsia="宋体" w:cs="Times New Roman"/>
                      <w:color w:val="000000"/>
                      <w:kern w:val="2"/>
                      <w:sz w:val="21"/>
                      <w:szCs w:val="21"/>
                      <w:highlight w:val="none"/>
                      <w:lang w:val="en-US" w:eastAsia="zh-CN" w:bidi="ar-SA"/>
                    </w:rPr>
                    <w:t>，项目建成后按照要求安装废气</w:t>
                  </w:r>
                  <w:r>
                    <w:rPr>
                      <w:rFonts w:hint="eastAsia" w:cs="Times New Roman"/>
                      <w:color w:val="000000"/>
                      <w:kern w:val="2"/>
                      <w:sz w:val="21"/>
                      <w:szCs w:val="21"/>
                      <w:highlight w:val="none"/>
                      <w:lang w:val="en-US" w:eastAsia="zh-CN" w:bidi="ar-SA"/>
                    </w:rPr>
                    <w:t>、废水、固废</w:t>
                  </w:r>
                  <w:r>
                    <w:rPr>
                      <w:rFonts w:hint="eastAsia" w:ascii="Times New Roman" w:hAnsi="Times New Roman" w:eastAsia="宋体" w:cs="Times New Roman"/>
                      <w:color w:val="000000"/>
                      <w:kern w:val="2"/>
                      <w:sz w:val="21"/>
                      <w:szCs w:val="21"/>
                      <w:highlight w:val="none"/>
                      <w:lang w:val="en-US" w:eastAsia="zh-CN" w:bidi="ar-SA"/>
                    </w:rPr>
                    <w:t>治理设施</w:t>
                  </w:r>
                </w:p>
              </w:tc>
              <w:tc>
                <w:tcPr>
                  <w:tcW w:w="690" w:type="dxa"/>
                  <w:noWrap w:val="0"/>
                  <w:vAlign w:val="center"/>
                </w:tcPr>
                <w:p w14:paraId="3F15FF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1B409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14:paraId="32AA9F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
                      <w:bCs/>
                      <w:sz w:val="21"/>
                      <w:szCs w:val="21"/>
                      <w:u w:val="single"/>
                      <w:lang w:eastAsia="zh-CN"/>
                    </w:rPr>
                  </w:pPr>
                </w:p>
              </w:tc>
              <w:tc>
                <w:tcPr>
                  <w:tcW w:w="4521" w:type="dxa"/>
                  <w:noWrap w:val="0"/>
                  <w:vAlign w:val="center"/>
                </w:tcPr>
                <w:p w14:paraId="609841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依法依规淘汰落后低效产能。修订完善《河南省淘汰落后产能综合标准体系》，将大气污染物排放强度高、治理难度大以及产能过剩行业的工艺和装备纳入淘汰范围。制定2023年落后产能淘汰退出工作方案，严格执行能耗、环保、质量、安全、技术等法规标准，明确落后产能淘汰目标任务，组织开展排查整治专项行动，对落后产能实施动态“清零”。</w:t>
                  </w:r>
                </w:p>
              </w:tc>
              <w:tc>
                <w:tcPr>
                  <w:tcW w:w="1482" w:type="dxa"/>
                  <w:noWrap w:val="0"/>
                  <w:vAlign w:val="center"/>
                </w:tcPr>
                <w:p w14:paraId="5E6011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本项目不属于落后低效产能。</w:t>
                  </w:r>
                </w:p>
              </w:tc>
              <w:tc>
                <w:tcPr>
                  <w:tcW w:w="690" w:type="dxa"/>
                  <w:noWrap w:val="0"/>
                  <w:vAlign w:val="center"/>
                </w:tcPr>
                <w:p w14:paraId="650482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773A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3C91BD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（四）强化面源污染治理</w:t>
                  </w:r>
                </w:p>
              </w:tc>
              <w:tc>
                <w:tcPr>
                  <w:tcW w:w="4521" w:type="dxa"/>
                  <w:noWrap w:val="0"/>
                  <w:vAlign w:val="center"/>
                </w:tcPr>
                <w:p w14:paraId="502CA4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13.加强扬尘防治精细化管理。开展扬尘治理提升行动，严格落实扬尘治理“两个标准”要求，做好建筑工地、线性工程、城乡结合部等关键部位和重点环节综合治理，加大扬尘污染防治执法监管力度，逐月开展降尘量监测，实施公开排名通报，各城市平均降尘量不得高于7吨/月·平方公里。</w:t>
                  </w:r>
                </w:p>
              </w:tc>
              <w:tc>
                <w:tcPr>
                  <w:tcW w:w="1482" w:type="dxa"/>
                  <w:noWrap w:val="0"/>
                  <w:vAlign w:val="center"/>
                </w:tcPr>
                <w:p w14:paraId="7AECB5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本项目施工期间严格按照</w:t>
                  </w:r>
                  <w:r>
                    <w:rPr>
                      <w:rFonts w:hint="eastAsia" w:cs="Times New Roman"/>
                      <w:color w:val="000000"/>
                      <w:kern w:val="2"/>
                      <w:sz w:val="21"/>
                      <w:szCs w:val="21"/>
                      <w:lang w:val="en-US" w:eastAsia="zh-CN" w:bidi="ar-SA"/>
                    </w:rPr>
                    <w:t>八</w:t>
                  </w:r>
                  <w:r>
                    <w:rPr>
                      <w:rFonts w:hint="eastAsia" w:ascii="Times New Roman" w:hAnsi="Times New Roman" w:eastAsia="宋体" w:cs="Times New Roman"/>
                      <w:color w:val="000000"/>
                      <w:kern w:val="2"/>
                      <w:sz w:val="21"/>
                      <w:szCs w:val="21"/>
                      <w:lang w:val="en-US" w:eastAsia="zh-CN" w:bidi="ar-SA"/>
                    </w:rPr>
                    <w:t>个百分百要求进行扬尘防治。</w:t>
                  </w:r>
                </w:p>
              </w:tc>
              <w:tc>
                <w:tcPr>
                  <w:tcW w:w="690" w:type="dxa"/>
                  <w:noWrap w:val="0"/>
                  <w:vAlign w:val="center"/>
                </w:tcPr>
                <w:p w14:paraId="037AC7F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0A529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restart"/>
                  <w:noWrap w:val="0"/>
                  <w:vAlign w:val="center"/>
                </w:tcPr>
                <w:p w14:paraId="40859E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（六）加快挥发性有机物治理</w:t>
                  </w:r>
                </w:p>
              </w:tc>
              <w:tc>
                <w:tcPr>
                  <w:tcW w:w="4521" w:type="dxa"/>
                  <w:noWrap w:val="0"/>
                  <w:vAlign w:val="center"/>
                </w:tcPr>
                <w:p w14:paraId="5E777F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22.推进低VOCs含量原辅材料源头替代。按照“可替尽替、应代尽代”的原则，开展汽车制造、工业涂装、家具制造、包装印刷、钢结构制造、工程机械等行业溶剂型涂料、油墨、胶粘剂、清洗剂使用低VOCs含量原辅材料替代，明确治理任务，动态更新清单台账。汽车整车制造行业大力提升底漆、中涂、色漆低VOCs含量涂料使用比例；房屋建筑和市政工程全面推广使用低VOCs含量涂料和胶粘剂，除特殊功能要求外，室内地坪施工、室外构筑物防护和城市道路交通标志基本使用低VOCs含量涂料。城市建成区严格控制生产和使用溶剂型涂料、油墨、胶粘剂、清洗剂等建设项目。</w:t>
                  </w:r>
                </w:p>
              </w:tc>
              <w:tc>
                <w:tcPr>
                  <w:tcW w:w="1482" w:type="dxa"/>
                  <w:noWrap w:val="0"/>
                  <w:vAlign w:val="center"/>
                </w:tcPr>
                <w:p w14:paraId="1199EEB6">
                  <w:pPr>
                    <w:keepNext w:val="0"/>
                    <w:keepLines w:val="0"/>
                    <w:widowControl/>
                    <w:suppressLineNumbers w:val="0"/>
                    <w:jc w:val="left"/>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本项目为废旧轮胎综合利用项目，项目主</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要通过液氮</w:t>
                  </w:r>
                  <w:r>
                    <w:rPr>
                      <w:rFonts w:hint="eastAsia" w:cs="Times New Roman"/>
                      <w:color w:val="000000" w:themeColor="text1"/>
                      <w:kern w:val="2"/>
                      <w:sz w:val="21"/>
                      <w:szCs w:val="21"/>
                      <w:lang w:val="en-US" w:eastAsia="zh-CN" w:bidi="ar-SA"/>
                      <w14:textFill>
                        <w14:solidFill>
                          <w14:schemeClr w14:val="tx1"/>
                        </w14:solidFill>
                      </w14:textFill>
                    </w:rPr>
                    <w:t>低温破碎</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，回收钢丝，</w:t>
                  </w:r>
                  <w:r>
                    <w:rPr>
                      <w:rFonts w:hint="eastAsia" w:ascii="Times New Roman" w:hAnsi="Times New Roman" w:eastAsia="宋体" w:cs="Times New Roman"/>
                      <w:color w:val="000000"/>
                      <w:kern w:val="2"/>
                      <w:sz w:val="21"/>
                      <w:szCs w:val="21"/>
                      <w:lang w:val="en-US" w:eastAsia="zh-CN" w:bidi="ar-SA"/>
                    </w:rPr>
                    <w:t>不涉及生产和使用低</w:t>
                  </w:r>
                  <w:r>
                    <w:rPr>
                      <w:rFonts w:hint="default" w:ascii="Times New Roman" w:hAnsi="Times New Roman" w:eastAsia="宋体" w:cs="Times New Roman"/>
                      <w:color w:val="000000"/>
                      <w:kern w:val="2"/>
                      <w:sz w:val="21"/>
                      <w:szCs w:val="21"/>
                      <w:lang w:val="en-US" w:eastAsia="zh-CN" w:bidi="ar-SA"/>
                    </w:rPr>
                    <w:t xml:space="preserve">VOCs </w:t>
                  </w:r>
                  <w:r>
                    <w:rPr>
                      <w:rFonts w:hint="eastAsia" w:ascii="Times New Roman" w:hAnsi="Times New Roman" w:eastAsia="宋体" w:cs="Times New Roman"/>
                      <w:color w:val="000000"/>
                      <w:kern w:val="2"/>
                      <w:sz w:val="21"/>
                      <w:szCs w:val="21"/>
                      <w:lang w:val="en-US" w:eastAsia="zh-CN" w:bidi="ar-SA"/>
                    </w:rPr>
                    <w:t>含量涂料、油</w:t>
                  </w:r>
                </w:p>
                <w:p w14:paraId="7D0194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墨、胶粘剂、清洗剂等。</w:t>
                  </w:r>
                </w:p>
              </w:tc>
              <w:tc>
                <w:tcPr>
                  <w:tcW w:w="690" w:type="dxa"/>
                  <w:noWrap w:val="0"/>
                  <w:vAlign w:val="center"/>
                </w:tcPr>
                <w:p w14:paraId="67DCFF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037B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849" w:type="dxa"/>
                  <w:vMerge w:val="continue"/>
                  <w:noWrap w:val="0"/>
                  <w:vAlign w:val="center"/>
                </w:tcPr>
                <w:p w14:paraId="5D4D24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4521" w:type="dxa"/>
                  <w:noWrap w:val="0"/>
                  <w:vAlign w:val="center"/>
                </w:tcPr>
                <w:p w14:paraId="6AA3DA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23.持续加大无组织排放整治力度。2023年5月底前，排查含VOCs物料储存、转移和输送、设备与管线组件泄漏、敞开液面逸散以及工艺过程等五类排放源，在保证安全生产前提下，督促企业通过采取设备与场所密闭、工艺改进、废气有效收集等措施，对VOCs无组织排放废气进行综合治理，将需要集气罩收集无组织排放的集气流速测量监控纳入日常管理工作中监督落实；按要求对气态、液态VOCs物料的设备与管线组件密封点大于等于1000个的企业开展泄漏检测与修复工作；焦化行业使用红外热成像仪、火焰离子化检测仪（FID）等设备定期对酚氰废水处理池密闭设施、煤气管线及焦炉等装置进行巡检修护，防止逸散泄漏；产生含挥发性有机物废水的企业，采取密闭管道等措施逐步替代地漏、沟、渠、井等敞开式集输方式，减少挥发性有机物无组织排放。</w:t>
                  </w:r>
                </w:p>
              </w:tc>
              <w:tc>
                <w:tcPr>
                  <w:tcW w:w="1482" w:type="dxa"/>
                  <w:noWrap w:val="0"/>
                  <w:vAlign w:val="center"/>
                </w:tcPr>
                <w:p w14:paraId="490BF7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w:t>
                  </w:r>
                  <w:r>
                    <w:rPr>
                      <w:rFonts w:hint="eastAsia" w:cs="Times New Roman"/>
                      <w:color w:val="000000"/>
                      <w:kern w:val="2"/>
                      <w:sz w:val="21"/>
                      <w:szCs w:val="21"/>
                      <w:lang w:val="en-US" w:eastAsia="zh-CN" w:bidi="ar-SA"/>
                    </w:rPr>
                    <w:t>不涉及voc</w:t>
                  </w:r>
                  <w:r>
                    <w:rPr>
                      <w:rFonts w:hint="eastAsia" w:ascii="Times New Roman" w:hAnsi="Times New Roman" w:eastAsia="宋体" w:cs="Times New Roman"/>
                      <w:color w:val="000000"/>
                      <w:kern w:val="2"/>
                      <w:sz w:val="21"/>
                      <w:szCs w:val="21"/>
                      <w:lang w:val="en-US" w:eastAsia="zh-CN" w:bidi="ar-SA"/>
                    </w:rPr>
                    <w:t>，不在上述无组织排放整治范围。</w:t>
                  </w:r>
                </w:p>
              </w:tc>
              <w:tc>
                <w:tcPr>
                  <w:tcW w:w="690" w:type="dxa"/>
                  <w:noWrap w:val="0"/>
                  <w:vAlign w:val="center"/>
                </w:tcPr>
                <w:p w14:paraId="667560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2A13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14:paraId="3C74DB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4521" w:type="dxa"/>
                  <w:noWrap w:val="0"/>
                  <w:vAlign w:val="center"/>
                </w:tcPr>
                <w:p w14:paraId="5783F2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24.大力提升治理设施去除效率。4月底前，按照行业特点、企业规模、废气成分、废气量、含水（尘）率等，综合分析治理技术与VOCs废气处理工艺可行性、规模匹配性，建立问题企业清单台账，指导帮扶企业做好活性炭更换频次、更换量、购买记录、活性炭质检报告等台账记录，RTO和RCO设施吸附剂再生频次、焚烧温度等记录数据至少保留一年以上。6月底前，对废气处理效率低下的企业实施提升治理。</w:t>
                  </w:r>
                </w:p>
              </w:tc>
              <w:tc>
                <w:tcPr>
                  <w:tcW w:w="1482" w:type="dxa"/>
                  <w:noWrap w:val="0"/>
                  <w:vAlign w:val="center"/>
                </w:tcPr>
                <w:p w14:paraId="044BFA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本项目为废旧轮胎综合利用项目，项目生产过程中</w:t>
                  </w:r>
                  <w:r>
                    <w:rPr>
                      <w:rFonts w:hint="eastAsia" w:cs="Times New Roman"/>
                      <w:b/>
                      <w:bCs/>
                      <w:color w:val="000000"/>
                      <w:kern w:val="2"/>
                      <w:sz w:val="21"/>
                      <w:szCs w:val="21"/>
                      <w:u w:val="single"/>
                      <w:lang w:val="en-US" w:eastAsia="zh-CN" w:bidi="ar-SA"/>
                    </w:rPr>
                    <w:t>不产生</w:t>
                  </w:r>
                  <w:r>
                    <w:rPr>
                      <w:rFonts w:hint="eastAsia" w:ascii="Times New Roman" w:hAnsi="Times New Roman" w:eastAsia="宋体" w:cs="Times New Roman"/>
                      <w:b/>
                      <w:bCs/>
                      <w:color w:val="000000"/>
                      <w:kern w:val="2"/>
                      <w:sz w:val="21"/>
                      <w:szCs w:val="21"/>
                      <w:u w:val="single"/>
                      <w:lang w:val="en-US" w:eastAsia="zh-CN" w:bidi="ar-SA"/>
                    </w:rPr>
                    <w:t>非甲烷总烃</w:t>
                  </w:r>
                  <w:r>
                    <w:rPr>
                      <w:rFonts w:hint="eastAsia" w:cs="Times New Roman"/>
                      <w:b/>
                      <w:bCs/>
                      <w:color w:val="000000"/>
                      <w:kern w:val="2"/>
                      <w:sz w:val="21"/>
                      <w:szCs w:val="21"/>
                      <w:u w:val="single"/>
                      <w:lang w:val="en-US" w:eastAsia="zh-CN" w:bidi="ar-SA"/>
                    </w:rPr>
                    <w:t>。</w:t>
                  </w:r>
                </w:p>
              </w:tc>
              <w:tc>
                <w:tcPr>
                  <w:tcW w:w="690" w:type="dxa"/>
                  <w:noWrap w:val="0"/>
                  <w:vAlign w:val="center"/>
                </w:tcPr>
                <w:p w14:paraId="07C0A8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4430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14:paraId="73C31A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4521" w:type="dxa"/>
                  <w:noWrap w:val="0"/>
                  <w:vAlign w:val="center"/>
                </w:tcPr>
                <w:p w14:paraId="4E7C3C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25.加强非正常工况废气排放管控。4月底前，指导帮扶石化、化工、钢铁、焦化等行业企业制定2023年度开停车、检维修计划；6月底前，安装完成火炬、煤气放散管自动引燃设施，配套建设燃烧温度监控、废气流量计、助燃气体流量计等。动态更新旁路清单，除保障安全生产必须保留的应急类旁路外，应采取彻底拆除、切断、物理隔离等方式取缔旁路（含生产车间、生产装置建设的直排管线等）；对于确需保留的应急旁路，企业应向当地生态环境部门报备，在非紧急情况下保持关闭并铅封，通过安装自动监测设备、视频监控、流量计等方式加强监管，并保存历史记录，开启后应及时向当地生态环境部门报告，做好台账记录。</w:t>
                  </w:r>
                </w:p>
              </w:tc>
              <w:tc>
                <w:tcPr>
                  <w:tcW w:w="1482" w:type="dxa"/>
                  <w:noWrap w:val="0"/>
                  <w:vAlign w:val="center"/>
                </w:tcPr>
                <w:p w14:paraId="2FE2AE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本项目为废旧轮胎综合利用项目，不在上述管控范围。</w:t>
                  </w:r>
                </w:p>
              </w:tc>
              <w:tc>
                <w:tcPr>
                  <w:tcW w:w="690" w:type="dxa"/>
                  <w:noWrap w:val="0"/>
                  <w:vAlign w:val="center"/>
                </w:tcPr>
                <w:p w14:paraId="244414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439DF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vMerge w:val="continue"/>
                  <w:noWrap w:val="0"/>
                  <w:vAlign w:val="center"/>
                </w:tcPr>
                <w:p w14:paraId="5A049E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b/>
                      <w:bCs/>
                      <w:sz w:val="21"/>
                      <w:szCs w:val="21"/>
                      <w:u w:val="single"/>
                      <w:lang w:eastAsia="zh-CN"/>
                    </w:rPr>
                  </w:pPr>
                </w:p>
              </w:tc>
              <w:tc>
                <w:tcPr>
                  <w:tcW w:w="4521" w:type="dxa"/>
                  <w:noWrap w:val="0"/>
                  <w:vAlign w:val="center"/>
                </w:tcPr>
                <w:p w14:paraId="5A9907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26.提升涉VOCs园区及集群治理水平。重点排查使用溶剂型涂料、油墨、胶粘剂、清洗剂以及涉及有机化工生产、煤焦油加工处理的园区及产业集群，分类制定治理提升计划，家具、彩涂板、皮革制品、制鞋、包装印刷等以中小企业为主的园区和集群重点推进源头替代；汽修、人造板等企业集群重点推动优化整合；对排放量大，排放物质以烯烃、芳香烃、炔烃、醛类等为主的企业制定“一企一策”治理方案，提出针对性的治理措施；对不符合产业政策、整改达标无望的企业依法关停取缔。大力推进园区及集群VOCs无组织监控和预警监管平台，提升数字化监管能力。</w:t>
                  </w:r>
                </w:p>
              </w:tc>
              <w:tc>
                <w:tcPr>
                  <w:tcW w:w="1482" w:type="dxa"/>
                  <w:noWrap w:val="0"/>
                  <w:vAlign w:val="center"/>
                </w:tcPr>
                <w:p w14:paraId="51E53A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项目不涉及使用溶剂型涂料、油墨、胶粘剂、清洗剂</w:t>
                  </w:r>
                  <w:r>
                    <w:rPr>
                      <w:rFonts w:hint="eastAsia" w:cs="Times New Roman"/>
                      <w:color w:val="000000"/>
                      <w:kern w:val="2"/>
                      <w:sz w:val="21"/>
                      <w:szCs w:val="21"/>
                      <w:lang w:val="en-US" w:eastAsia="zh-CN" w:bidi="ar-SA"/>
                    </w:rPr>
                    <w:t>。</w:t>
                  </w:r>
                </w:p>
              </w:tc>
              <w:tc>
                <w:tcPr>
                  <w:tcW w:w="690" w:type="dxa"/>
                  <w:noWrap w:val="0"/>
                  <w:vAlign w:val="center"/>
                </w:tcPr>
                <w:p w14:paraId="512B31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6B0C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48EFB2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（七）强化区域联防联控</w:t>
                  </w:r>
                </w:p>
              </w:tc>
              <w:tc>
                <w:tcPr>
                  <w:tcW w:w="4521" w:type="dxa"/>
                  <w:noWrap w:val="0"/>
                  <w:vAlign w:val="center"/>
                </w:tcPr>
                <w:p w14:paraId="14A46D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28.优化重点行业绩效分级管理。强化重污染天气应急分类分级管控，持续推进重点行业企业绩效分级，加强应急减排清单标准化管理，鼓励企业加快实施升级改造，建立完善“有进有出”动态调整机制，着力培育一批绩效水平高、行业带动强的省级绿色标杆企业，对存在环境违法违规行为、环境绩效水平达不到相应指标要求的企业实施降级处理。</w:t>
                  </w:r>
                </w:p>
              </w:tc>
              <w:tc>
                <w:tcPr>
                  <w:tcW w:w="1482" w:type="dxa"/>
                  <w:noWrap w:val="0"/>
                  <w:vAlign w:val="center"/>
                </w:tcPr>
                <w:p w14:paraId="7673D4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bCs/>
                      <w:color w:val="000000"/>
                      <w:kern w:val="2"/>
                      <w:sz w:val="21"/>
                      <w:szCs w:val="21"/>
                      <w:highlight w:val="none"/>
                      <w:u w:val="single"/>
                      <w:lang w:val="en-US" w:eastAsia="zh-CN" w:bidi="ar-SA"/>
                    </w:rPr>
                    <w:t>本项目满足《濮阳市2021年重污染天气通用行业应急减排措施制定技术指南（试行）》——</w:t>
                  </w:r>
                  <w:r>
                    <w:rPr>
                      <w:rFonts w:hint="eastAsia" w:cs="Times New Roman"/>
                      <w:b/>
                      <w:bCs/>
                      <w:color w:val="000000"/>
                      <w:kern w:val="2"/>
                      <w:sz w:val="21"/>
                      <w:szCs w:val="21"/>
                      <w:highlight w:val="none"/>
                      <w:u w:val="single"/>
                      <w:lang w:val="en-US" w:eastAsia="zh-CN" w:bidi="ar-SA"/>
                    </w:rPr>
                    <w:t>B</w:t>
                  </w:r>
                  <w:r>
                    <w:rPr>
                      <w:rFonts w:hint="eastAsia" w:ascii="Times New Roman" w:hAnsi="Times New Roman" w:eastAsia="宋体" w:cs="Times New Roman"/>
                      <w:b/>
                      <w:bCs/>
                      <w:color w:val="000000"/>
                      <w:kern w:val="2"/>
                      <w:sz w:val="21"/>
                      <w:szCs w:val="21"/>
                      <w:highlight w:val="none"/>
                      <w:u w:val="single"/>
                      <w:lang w:val="en-US" w:eastAsia="zh-CN" w:bidi="ar-SA"/>
                    </w:rPr>
                    <w:t>级指标要求</w:t>
                  </w:r>
                  <w:r>
                    <w:rPr>
                      <w:rFonts w:hint="eastAsia" w:cs="Times New Roman"/>
                      <w:b/>
                      <w:bCs/>
                      <w:color w:val="000000"/>
                      <w:kern w:val="2"/>
                      <w:sz w:val="21"/>
                      <w:szCs w:val="21"/>
                      <w:highlight w:val="none"/>
                      <w:u w:val="single"/>
                      <w:lang w:val="en-US" w:eastAsia="zh-CN" w:bidi="ar-SA"/>
                    </w:rPr>
                    <w:t>。</w:t>
                  </w:r>
                </w:p>
              </w:tc>
              <w:tc>
                <w:tcPr>
                  <w:tcW w:w="690" w:type="dxa"/>
                  <w:noWrap w:val="0"/>
                  <w:vAlign w:val="center"/>
                </w:tcPr>
                <w:p w14:paraId="036FB9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bl>
          <w:p w14:paraId="2B1C0C6C">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2.3与《河南省深入打好秋冬季重污染天气消除、夏季臭氧污染防治和柴油货车污染治理攻坚战行动方案》（豫环委办〔2023〕3号）相符性分析</w:t>
            </w:r>
          </w:p>
          <w:p w14:paraId="4C0CCA90">
            <w:pPr>
              <w:spacing w:line="36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1-</w:t>
            </w:r>
            <w:r>
              <w:rPr>
                <w:rFonts w:hint="eastAsia" w:ascii="Times New Roman" w:hAnsi="Times New Roman" w:eastAsia="宋体" w:cs="Times New Roman"/>
                <w:b/>
                <w:bCs/>
                <w:sz w:val="21"/>
                <w:szCs w:val="21"/>
                <w:lang w:val="en-US" w:eastAsia="zh-CN"/>
              </w:rPr>
              <w:t>7  与《河南省深入打好秋冬季重污染天气消除、夏季臭氧污染防治和柴油货车污染治理攻坚战行动方案》（豫环委办〔2023〕3号）相符性分析一览表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4669"/>
              <w:gridCol w:w="1413"/>
              <w:gridCol w:w="730"/>
            </w:tblGrid>
            <w:tr w14:paraId="79146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78" w:type="pct"/>
                  <w:gridSpan w:val="2"/>
                  <w:noWrap w:val="0"/>
                  <w:vAlign w:val="center"/>
                </w:tcPr>
                <w:p w14:paraId="44B531E7">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相关要求</w:t>
                  </w:r>
                </w:p>
              </w:tc>
              <w:tc>
                <w:tcPr>
                  <w:tcW w:w="937" w:type="pct"/>
                  <w:noWrap w:val="0"/>
                  <w:vAlign w:val="center"/>
                </w:tcPr>
                <w:p w14:paraId="6712D56A">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本项目内容</w:t>
                  </w:r>
                </w:p>
              </w:tc>
              <w:tc>
                <w:tcPr>
                  <w:tcW w:w="484" w:type="pct"/>
                  <w:noWrap w:val="0"/>
                  <w:vAlign w:val="center"/>
                </w:tcPr>
                <w:p w14:paraId="59FFC5C7">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相符性</w:t>
                  </w:r>
                </w:p>
              </w:tc>
            </w:tr>
            <w:tr w14:paraId="7C31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Merge w:val="restart"/>
                  <w:noWrap w:val="0"/>
                  <w:vAlign w:val="center"/>
                </w:tcPr>
                <w:p w14:paraId="11834B7F">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秋冬季重污染天气消除攻坚战行动方案</w:t>
                  </w:r>
                </w:p>
              </w:tc>
              <w:tc>
                <w:tcPr>
                  <w:tcW w:w="3095" w:type="pct"/>
                  <w:noWrap w:val="0"/>
                  <w:vAlign w:val="center"/>
                </w:tcPr>
                <w:p w14:paraId="335C15BC">
                  <w:pPr>
                    <w:spacing w:line="320" w:lineRule="exact"/>
                    <w:jc w:val="left"/>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大气减污降碳协同增效行动</w:t>
                  </w:r>
                </w:p>
                <w:p w14:paraId="1A4DB04F">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遏制“两高”项目盲目发展。严格落实国家产业规划、产业政策、“三线一单”、规划环评，以及产能置换、煤炭消费减量替代、区域污染物削减等要求，严把高耗能、高排放、低水平项目准入关口。全省大气污染防治重点区域禁止新增钢铁、电解铝、氧化铝、水泥熟料、平板玻璃（光伏压延玻璃除外）、煤化工、焦化、铝用炭素、含烧结工序的耐火材料和砖瓦制品等行业产能，合理控制煤制油气产能规模，严控新增炼油产能。强化项目环评及“三同时”管理，国家、省绩效分级重点行业以及涉及锅炉炉窑的其他行业，新建、扩建项目污染物排放限值、污染治理措施、无组织排放控制水平、运输方式等达到A级绩效水平，改建项目污染物排放限值、污染治理措施、无组织排放控制水平、运输方式等达到B级以上绩效水平。新建、改建、扩建项目大宗货物年货运量150万吨及以上的，原则上要接入铁路专用线或管道；具有铁路专用线的，大宗货物铁路运输比例应达到80%以上。</w:t>
                  </w:r>
                </w:p>
              </w:tc>
              <w:tc>
                <w:tcPr>
                  <w:tcW w:w="937" w:type="pct"/>
                  <w:noWrap w:val="0"/>
                  <w:vAlign w:val="center"/>
                </w:tcPr>
                <w:p w14:paraId="26EBA999">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ascii="Times New Roman" w:hAnsi="Times New Roman" w:eastAsia="宋体" w:cs="Times New Roman"/>
                      <w:b/>
                      <w:bCs/>
                      <w:color w:val="000000"/>
                      <w:kern w:val="2"/>
                      <w:sz w:val="21"/>
                      <w:szCs w:val="21"/>
                      <w:highlight w:val="none"/>
                      <w:u w:val="single"/>
                      <w:lang w:val="en-US" w:eastAsia="zh-CN" w:bidi="ar-SA"/>
                    </w:rPr>
                    <w:t>本项目属于</w:t>
                  </w:r>
                  <w:r>
                    <w:rPr>
                      <w:rFonts w:hint="eastAsia" w:ascii="Times New Roman" w:hAnsi="Times New Roman" w:eastAsia="宋体" w:cs="Times New Roman"/>
                      <w:b/>
                      <w:bCs/>
                      <w:color w:val="000000"/>
                      <w:kern w:val="2"/>
                      <w:sz w:val="21"/>
                      <w:szCs w:val="21"/>
                      <w:highlight w:val="none"/>
                      <w:u w:val="single"/>
                      <w:lang w:val="en-US" w:eastAsia="zh-CN" w:bidi="ar-SA"/>
                    </w:rPr>
                    <w:t>废旧轮胎综合利用项目</w:t>
                  </w:r>
                  <w:r>
                    <w:rPr>
                      <w:rFonts w:ascii="Times New Roman" w:hAnsi="Times New Roman" w:eastAsia="宋体" w:cs="Times New Roman"/>
                      <w:b/>
                      <w:bCs/>
                      <w:color w:val="000000"/>
                      <w:kern w:val="2"/>
                      <w:sz w:val="21"/>
                      <w:szCs w:val="21"/>
                      <w:highlight w:val="none"/>
                      <w:u w:val="single"/>
                      <w:lang w:val="en-US" w:eastAsia="zh-CN" w:bidi="ar-SA"/>
                    </w:rPr>
                    <w:t>，不涉及两高，项目符合产业政策、三线一单、规划</w:t>
                  </w:r>
                  <w:r>
                    <w:rPr>
                      <w:rFonts w:hint="eastAsia" w:ascii="Times New Roman" w:hAnsi="Times New Roman" w:eastAsia="宋体" w:cs="Times New Roman"/>
                      <w:b/>
                      <w:bCs/>
                      <w:color w:val="000000"/>
                      <w:kern w:val="2"/>
                      <w:sz w:val="21"/>
                      <w:szCs w:val="21"/>
                      <w:highlight w:val="none"/>
                      <w:u w:val="single"/>
                      <w:lang w:val="en-US" w:eastAsia="zh-CN" w:bidi="ar-SA"/>
                    </w:rPr>
                    <w:t>。项目属于新建项目，可达到《濮阳市2021年重污染天气通用行业应急减排措施制定技术指南（试行）》——</w:t>
                  </w:r>
                  <w:r>
                    <w:rPr>
                      <w:rFonts w:hint="eastAsia" w:cs="Times New Roman"/>
                      <w:b/>
                      <w:bCs/>
                      <w:color w:val="000000"/>
                      <w:kern w:val="2"/>
                      <w:sz w:val="21"/>
                      <w:szCs w:val="21"/>
                      <w:highlight w:val="none"/>
                      <w:u w:val="single"/>
                      <w:lang w:val="en-US" w:eastAsia="zh-CN" w:bidi="ar-SA"/>
                    </w:rPr>
                    <w:t>B</w:t>
                  </w:r>
                  <w:r>
                    <w:rPr>
                      <w:rFonts w:hint="eastAsia" w:ascii="Times New Roman" w:hAnsi="Times New Roman" w:eastAsia="宋体" w:cs="Times New Roman"/>
                      <w:b/>
                      <w:bCs/>
                      <w:color w:val="000000"/>
                      <w:kern w:val="2"/>
                      <w:sz w:val="21"/>
                      <w:szCs w:val="21"/>
                      <w:highlight w:val="none"/>
                      <w:u w:val="single"/>
                      <w:lang w:val="en-US" w:eastAsia="zh-CN" w:bidi="ar-SA"/>
                    </w:rPr>
                    <w:t>级指标要求</w:t>
                  </w:r>
                </w:p>
              </w:tc>
              <w:tc>
                <w:tcPr>
                  <w:tcW w:w="484" w:type="pct"/>
                  <w:noWrap w:val="0"/>
                  <w:vAlign w:val="center"/>
                </w:tcPr>
                <w:p w14:paraId="1174053C">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6682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Merge w:val="continue"/>
                  <w:noWrap w:val="0"/>
                  <w:vAlign w:val="center"/>
                </w:tcPr>
                <w:p w14:paraId="2175641C">
                  <w:pPr>
                    <w:spacing w:line="320" w:lineRule="exact"/>
                    <w:jc w:val="center"/>
                    <w:rPr>
                      <w:rFonts w:hint="eastAsia" w:ascii="Times New Roman" w:hAnsi="Times New Roman" w:eastAsia="宋体" w:cs="Times New Roman"/>
                      <w:color w:val="000000"/>
                      <w:kern w:val="2"/>
                      <w:sz w:val="21"/>
                      <w:szCs w:val="21"/>
                      <w:lang w:val="en-US" w:eastAsia="zh-CN" w:bidi="ar-SA"/>
                    </w:rPr>
                  </w:pPr>
                </w:p>
              </w:tc>
              <w:tc>
                <w:tcPr>
                  <w:tcW w:w="3095" w:type="pct"/>
                  <w:noWrap w:val="0"/>
                  <w:vAlign w:val="center"/>
                </w:tcPr>
                <w:p w14:paraId="0244BB77">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依法依规淘汰落后产能。修订《河南省淘汰落后产能综合标准体系》，落实国家《产业结构调整指导目录》，严格执行质量、环保、能耗、安全等法规标准，将大气污染物排放强度高、治理难度大以及产能过剩行业的工艺和装备纳入淘汰范围，实施落后产能“动态清零”。</w:t>
                  </w:r>
                </w:p>
              </w:tc>
              <w:tc>
                <w:tcPr>
                  <w:tcW w:w="937" w:type="pct"/>
                  <w:noWrap w:val="0"/>
                  <w:vAlign w:val="center"/>
                </w:tcPr>
                <w:p w14:paraId="18F4E28D">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本项目属于废旧轮胎综合利用项目，不涉及</w:t>
                  </w:r>
                  <w:r>
                    <w:rPr>
                      <w:rFonts w:ascii="Times New Roman" w:hAnsi="Times New Roman" w:eastAsia="宋体" w:cs="Times New Roman"/>
                      <w:color w:val="000000"/>
                      <w:kern w:val="2"/>
                      <w:sz w:val="21"/>
                      <w:szCs w:val="21"/>
                      <w:lang w:val="en-US" w:eastAsia="zh-CN" w:bidi="ar-SA"/>
                    </w:rPr>
                    <w:t>落后产能</w:t>
                  </w:r>
                  <w:r>
                    <w:rPr>
                      <w:rFonts w:hint="eastAsia" w:ascii="Times New Roman" w:hAnsi="Times New Roman" w:eastAsia="宋体" w:cs="Times New Roman"/>
                      <w:color w:val="000000"/>
                      <w:kern w:val="2"/>
                      <w:sz w:val="21"/>
                      <w:szCs w:val="21"/>
                      <w:lang w:val="en-US" w:eastAsia="zh-CN" w:bidi="ar-SA"/>
                    </w:rPr>
                    <w:t>。</w:t>
                  </w:r>
                </w:p>
              </w:tc>
              <w:tc>
                <w:tcPr>
                  <w:tcW w:w="484" w:type="pct"/>
                  <w:noWrap w:val="0"/>
                  <w:vAlign w:val="center"/>
                </w:tcPr>
                <w:p w14:paraId="44633168">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0FD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82" w:type="pct"/>
                  <w:vMerge w:val="continue"/>
                  <w:noWrap w:val="0"/>
                  <w:vAlign w:val="center"/>
                </w:tcPr>
                <w:p w14:paraId="2B6D749D">
                  <w:pPr>
                    <w:spacing w:line="320" w:lineRule="exact"/>
                    <w:jc w:val="center"/>
                    <w:rPr>
                      <w:rFonts w:hint="eastAsia" w:ascii="Times New Roman" w:hAnsi="Times New Roman" w:eastAsia="宋体" w:cs="Times New Roman"/>
                      <w:color w:val="000000"/>
                      <w:kern w:val="2"/>
                      <w:sz w:val="21"/>
                      <w:szCs w:val="21"/>
                      <w:lang w:val="en-US" w:eastAsia="zh-CN" w:bidi="ar-SA"/>
                    </w:rPr>
                  </w:pPr>
                </w:p>
              </w:tc>
              <w:tc>
                <w:tcPr>
                  <w:tcW w:w="3095" w:type="pct"/>
                  <w:noWrap w:val="0"/>
                  <w:vAlign w:val="center"/>
                </w:tcPr>
                <w:p w14:paraId="797691C3">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强化扬尘综合管控。各城市平均降尘量不得高于7吨/月·平方公里，鼓励各地细化降尘量控制要求，逐月实施区县降尘量监测排名。严格落实扬尘污染防治“两个标准”要求，加强施工扬尘动态化、精细化管理，强化土石方作业、渣土运输扬尘问题的监管，增加作业车辆和机械冲洗频次，严禁带泥上路行驶。强化道路扬尘综合整治，加大机械化清扫与保洁力度，有效提升国省道、县乡道路、城乡结合部和背街小巷等各类道路清扫保洁效果。对城市连片裸露地面、易产尘堆放场所以及废旧厂区等进行排查建档并采取围挡、苫盖、洒扫或绿化、硬化等抑尘措施，提升扬尘污染精细化管理水平。</w:t>
                  </w:r>
                </w:p>
              </w:tc>
              <w:tc>
                <w:tcPr>
                  <w:tcW w:w="937" w:type="pct"/>
                  <w:noWrap w:val="0"/>
                  <w:vAlign w:val="center"/>
                </w:tcPr>
                <w:p w14:paraId="5DA78B91">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本项目工程施工期严格按照</w:t>
                  </w:r>
                  <w:r>
                    <w:rPr>
                      <w:rFonts w:hint="eastAsia" w:cs="Times New Roman"/>
                      <w:color w:val="000000"/>
                      <w:kern w:val="2"/>
                      <w:sz w:val="21"/>
                      <w:szCs w:val="21"/>
                      <w:lang w:val="en-US" w:eastAsia="zh-CN" w:bidi="ar-SA"/>
                    </w:rPr>
                    <w:t>八</w:t>
                  </w:r>
                  <w:r>
                    <w:rPr>
                      <w:rFonts w:hint="eastAsia" w:ascii="Times New Roman" w:hAnsi="Times New Roman" w:eastAsia="宋体" w:cs="Times New Roman"/>
                      <w:color w:val="000000"/>
                      <w:kern w:val="2"/>
                      <w:sz w:val="21"/>
                      <w:szCs w:val="21"/>
                      <w:lang w:val="en-US" w:eastAsia="zh-CN" w:bidi="ar-SA"/>
                    </w:rPr>
                    <w:t>个百分百要求进行扬尘防治。</w:t>
                  </w:r>
                </w:p>
              </w:tc>
              <w:tc>
                <w:tcPr>
                  <w:tcW w:w="484" w:type="pct"/>
                  <w:noWrap w:val="0"/>
                  <w:vAlign w:val="center"/>
                </w:tcPr>
                <w:p w14:paraId="0445ABE1">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5014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82" w:type="pct"/>
                  <w:noWrap w:val="0"/>
                  <w:vAlign w:val="center"/>
                </w:tcPr>
                <w:p w14:paraId="3DD7ADAB">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夏季臭氧污染防治攻坚战行动方案</w:t>
                  </w:r>
                </w:p>
              </w:tc>
              <w:tc>
                <w:tcPr>
                  <w:tcW w:w="3095" w:type="pct"/>
                  <w:noWrap w:val="0"/>
                  <w:vAlign w:val="center"/>
                </w:tcPr>
                <w:p w14:paraId="6729976F">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大力提升VOCs治理设施去除效率。全面排查VOCs治理设施，动态更新治理设施清单台账，分析治理技术与VOCs废气排放特征、组分等匹配性。低浓度、大风量有机废气，采用沸石转轮吸附、活性炭吸附、减风增浓等浓缩技术，提高VOCs浓度后采用高温焚烧、催化燃烧等技术；高浓度废气，优先进行溶剂回收预处理，难以回收的，采用高温焚烧、催化燃烧等技术。采用催化燃烧工艺的企业使用合格的催化剂并足额添加，高温焚烧温度不低于760摄氏度，催化燃烧装置燃烧温度不低于300摄氏度，相关温度参数自动记录存储，储存时间不少于1年。采用活性炭吸附工艺的，原则上VOCs产生浓度不超过300毫克/立方米，废气中涉及颗粒物、油烟（油雾）、水分等影响吸附过程物质的，应采取相应的预处理措施，颗粒状、柱状活性炭碘值不低于800毫克/克，蜂窝状活性炭碘值不低于650毫克/克，活性炭填充量、更换频次满足环评要求，活性炭购买发票、更换记录、碘值报告等支撑材料保存3年以上；每年开展活性炭监督抽查，每年夏季对活性炭质量进行抽检，对活性炭质量不合格的企业依法追究责任。</w:t>
                  </w:r>
                </w:p>
              </w:tc>
              <w:tc>
                <w:tcPr>
                  <w:tcW w:w="937" w:type="pct"/>
                  <w:noWrap w:val="0"/>
                  <w:vAlign w:val="center"/>
                </w:tcPr>
                <w:p w14:paraId="48E5C5BF">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本项目为废旧轮胎综合利用项目，项目生产过程中产生</w:t>
                  </w:r>
                  <w:r>
                    <w:rPr>
                      <w:rFonts w:hint="eastAsia" w:cs="Times New Roman"/>
                      <w:b/>
                      <w:bCs/>
                      <w:color w:val="000000"/>
                      <w:kern w:val="2"/>
                      <w:sz w:val="21"/>
                      <w:szCs w:val="21"/>
                      <w:u w:val="single"/>
                      <w:lang w:val="en-US" w:eastAsia="zh-CN" w:bidi="ar-SA"/>
                    </w:rPr>
                    <w:t>颗粒物，不产生非甲烷总烃</w:t>
                  </w:r>
                  <w:r>
                    <w:rPr>
                      <w:rFonts w:hint="eastAsia" w:ascii="Times New Roman" w:hAnsi="Times New Roman" w:eastAsia="宋体" w:cs="Times New Roman"/>
                      <w:b/>
                      <w:bCs/>
                      <w:color w:val="000000"/>
                      <w:kern w:val="2"/>
                      <w:sz w:val="21"/>
                      <w:szCs w:val="21"/>
                      <w:u w:val="single"/>
                      <w:lang w:val="en-US" w:eastAsia="zh-CN" w:bidi="ar-SA"/>
                    </w:rPr>
                    <w:t>。</w:t>
                  </w:r>
                </w:p>
              </w:tc>
              <w:tc>
                <w:tcPr>
                  <w:tcW w:w="484" w:type="pct"/>
                  <w:noWrap w:val="0"/>
                  <w:vAlign w:val="center"/>
                </w:tcPr>
                <w:p w14:paraId="5AE058EF">
                  <w:pPr>
                    <w:spacing w:line="320" w:lineRule="exact"/>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bl>
          <w:p w14:paraId="21E75AC3">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2.4与《濮阳市2023年蓝天保卫战实施方案》（濮环委办〔2023〕7号）相符性分析</w:t>
            </w:r>
          </w:p>
          <w:p w14:paraId="0891CE2B">
            <w:pPr>
              <w:spacing w:line="36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w:t>
            </w:r>
            <w:r>
              <w:rPr>
                <w:rFonts w:hint="eastAsia" w:cs="Times New Roman"/>
                <w:b/>
                <w:bCs/>
                <w:sz w:val="21"/>
                <w:szCs w:val="21"/>
                <w:lang w:val="en-US" w:eastAsia="zh-CN"/>
              </w:rPr>
              <w:t>1-</w:t>
            </w:r>
            <w:r>
              <w:rPr>
                <w:rFonts w:hint="eastAsia" w:ascii="Times New Roman" w:hAnsi="Times New Roman" w:eastAsia="宋体" w:cs="Times New Roman"/>
                <w:b/>
                <w:bCs/>
                <w:sz w:val="21"/>
                <w:szCs w:val="21"/>
                <w:lang w:val="en-US" w:eastAsia="zh-CN"/>
              </w:rPr>
              <w:t>8  与《濮阳市2023年蓝天保卫战实施方案》（濮环委办〔2023〕7号）相符性分析一览表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4647"/>
              <w:gridCol w:w="1416"/>
              <w:gridCol w:w="708"/>
            </w:tblGrid>
            <w:tr w14:paraId="31F68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98" w:type="dxa"/>
                  <w:gridSpan w:val="2"/>
                  <w:noWrap w:val="0"/>
                  <w:vAlign w:val="center"/>
                </w:tcPr>
                <w:p w14:paraId="3313F4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实施方案</w:t>
                  </w:r>
                </w:p>
              </w:tc>
              <w:tc>
                <w:tcPr>
                  <w:tcW w:w="1416" w:type="dxa"/>
                  <w:noWrap w:val="0"/>
                  <w:vAlign w:val="center"/>
                </w:tcPr>
                <w:p w14:paraId="4180B8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本项目情况</w:t>
                  </w:r>
                </w:p>
              </w:tc>
              <w:tc>
                <w:tcPr>
                  <w:tcW w:w="708" w:type="dxa"/>
                  <w:noWrap w:val="0"/>
                  <w:vAlign w:val="center"/>
                </w:tcPr>
                <w:p w14:paraId="404A57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相符性</w:t>
                  </w:r>
                </w:p>
              </w:tc>
            </w:tr>
            <w:tr w14:paraId="75E0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Merge w:val="restart"/>
                  <w:noWrap w:val="0"/>
                  <w:vAlign w:val="center"/>
                </w:tcPr>
                <w:p w14:paraId="6A5E4A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（一）持续推进产业结构优化调整</w:t>
                  </w:r>
                </w:p>
              </w:tc>
              <w:tc>
                <w:tcPr>
                  <w:tcW w:w="4647" w:type="dxa"/>
                  <w:noWrap w:val="0"/>
                  <w:vAlign w:val="center"/>
                </w:tcPr>
                <w:p w14:paraId="012217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加快传统产业集群升级改造。组织对耐火材料、包装印刷、家具制造等行业产业集群开展排查摸底，2023年6月底前，建立重点行业产业集群及园区清单台账，研究制定“一群一策”整治提升方案，从生产工艺、产能规模、能耗水平、燃料类型、污染治理和区域环境综合整治等方面明确升级改造标准。支持建设集中供热(气)中心、集中涂装中心、活性炭集中再生处理中心、有机溶剂回收处置中心，培育一批绿色工厂，不断优化产业结构，推进工业企业绿色低碳高质量发展。加快推进濮阳市挥发性有机物综合治理废活性炭集中再生中心(绿岛)建设，鼓励活性炭集中再生和使用活性炭吸附工艺的企业，采用建设运营、委托运营及活性炭集中再生运维等模式，降低企业活性炭使用成本，推进活性炭全周期监管，做到规范采购、定期更换、统一收集、集中再生。</w:t>
                  </w:r>
                </w:p>
              </w:tc>
              <w:tc>
                <w:tcPr>
                  <w:tcW w:w="1416" w:type="dxa"/>
                  <w:noWrap w:val="0"/>
                  <w:vAlign w:val="center"/>
                </w:tcPr>
                <w:p w14:paraId="20DCA7BB">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本项目为废旧轮胎综合利用项目，位于</w:t>
                  </w:r>
                  <w:r>
                    <w:rPr>
                      <w:rFonts w:hint="eastAsia" w:ascii="Times New Roman" w:hAnsi="Times New Roman" w:eastAsia="宋体" w:cs="Times New Roman"/>
                      <w:color w:val="000000"/>
                      <w:kern w:val="2"/>
                      <w:sz w:val="21"/>
                      <w:szCs w:val="21"/>
                      <w:highlight w:val="none"/>
                      <w:lang w:val="en-US" w:eastAsia="zh-CN" w:bidi="ar-SA"/>
                    </w:rPr>
                    <w:t>南乐县产业集聚区，项目产生的废气经布袋除尘器处理后通过二级活性炭吸附由不低于 15m 高排气筒排放。</w:t>
                  </w:r>
                </w:p>
              </w:tc>
              <w:tc>
                <w:tcPr>
                  <w:tcW w:w="708" w:type="dxa"/>
                  <w:noWrap w:val="0"/>
                  <w:vAlign w:val="center"/>
                </w:tcPr>
                <w:p w14:paraId="78C183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13BCC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vMerge w:val="continue"/>
                  <w:noWrap w:val="0"/>
                  <w:vAlign w:val="center"/>
                </w:tcPr>
                <w:p w14:paraId="05291C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4647" w:type="dxa"/>
                  <w:noWrap w:val="0"/>
                  <w:vAlign w:val="center"/>
                </w:tcPr>
                <w:p w14:paraId="10C274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依法依规淘汰落后低效产能。严格落实国家和河南省落后产能淘汰有关要求，研究制定2023年落后产能淘汰退出工作方案，严格执行能耗、环保、质量、安全、技术等法规标准，明确落后产能淘汰目标任务，组织开展排查整治专项行动，对落后产能实施动态“清零”。</w:t>
                  </w:r>
                </w:p>
              </w:tc>
              <w:tc>
                <w:tcPr>
                  <w:tcW w:w="1416" w:type="dxa"/>
                  <w:noWrap w:val="0"/>
                  <w:vAlign w:val="center"/>
                </w:tcPr>
                <w:p w14:paraId="41CD0FB9">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本项目不属于落后低效产能。</w:t>
                  </w:r>
                </w:p>
              </w:tc>
              <w:tc>
                <w:tcPr>
                  <w:tcW w:w="708" w:type="dxa"/>
                  <w:noWrap w:val="0"/>
                  <w:vAlign w:val="center"/>
                </w:tcPr>
                <w:p w14:paraId="266B18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19D56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0830D9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（四）强化面源污染治理</w:t>
                  </w:r>
                </w:p>
              </w:tc>
              <w:tc>
                <w:tcPr>
                  <w:tcW w:w="4647" w:type="dxa"/>
                  <w:noWrap w:val="0"/>
                  <w:vAlign w:val="center"/>
                </w:tcPr>
                <w:p w14:paraId="1265AC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加强扬尘防治精细化管理。开展扬尘治理提升行动，严格落实《城市房屋建筑和市政基础设施工程及道路扬尘污染防治差异化评价标准》《河南省房屋建筑和市政基础设施工程扬尘治理监控平台数据接入标准》要求，做好建筑工地、线性工程、城乡结合部等关键部位和重点环节综合治理，加大扬尘污染防治执法监管力度，逐月实施降尘量监测，全市平均降尘量不高于7吨1月·平方公里。持续开展城市清洁行动，强化道路扬尘综合整治，重点提升国省道、县乡道路、城乡结合部和背街小巷等各类道路清扫保洁效果，2023年底前建成区道路清扫覆盖率达到90%以上，道路机械化清扫率达到80%以上。</w:t>
                  </w:r>
                </w:p>
              </w:tc>
              <w:tc>
                <w:tcPr>
                  <w:tcW w:w="1416" w:type="dxa"/>
                  <w:noWrap w:val="0"/>
                  <w:vAlign w:val="center"/>
                </w:tcPr>
                <w:p w14:paraId="73C988D2">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本项目工程施工期严格按照</w:t>
                  </w:r>
                  <w:r>
                    <w:rPr>
                      <w:rFonts w:hint="eastAsia" w:cs="Times New Roman"/>
                      <w:color w:val="000000"/>
                      <w:kern w:val="2"/>
                      <w:sz w:val="21"/>
                      <w:szCs w:val="21"/>
                      <w:lang w:val="en-US" w:eastAsia="zh-CN" w:bidi="ar-SA"/>
                    </w:rPr>
                    <w:t>八</w:t>
                  </w:r>
                  <w:r>
                    <w:rPr>
                      <w:rFonts w:hint="eastAsia" w:ascii="Times New Roman" w:hAnsi="Times New Roman" w:eastAsia="宋体" w:cs="Times New Roman"/>
                      <w:color w:val="000000"/>
                      <w:kern w:val="2"/>
                      <w:sz w:val="21"/>
                      <w:szCs w:val="21"/>
                      <w:lang w:val="en-US" w:eastAsia="zh-CN" w:bidi="ar-SA"/>
                    </w:rPr>
                    <w:t>个百分百要求进行扬尘防治。</w:t>
                  </w:r>
                </w:p>
              </w:tc>
              <w:tc>
                <w:tcPr>
                  <w:tcW w:w="708" w:type="dxa"/>
                  <w:noWrap w:val="0"/>
                  <w:vAlign w:val="center"/>
                </w:tcPr>
                <w:p w14:paraId="24B21C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354B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3B43F7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（六）加快挥发性有机物治理</w:t>
                  </w:r>
                </w:p>
              </w:tc>
              <w:tc>
                <w:tcPr>
                  <w:tcW w:w="4647" w:type="dxa"/>
                  <w:noWrap w:val="0"/>
                  <w:vAlign w:val="center"/>
                </w:tcPr>
                <w:p w14:paraId="1D16FF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19.大力提升治理设施去除效率。强化涉VOCs企业活性炭设施日常管理，对设计风量、设备质量、气体流速、活性炭质量及填充量不符合规范化基本要求的，督促企业全面落实整改。4月底前，按照行业特点、企业规模、废气成分、废气量、含水(尘)率等，综合分析治理技术与VOCs废气处理工艺可行性、规模匹配性，建立问题企业清单台账，指导帮扶企业做好活性炭更换频次、更换量、购买记录、活性炭质检报告等台账记录，RTO和RCO设施吸附剂再生频次、焚烧温度等记录数据至少保留一年以上。6月底前，对废气处理效率低下的企业实施提升治理，完成2家企业VOCs治理提标改造项目，逾期未完成治理的实施停产整治。</w:t>
                  </w:r>
                </w:p>
              </w:tc>
              <w:tc>
                <w:tcPr>
                  <w:tcW w:w="1416" w:type="dxa"/>
                  <w:noWrap w:val="0"/>
                  <w:vAlign w:val="center"/>
                </w:tcPr>
                <w:p w14:paraId="50802944">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本项目废旧轮胎综合利用项目，项目产生的废气</w:t>
                  </w:r>
                  <w:r>
                    <w:rPr>
                      <w:rFonts w:hint="eastAsia" w:cs="Times New Roman"/>
                      <w:color w:val="000000"/>
                      <w:kern w:val="2"/>
                      <w:sz w:val="21"/>
                      <w:szCs w:val="21"/>
                      <w:highlight w:val="none"/>
                      <w:lang w:val="en-US" w:eastAsia="zh-CN" w:bidi="ar-SA"/>
                    </w:rPr>
                    <w:t>及少量臭气</w:t>
                  </w:r>
                  <w:r>
                    <w:rPr>
                      <w:rFonts w:hint="eastAsia" w:ascii="Times New Roman" w:hAnsi="Times New Roman" w:eastAsia="宋体" w:cs="Times New Roman"/>
                      <w:color w:val="000000"/>
                      <w:kern w:val="2"/>
                      <w:sz w:val="21"/>
                      <w:szCs w:val="21"/>
                      <w:highlight w:val="none"/>
                      <w:lang w:val="en-US" w:eastAsia="zh-CN" w:bidi="ar-SA"/>
                    </w:rPr>
                    <w:t>经布袋除尘器处理后通过二级活性炭吸附由不低于15m 高排气筒排放。</w:t>
                  </w:r>
                </w:p>
              </w:tc>
              <w:tc>
                <w:tcPr>
                  <w:tcW w:w="708" w:type="dxa"/>
                  <w:noWrap w:val="0"/>
                  <w:vAlign w:val="center"/>
                </w:tcPr>
                <w:p w14:paraId="5D576E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r w14:paraId="035E3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51" w:type="dxa"/>
                  <w:noWrap w:val="0"/>
                  <w:vAlign w:val="center"/>
                </w:tcPr>
                <w:p w14:paraId="241AC4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（七）强化区域联防联控</w:t>
                  </w:r>
                </w:p>
              </w:tc>
              <w:tc>
                <w:tcPr>
                  <w:tcW w:w="4647" w:type="dxa"/>
                  <w:noWrap w:val="0"/>
                  <w:vAlign w:val="center"/>
                </w:tcPr>
                <w:p w14:paraId="6885CF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22.优化重点行业绩效分级管理。强化重污染天气应急分类分级管控，持续推进重点行业企业绩效分级，加强应急减排清单标准化管理，鼓励企业加快实施升级改造，建立完善“有进有出”动态调整机制，着力培育一批绩效水平高、行业带动强的绿色标杆企业。对存在环境违法违规行为、环境绩效水平达不到相应指标要求的企业实施降级处理。</w:t>
                  </w:r>
                </w:p>
                <w:p w14:paraId="18DCF5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23.科学有效应对重污染天气。修订重污染天气应急预案，规范重污染天气预警、启动、响应、解除工作流程，强化环境空气质量预测预报能力，加强重污染天气和臭氧污染预警响应，建立联防联控、信息共享、重大项目会商、统一应急响应和联合执法机制，综合采取远程监控、入企监督指导、污染高值预警、实地监测溯源、综合分析应对等方式开展污染应急响应指导，定期总结评估，全面提高污染天气应急应对水平。</w:t>
                  </w:r>
                </w:p>
              </w:tc>
              <w:tc>
                <w:tcPr>
                  <w:tcW w:w="1416" w:type="dxa"/>
                  <w:noWrap w:val="0"/>
                  <w:vAlign w:val="center"/>
                </w:tcPr>
                <w:p w14:paraId="334641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bCs/>
                      <w:color w:val="000000"/>
                      <w:kern w:val="2"/>
                      <w:sz w:val="21"/>
                      <w:szCs w:val="21"/>
                      <w:highlight w:val="none"/>
                      <w:u w:val="single"/>
                      <w:lang w:val="en-US" w:eastAsia="zh-CN" w:bidi="ar-SA"/>
                    </w:rPr>
                    <w:t>本项目满足《濮阳市2021年重污染天气通用行业应急减排措施制定技术指南（试行）》——</w:t>
                  </w:r>
                  <w:r>
                    <w:rPr>
                      <w:rFonts w:hint="eastAsia" w:cs="Times New Roman"/>
                      <w:b/>
                      <w:bCs/>
                      <w:color w:val="000000"/>
                      <w:kern w:val="2"/>
                      <w:sz w:val="21"/>
                      <w:szCs w:val="21"/>
                      <w:highlight w:val="none"/>
                      <w:u w:val="single"/>
                      <w:lang w:val="en-US" w:eastAsia="zh-CN" w:bidi="ar-SA"/>
                    </w:rPr>
                    <w:t>B</w:t>
                  </w:r>
                  <w:r>
                    <w:rPr>
                      <w:rFonts w:hint="eastAsia" w:ascii="Times New Roman" w:hAnsi="Times New Roman" w:eastAsia="宋体" w:cs="Times New Roman"/>
                      <w:b/>
                      <w:bCs/>
                      <w:color w:val="000000"/>
                      <w:kern w:val="2"/>
                      <w:sz w:val="21"/>
                      <w:szCs w:val="21"/>
                      <w:highlight w:val="none"/>
                      <w:u w:val="single"/>
                      <w:lang w:val="en-US" w:eastAsia="zh-CN" w:bidi="ar-SA"/>
                    </w:rPr>
                    <w:t>级指标要求</w:t>
                  </w:r>
                  <w:r>
                    <w:rPr>
                      <w:rFonts w:hint="eastAsia" w:cs="Times New Roman"/>
                      <w:b/>
                      <w:bCs/>
                      <w:color w:val="000000"/>
                      <w:kern w:val="2"/>
                      <w:sz w:val="21"/>
                      <w:szCs w:val="21"/>
                      <w:highlight w:val="none"/>
                      <w:u w:val="single"/>
                      <w:lang w:val="en-US" w:eastAsia="zh-CN" w:bidi="ar-SA"/>
                    </w:rPr>
                    <w:t>。</w:t>
                  </w:r>
                </w:p>
              </w:tc>
              <w:tc>
                <w:tcPr>
                  <w:tcW w:w="708" w:type="dxa"/>
                  <w:noWrap w:val="0"/>
                  <w:vAlign w:val="center"/>
                </w:tcPr>
                <w:p w14:paraId="5E7A29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相符</w:t>
                  </w:r>
                </w:p>
              </w:tc>
            </w:tr>
          </w:tbl>
          <w:p w14:paraId="6BA4CF55">
            <w:pPr>
              <w:spacing w:line="360" w:lineRule="auto"/>
              <w:jc w:val="center"/>
              <w:rPr>
                <w:rFonts w:hint="eastAsia" w:ascii="Times New Roman" w:hAnsi="Times New Roman" w:eastAsia="宋体" w:cs="Times New Roman"/>
                <w:b/>
                <w:bCs/>
                <w:sz w:val="21"/>
                <w:szCs w:val="21"/>
                <w:lang w:val="en-US" w:eastAsia="zh-CN"/>
              </w:rPr>
            </w:pPr>
          </w:p>
          <w:p w14:paraId="042AC23A">
            <w:pPr>
              <w:pStyle w:val="28"/>
              <w:spacing w:line="520" w:lineRule="exact"/>
              <w:ind w:firstLine="482" w:firstLineChars="200"/>
              <w:jc w:val="left"/>
              <w:rPr>
                <w:rFonts w:hint="eastAsia" w:ascii="Times New Roman" w:hAnsi="Times New Roman" w:eastAsia="宋体" w:cs="Times New Roman"/>
                <w:b/>
                <w:bCs/>
                <w:color w:val="000000"/>
                <w:u w:val="single"/>
                <w:lang w:val="en-US" w:eastAsia="zh-CN" w:bidi="zh-CN"/>
              </w:rPr>
            </w:pPr>
            <w:r>
              <w:rPr>
                <w:rFonts w:hint="eastAsia" w:ascii="Times New Roman" w:hAnsi="Times New Roman" w:eastAsia="宋体" w:cs="Times New Roman"/>
                <w:b/>
                <w:bCs/>
                <w:color w:val="000000"/>
                <w:u w:val="single"/>
                <w:lang w:val="en-US" w:eastAsia="zh-CN" w:bidi="zh-CN"/>
              </w:rPr>
              <w:t>2.</w:t>
            </w:r>
            <w:r>
              <w:rPr>
                <w:rFonts w:hint="eastAsia" w:ascii="Times New Roman" w:hAnsi="Times New Roman" w:cs="Times New Roman"/>
                <w:b/>
                <w:bCs/>
                <w:color w:val="000000"/>
                <w:u w:val="single"/>
                <w:lang w:val="en-US" w:eastAsia="zh-CN" w:bidi="zh-CN"/>
              </w:rPr>
              <w:t>5</w:t>
            </w:r>
            <w:r>
              <w:rPr>
                <w:rFonts w:hint="eastAsia" w:ascii="Times New Roman" w:hAnsi="Times New Roman" w:eastAsia="宋体" w:cs="Times New Roman"/>
                <w:b/>
                <w:bCs/>
                <w:color w:val="000000"/>
                <w:u w:val="single"/>
                <w:lang w:val="en-US" w:eastAsia="zh-CN" w:bidi="zh-CN"/>
              </w:rPr>
              <w:t>与《废旧轮胎综合利用行业规范条件》（2020）相符性分析</w:t>
            </w:r>
          </w:p>
          <w:p w14:paraId="67CEF337">
            <w:pPr>
              <w:spacing w:line="360" w:lineRule="auto"/>
              <w:jc w:val="center"/>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表</w:t>
            </w:r>
            <w:r>
              <w:rPr>
                <w:rFonts w:hint="eastAsia" w:cs="Times New Roman"/>
                <w:b/>
                <w:bCs/>
                <w:sz w:val="21"/>
                <w:szCs w:val="21"/>
                <w:u w:val="single"/>
                <w:lang w:val="en-US" w:eastAsia="zh-CN"/>
              </w:rPr>
              <w:t>1-9</w:t>
            </w:r>
            <w:r>
              <w:rPr>
                <w:rFonts w:hint="eastAsia" w:ascii="Times New Roman" w:hAnsi="Times New Roman" w:eastAsia="宋体" w:cs="Times New Roman"/>
                <w:b/>
                <w:bCs/>
                <w:sz w:val="21"/>
                <w:szCs w:val="21"/>
                <w:u w:val="single"/>
                <w:lang w:val="en-US" w:eastAsia="zh-CN"/>
              </w:rPr>
              <w:t xml:space="preserve">  与《废旧轮胎综合利用行业规范条件》（2020）相符性分析一览表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4647"/>
              <w:gridCol w:w="1404"/>
              <w:gridCol w:w="708"/>
            </w:tblGrid>
            <w:tr w14:paraId="5ED63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5410" w:type="dxa"/>
                  <w:gridSpan w:val="2"/>
                  <w:noWrap w:val="0"/>
                  <w:vAlign w:val="center"/>
                </w:tcPr>
                <w:p w14:paraId="1F9533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废旧轮胎综合利用行业规范条件</w:t>
                  </w:r>
                </w:p>
              </w:tc>
              <w:tc>
                <w:tcPr>
                  <w:tcW w:w="1404" w:type="dxa"/>
                  <w:noWrap w:val="0"/>
                  <w:vAlign w:val="center"/>
                </w:tcPr>
                <w:p w14:paraId="146458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 xml:space="preserve">本项目 </w:t>
                  </w:r>
                </w:p>
              </w:tc>
              <w:tc>
                <w:tcPr>
                  <w:tcW w:w="708" w:type="dxa"/>
                  <w:noWrap w:val="0"/>
                  <w:vAlign w:val="center"/>
                </w:tcPr>
                <w:p w14:paraId="2DF5DF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相符性</w:t>
                  </w:r>
                </w:p>
              </w:tc>
            </w:tr>
            <w:tr w14:paraId="67A39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763" w:type="dxa"/>
                  <w:vMerge w:val="restart"/>
                  <w:noWrap w:val="0"/>
                  <w:vAlign w:val="center"/>
                </w:tcPr>
                <w:p w14:paraId="560C8C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 xml:space="preserve">项目选址与企 </w:t>
                  </w:r>
                </w:p>
                <w:p w14:paraId="04A208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业布局</w:t>
                  </w:r>
                </w:p>
                <w:p w14:paraId="6B9FD3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798466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符合国家政策和所在地区相关要求</w:t>
                  </w:r>
                </w:p>
              </w:tc>
              <w:tc>
                <w:tcPr>
                  <w:tcW w:w="1404" w:type="dxa"/>
                  <w:noWrap w:val="0"/>
                  <w:vAlign w:val="center"/>
                </w:tcPr>
                <w:p w14:paraId="33CA87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本项目符合国家产业政策</w:t>
                  </w:r>
                </w:p>
              </w:tc>
              <w:tc>
                <w:tcPr>
                  <w:tcW w:w="708" w:type="dxa"/>
                  <w:noWrap w:val="0"/>
                  <w:vAlign w:val="center"/>
                </w:tcPr>
                <w:p w14:paraId="12BABB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11A48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1BC87D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7DE353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产能设计应与废旧轮胎可回收量相适应</w:t>
                  </w:r>
                </w:p>
              </w:tc>
              <w:tc>
                <w:tcPr>
                  <w:tcW w:w="1404" w:type="dxa"/>
                  <w:noWrap w:val="0"/>
                  <w:vAlign w:val="center"/>
                </w:tcPr>
                <w:p w14:paraId="0E5A7B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项目年加工废旧轮胎16万吨</w:t>
                  </w:r>
                </w:p>
              </w:tc>
              <w:tc>
                <w:tcPr>
                  <w:tcW w:w="708" w:type="dxa"/>
                  <w:noWrap w:val="0"/>
                  <w:vAlign w:val="center"/>
                </w:tcPr>
                <w:p w14:paraId="00E96C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71271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31E50E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48538C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企业厂区土地使用手续合法（租用合同应不少于 15 年）</w:t>
                  </w:r>
                </w:p>
              </w:tc>
              <w:tc>
                <w:tcPr>
                  <w:tcW w:w="1404" w:type="dxa"/>
                  <w:noWrap w:val="0"/>
                  <w:vAlign w:val="center"/>
                </w:tcPr>
                <w:p w14:paraId="737E04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根据不动产权证，</w:t>
                  </w:r>
                  <w:r>
                    <w:rPr>
                      <w:rFonts w:hint="eastAsia" w:ascii="Times New Roman" w:hAnsi="Times New Roman" w:eastAsia="宋体" w:cs="Times New Roman"/>
                      <w:b/>
                      <w:bCs/>
                      <w:color w:val="000000"/>
                      <w:kern w:val="2"/>
                      <w:sz w:val="21"/>
                      <w:szCs w:val="21"/>
                      <w:u w:val="single"/>
                      <w:lang w:val="en-US" w:eastAsia="zh-CN" w:bidi="ar-SA"/>
                    </w:rPr>
                    <w:t>项目用地为</w:t>
                  </w:r>
                  <w:r>
                    <w:rPr>
                      <w:rFonts w:hint="eastAsia" w:cs="Times New Roman"/>
                      <w:b/>
                      <w:bCs/>
                      <w:color w:val="000000"/>
                      <w:kern w:val="2"/>
                      <w:sz w:val="21"/>
                      <w:szCs w:val="21"/>
                      <w:u w:val="single"/>
                      <w:lang w:val="en-US" w:eastAsia="zh-CN" w:bidi="ar-SA"/>
                    </w:rPr>
                    <w:t>工业</w:t>
                  </w:r>
                  <w:r>
                    <w:rPr>
                      <w:rFonts w:hint="eastAsia" w:ascii="Times New Roman" w:hAnsi="Times New Roman" w:eastAsia="宋体" w:cs="Times New Roman"/>
                      <w:b/>
                      <w:bCs/>
                      <w:color w:val="000000"/>
                      <w:kern w:val="2"/>
                      <w:sz w:val="21"/>
                      <w:szCs w:val="21"/>
                      <w:u w:val="single"/>
                      <w:lang w:val="en-US" w:eastAsia="zh-CN" w:bidi="ar-SA"/>
                    </w:rPr>
                    <w:t>用地，用地手续合法</w:t>
                  </w:r>
                </w:p>
              </w:tc>
              <w:tc>
                <w:tcPr>
                  <w:tcW w:w="708" w:type="dxa"/>
                  <w:noWrap w:val="0"/>
                  <w:vAlign w:val="center"/>
                </w:tcPr>
                <w:p w14:paraId="3A3958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3900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14ED41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541C55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厂区面积、生产区域面积应与综合利用加工能力相匹配，废旧轮胎贮存场地应符合回收管理规范的要求</w:t>
                  </w:r>
                </w:p>
              </w:tc>
              <w:tc>
                <w:tcPr>
                  <w:tcW w:w="1404" w:type="dxa"/>
                  <w:noWrap w:val="0"/>
                  <w:vAlign w:val="center"/>
                </w:tcPr>
                <w:p w14:paraId="1BD41B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厂区面积和作业厂场地面积满足生产需求</w:t>
                  </w:r>
                </w:p>
              </w:tc>
              <w:tc>
                <w:tcPr>
                  <w:tcW w:w="708" w:type="dxa"/>
                  <w:noWrap w:val="0"/>
                  <w:vAlign w:val="center"/>
                </w:tcPr>
                <w:p w14:paraId="0291ED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286FA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restart"/>
                  <w:noWrap w:val="0"/>
                  <w:vAlign w:val="center"/>
                </w:tcPr>
                <w:p w14:paraId="30C2AE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 xml:space="preserve">技术、 </w:t>
                  </w:r>
                </w:p>
                <w:p w14:paraId="7B4D62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装备和工艺</w:t>
                  </w:r>
                </w:p>
                <w:p w14:paraId="6A6D4B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64111E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企业应采用节能、环保、清洁、高效、智能的新技术、新工艺，选择自动化效率高、能源消耗指标合理、密封性好、污染物产排量少、本质安全和资源综合利用率高的生产装备及辅助设施，采用先进的产品质量检测设备</w:t>
                  </w:r>
                </w:p>
              </w:tc>
              <w:tc>
                <w:tcPr>
                  <w:tcW w:w="1404" w:type="dxa"/>
                  <w:noWrap w:val="0"/>
                  <w:vAlign w:val="center"/>
                </w:tcPr>
                <w:p w14:paraId="55FE3C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废旧轮胎切割粉碎采用自动化设备，生产工序产生的废气经布袋除尘器+二级活性炭吸附处理</w:t>
                  </w:r>
                </w:p>
              </w:tc>
              <w:tc>
                <w:tcPr>
                  <w:tcW w:w="708" w:type="dxa"/>
                  <w:noWrap w:val="0"/>
                  <w:vAlign w:val="center"/>
                </w:tcPr>
                <w:p w14:paraId="4A2449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7AE1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3963E9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u w:val="single"/>
                      <w:lang w:val="en-US" w:eastAsia="zh-CN" w:bidi="ar-SA"/>
                    </w:rPr>
                  </w:pPr>
                </w:p>
              </w:tc>
              <w:tc>
                <w:tcPr>
                  <w:tcW w:w="4647" w:type="dxa"/>
                  <w:noWrap w:val="0"/>
                  <w:vAlign w:val="center"/>
                </w:tcPr>
                <w:p w14:paraId="1ABB3A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废轮胎破碎不采用手工方式，废轮胎破碎、粉碎及分级应采用自动化技术与装备，鼓励应用橡胶粉生产自动化集中控制生产线</w:t>
                  </w:r>
                </w:p>
              </w:tc>
              <w:tc>
                <w:tcPr>
                  <w:tcW w:w="1404" w:type="dxa"/>
                  <w:noWrap w:val="0"/>
                  <w:vAlign w:val="center"/>
                </w:tcPr>
                <w:p w14:paraId="025A98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破碎采用自动化设备</w:t>
                  </w:r>
                </w:p>
              </w:tc>
              <w:tc>
                <w:tcPr>
                  <w:tcW w:w="708" w:type="dxa"/>
                  <w:noWrap w:val="0"/>
                  <w:vAlign w:val="center"/>
                </w:tcPr>
                <w:p w14:paraId="6E660A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41A2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6A3F52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u w:val="single"/>
                      <w:lang w:val="en-US" w:eastAsia="zh-CN" w:bidi="ar-SA"/>
                    </w:rPr>
                  </w:pPr>
                </w:p>
              </w:tc>
              <w:tc>
                <w:tcPr>
                  <w:tcW w:w="4647" w:type="dxa"/>
                  <w:noWrap w:val="0"/>
                  <w:vAlign w:val="center"/>
                </w:tcPr>
                <w:p w14:paraId="155527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鼓励有条件的企业开展智能工厂建设，应用自动化智能装备，逐步实现智能化管理</w:t>
                  </w:r>
                </w:p>
              </w:tc>
              <w:tc>
                <w:tcPr>
                  <w:tcW w:w="1404" w:type="dxa"/>
                  <w:noWrap w:val="0"/>
                  <w:vAlign w:val="center"/>
                </w:tcPr>
                <w:p w14:paraId="0B2448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各生产工序均采用机械化作业</w:t>
                  </w:r>
                </w:p>
              </w:tc>
              <w:tc>
                <w:tcPr>
                  <w:tcW w:w="708" w:type="dxa"/>
                  <w:noWrap w:val="0"/>
                  <w:vAlign w:val="center"/>
                </w:tcPr>
                <w:p w14:paraId="7BBEA7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44FB9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restart"/>
                  <w:noWrap w:val="0"/>
                  <w:vAlign w:val="center"/>
                </w:tcPr>
                <w:p w14:paraId="755EDE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资源利用及能源消耗</w:t>
                  </w:r>
                </w:p>
                <w:p w14:paraId="505AF6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7AE232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 xml:space="preserve">废轮胎加工处理中产生的废料以及尾气净化产生的粉尘等次生固体废物，应建立台账记录制度，鼓励企业全部回收利用；企业不具备利用 </w:t>
                  </w:r>
                </w:p>
                <w:p w14:paraId="606110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条件的，应建立登记转移记录制度，委托其他企业利用处置，不得擅自丢弃、倾倒、焚烧与填埋</w:t>
                  </w:r>
                </w:p>
              </w:tc>
              <w:tc>
                <w:tcPr>
                  <w:tcW w:w="1404" w:type="dxa"/>
                  <w:noWrap w:val="0"/>
                  <w:vAlign w:val="center"/>
                </w:tcPr>
                <w:p w14:paraId="6886B6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破碎、磨粉、筛分粉尘经布袋除尘器+</w:t>
                  </w:r>
                  <w:r>
                    <w:rPr>
                      <w:rFonts w:hint="eastAsia" w:ascii="Times New Roman" w:hAnsi="Times New Roman" w:eastAsia="宋体" w:cs="Times New Roman"/>
                      <w:b/>
                      <w:bCs/>
                      <w:color w:val="000000"/>
                      <w:kern w:val="2"/>
                      <w:sz w:val="21"/>
                      <w:szCs w:val="21"/>
                      <w:highlight w:val="none"/>
                      <w:u w:val="single"/>
                      <w:lang w:val="en-US" w:eastAsia="zh-CN" w:bidi="ar-SA"/>
                    </w:rPr>
                    <w:t>二级活性炭吸附处理；产生的固废</w:t>
                  </w:r>
                  <w:r>
                    <w:rPr>
                      <w:rFonts w:hint="eastAsia" w:cs="Times New Roman"/>
                      <w:b/>
                      <w:bCs/>
                      <w:color w:val="000000"/>
                      <w:kern w:val="2"/>
                      <w:sz w:val="21"/>
                      <w:szCs w:val="21"/>
                      <w:highlight w:val="none"/>
                      <w:u w:val="single"/>
                      <w:lang w:val="en-US" w:eastAsia="zh-CN" w:bidi="ar-SA"/>
                    </w:rPr>
                    <w:t>回用于生产</w:t>
                  </w:r>
                </w:p>
              </w:tc>
              <w:tc>
                <w:tcPr>
                  <w:tcW w:w="708" w:type="dxa"/>
                  <w:noWrap w:val="0"/>
                  <w:vAlign w:val="center"/>
                </w:tcPr>
                <w:p w14:paraId="05237F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6ED1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627F67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6687B8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从整胎破碎起计，橡胶粉生产综合能源消耗低于 350 千瓦时/吨（40目以上除外）</w:t>
                  </w:r>
                </w:p>
              </w:tc>
              <w:tc>
                <w:tcPr>
                  <w:tcW w:w="1404" w:type="dxa"/>
                  <w:noWrap w:val="0"/>
                  <w:vAlign w:val="center"/>
                </w:tcPr>
                <w:p w14:paraId="636A8B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highlight w:val="none"/>
                      <w:u w:val="single"/>
                      <w:lang w:val="en-US" w:eastAsia="zh-CN" w:bidi="ar-SA"/>
                    </w:rPr>
                    <w:t>项目拥综合能源消耗2880万</w:t>
                  </w:r>
                  <w:r>
                    <w:rPr>
                      <w:rFonts w:hint="eastAsia" w:ascii="Times New Roman" w:hAnsi="Times New Roman" w:eastAsia="宋体" w:cs="Times New Roman"/>
                      <w:b/>
                      <w:bCs/>
                      <w:color w:val="000000"/>
                      <w:kern w:val="2"/>
                      <w:sz w:val="21"/>
                      <w:szCs w:val="21"/>
                      <w:highlight w:val="none"/>
                      <w:u w:val="single"/>
                      <w:lang w:val="en-US" w:eastAsia="zh-CN" w:bidi="ar-SA"/>
                    </w:rPr>
                    <w:t>千瓦时</w:t>
                  </w:r>
                  <w:r>
                    <w:rPr>
                      <w:rFonts w:hint="eastAsia" w:cs="Times New Roman"/>
                      <w:b/>
                      <w:bCs/>
                      <w:color w:val="000000"/>
                      <w:kern w:val="2"/>
                      <w:sz w:val="21"/>
                      <w:szCs w:val="21"/>
                      <w:highlight w:val="none"/>
                      <w:u w:val="single"/>
                      <w:lang w:val="en-US" w:eastAsia="zh-CN" w:bidi="ar-SA"/>
                    </w:rPr>
                    <w:t>，年生产16万吨胶粉，则</w:t>
                  </w:r>
                  <w:r>
                    <w:rPr>
                      <w:rFonts w:hint="eastAsia" w:ascii="Times New Roman" w:hAnsi="Times New Roman" w:eastAsia="宋体" w:cs="Times New Roman"/>
                      <w:b/>
                      <w:bCs/>
                      <w:color w:val="000000"/>
                      <w:kern w:val="2"/>
                      <w:sz w:val="21"/>
                      <w:szCs w:val="21"/>
                      <w:highlight w:val="none"/>
                      <w:u w:val="single"/>
                      <w:lang w:val="en-US" w:eastAsia="zh-CN" w:bidi="ar-SA"/>
                    </w:rPr>
                    <w:t xml:space="preserve">橡胶粉生产综合能源消耗 </w:t>
                  </w:r>
                  <w:r>
                    <w:rPr>
                      <w:rFonts w:hint="eastAsia" w:cs="Times New Roman"/>
                      <w:b/>
                      <w:bCs/>
                      <w:color w:val="000000"/>
                      <w:kern w:val="2"/>
                      <w:sz w:val="21"/>
                      <w:szCs w:val="21"/>
                      <w:highlight w:val="none"/>
                      <w:u w:val="single"/>
                      <w:lang w:val="en-US" w:eastAsia="zh-CN" w:bidi="ar-SA"/>
                    </w:rPr>
                    <w:t>180</w:t>
                  </w:r>
                  <w:r>
                    <w:rPr>
                      <w:rFonts w:hint="eastAsia" w:ascii="Times New Roman" w:hAnsi="Times New Roman" w:eastAsia="宋体" w:cs="Times New Roman"/>
                      <w:b/>
                      <w:bCs/>
                      <w:color w:val="000000"/>
                      <w:kern w:val="2"/>
                      <w:sz w:val="21"/>
                      <w:szCs w:val="21"/>
                      <w:highlight w:val="none"/>
                      <w:u w:val="single"/>
                      <w:lang w:val="en-US" w:eastAsia="zh-CN" w:bidi="ar-SA"/>
                    </w:rPr>
                    <w:t xml:space="preserve"> 千瓦时/吨</w:t>
                  </w:r>
                </w:p>
              </w:tc>
              <w:tc>
                <w:tcPr>
                  <w:tcW w:w="708" w:type="dxa"/>
                  <w:noWrap w:val="0"/>
                  <w:vAlign w:val="center"/>
                </w:tcPr>
                <w:p w14:paraId="22570A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58BB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restart"/>
                  <w:noWrap w:val="0"/>
                  <w:vAlign w:val="center"/>
                </w:tcPr>
                <w:p w14:paraId="33972C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环境保护</w:t>
                  </w:r>
                </w:p>
                <w:p w14:paraId="423FC4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51F09C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严格执行环境保护“三同时”制度，落实各项生态环境保护措施</w:t>
                  </w:r>
                </w:p>
              </w:tc>
              <w:tc>
                <w:tcPr>
                  <w:tcW w:w="1404" w:type="dxa"/>
                  <w:noWrap w:val="0"/>
                  <w:vAlign w:val="center"/>
                </w:tcPr>
                <w:p w14:paraId="437E29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严格执行环境保护“三同时”制度</w:t>
                  </w:r>
                </w:p>
              </w:tc>
              <w:tc>
                <w:tcPr>
                  <w:tcW w:w="708" w:type="dxa"/>
                  <w:noWrap w:val="0"/>
                  <w:vAlign w:val="center"/>
                </w:tcPr>
                <w:p w14:paraId="642522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2FE8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6FCBBB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4CC8CF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企业应通过环境管理体系认证</w:t>
                  </w:r>
                </w:p>
              </w:tc>
              <w:tc>
                <w:tcPr>
                  <w:tcW w:w="1404" w:type="dxa"/>
                  <w:noWrap w:val="0"/>
                  <w:vAlign w:val="center"/>
                </w:tcPr>
                <w:p w14:paraId="4F0024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环评审批后根据建设进度按要求完善相关手续</w:t>
                  </w:r>
                </w:p>
              </w:tc>
              <w:tc>
                <w:tcPr>
                  <w:tcW w:w="708" w:type="dxa"/>
                  <w:noWrap w:val="0"/>
                  <w:vAlign w:val="center"/>
                </w:tcPr>
                <w:p w14:paraId="7B32A7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5AF65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12EFEE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107ED2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企业应当按照排污许可证申请与核发技术规范在规定的时限申请并取得排污许可证，并落实排污许可证规定的环境管理和信息公开要求</w:t>
                  </w:r>
                </w:p>
              </w:tc>
              <w:tc>
                <w:tcPr>
                  <w:tcW w:w="1404" w:type="dxa"/>
                  <w:noWrap w:val="0"/>
                  <w:vAlign w:val="center"/>
                </w:tcPr>
                <w:p w14:paraId="7B64FA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环评审批后根据建设进度按要求完善相关手续</w:t>
                  </w:r>
                </w:p>
              </w:tc>
              <w:tc>
                <w:tcPr>
                  <w:tcW w:w="708" w:type="dxa"/>
                  <w:noWrap w:val="0"/>
                  <w:vAlign w:val="center"/>
                </w:tcPr>
                <w:p w14:paraId="242F95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0EE0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3B5E55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18414F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废轮胎破碎、粉碎作业区，应设置粉尘收集和高效除尘设施，有效降低粉尘排放</w:t>
                  </w:r>
                </w:p>
              </w:tc>
              <w:tc>
                <w:tcPr>
                  <w:tcW w:w="1404" w:type="dxa"/>
                  <w:noWrap w:val="0"/>
                  <w:vAlign w:val="center"/>
                </w:tcPr>
                <w:p w14:paraId="0158D4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highlight w:val="none"/>
                      <w:u w:val="single"/>
                      <w:lang w:val="en-US" w:eastAsia="zh-CN" w:bidi="ar-SA"/>
                    </w:rPr>
                    <w:t>废气经处理达标后排放</w:t>
                  </w:r>
                </w:p>
              </w:tc>
              <w:tc>
                <w:tcPr>
                  <w:tcW w:w="708" w:type="dxa"/>
                  <w:noWrap w:val="0"/>
                  <w:vAlign w:val="center"/>
                </w:tcPr>
                <w:p w14:paraId="73F59A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567E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23F102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4647" w:type="dxa"/>
                  <w:noWrap w:val="0"/>
                  <w:vAlign w:val="center"/>
                </w:tcPr>
                <w:p w14:paraId="0F6E7F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环境噪声应达到《工业企业厂界环境噪声排放标准》</w:t>
                  </w:r>
                </w:p>
              </w:tc>
              <w:tc>
                <w:tcPr>
                  <w:tcW w:w="1404" w:type="dxa"/>
                  <w:noWrap w:val="0"/>
                  <w:vAlign w:val="center"/>
                </w:tcPr>
                <w:p w14:paraId="2D77F2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噪声经采取措施后满足《工业企业厂界环境噪声排放标准》（GB12348-2008）中 3 类标准的要求。本项目运营期噪声不会对周围声环境造成明显影响。</w:t>
                  </w:r>
                </w:p>
              </w:tc>
              <w:tc>
                <w:tcPr>
                  <w:tcW w:w="708" w:type="dxa"/>
                  <w:noWrap w:val="0"/>
                  <w:vAlign w:val="center"/>
                </w:tcPr>
                <w:p w14:paraId="5DE70B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27679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restart"/>
                  <w:noWrap w:val="0"/>
                  <w:vAlign w:val="center"/>
                </w:tcPr>
                <w:p w14:paraId="611AFA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 xml:space="preserve">产品质量和职 </w:t>
                  </w:r>
                </w:p>
                <w:p w14:paraId="0D3893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业教育</w:t>
                  </w:r>
                </w:p>
              </w:tc>
              <w:tc>
                <w:tcPr>
                  <w:tcW w:w="4647" w:type="dxa"/>
                  <w:noWrap w:val="0"/>
                  <w:vAlign w:val="center"/>
                </w:tcPr>
                <w:p w14:paraId="7FABB4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鼓励企业设立专门的质量管理部门</w:t>
                  </w:r>
                </w:p>
                <w:p w14:paraId="2482D7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和专职质量管理人员。配备专业检验、检测设备，构建完善的质量管理制度，明确岗位操作规程、工作流程、岗位责任，做到检验数据完整、可追溯</w:t>
                  </w:r>
                </w:p>
              </w:tc>
              <w:tc>
                <w:tcPr>
                  <w:tcW w:w="1404" w:type="dxa"/>
                  <w:noWrap w:val="0"/>
                  <w:vAlign w:val="center"/>
                </w:tcPr>
                <w:p w14:paraId="5BE149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营运期按要求配备相关人员</w:t>
                  </w:r>
                </w:p>
              </w:tc>
              <w:tc>
                <w:tcPr>
                  <w:tcW w:w="708" w:type="dxa"/>
                  <w:noWrap w:val="0"/>
                  <w:vAlign w:val="center"/>
                </w:tcPr>
                <w:p w14:paraId="6D7B04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0E528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3F4064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u w:val="single"/>
                      <w:lang w:val="en-US" w:eastAsia="zh-CN" w:bidi="ar-SA"/>
                    </w:rPr>
                  </w:pPr>
                </w:p>
              </w:tc>
              <w:tc>
                <w:tcPr>
                  <w:tcW w:w="4647" w:type="dxa"/>
                  <w:noWrap w:val="0"/>
                  <w:vAlign w:val="center"/>
                </w:tcPr>
                <w:p w14:paraId="6ABB79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橡胶粉产品质量应符合《硫化橡胶粉》《路用废胎硫化橡胶粉》等国家和行业相应的标准要求</w:t>
                  </w:r>
                </w:p>
              </w:tc>
              <w:tc>
                <w:tcPr>
                  <w:tcW w:w="1404" w:type="dxa"/>
                  <w:noWrap w:val="0"/>
                  <w:vAlign w:val="center"/>
                </w:tcPr>
                <w:p w14:paraId="5F7B70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产品质量符合要求</w:t>
                  </w:r>
                </w:p>
              </w:tc>
              <w:tc>
                <w:tcPr>
                  <w:tcW w:w="708" w:type="dxa"/>
                  <w:noWrap w:val="0"/>
                  <w:vAlign w:val="center"/>
                </w:tcPr>
                <w:p w14:paraId="4DF38C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053DB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27AE05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u w:val="single"/>
                      <w:lang w:val="en-US" w:eastAsia="zh-CN" w:bidi="ar-SA"/>
                    </w:rPr>
                  </w:pPr>
                </w:p>
              </w:tc>
              <w:tc>
                <w:tcPr>
                  <w:tcW w:w="4647" w:type="dxa"/>
                  <w:noWrap w:val="0"/>
                  <w:vAlign w:val="center"/>
                </w:tcPr>
                <w:p w14:paraId="66DA3D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鼓励企业建立职业教育培训管理制度，工程技术人员、工人技师和工人应定期接受培训和继续教育，建立职工教育档案。按照国家职业标准要求，特种作业人员应做到持证上岗</w:t>
                  </w:r>
                </w:p>
              </w:tc>
              <w:tc>
                <w:tcPr>
                  <w:tcW w:w="1404" w:type="dxa"/>
                  <w:noWrap w:val="0"/>
                  <w:vAlign w:val="center"/>
                </w:tcPr>
                <w:p w14:paraId="18463C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营运期按要求建立相关制度，作业人员持证上岗</w:t>
                  </w:r>
                </w:p>
              </w:tc>
              <w:tc>
                <w:tcPr>
                  <w:tcW w:w="708" w:type="dxa"/>
                  <w:noWrap w:val="0"/>
                  <w:vAlign w:val="center"/>
                </w:tcPr>
                <w:p w14:paraId="70D8BF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p w14:paraId="60FB1C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r>
            <w:tr w14:paraId="6039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restart"/>
                  <w:noWrap w:val="0"/>
                  <w:vAlign w:val="center"/>
                </w:tcPr>
                <w:p w14:paraId="207CE0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 xml:space="preserve">安全生产和职 </w:t>
                  </w:r>
                </w:p>
                <w:p w14:paraId="38B7CE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业健康</w:t>
                  </w:r>
                </w:p>
                <w:p w14:paraId="089076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u w:val="single"/>
                      <w:lang w:val="en-US" w:eastAsia="zh-CN" w:bidi="ar-SA"/>
                    </w:rPr>
                  </w:pPr>
                </w:p>
              </w:tc>
              <w:tc>
                <w:tcPr>
                  <w:tcW w:w="4647" w:type="dxa"/>
                  <w:noWrap w:val="0"/>
                  <w:vAlign w:val="center"/>
                </w:tcPr>
                <w:p w14:paraId="0BE341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安全生产条件符合有关标准，劳动保护和职业危害达到国家卫生标准；配备相应的安全防护设施、消防设备设施</w:t>
                  </w:r>
                </w:p>
              </w:tc>
              <w:tc>
                <w:tcPr>
                  <w:tcW w:w="1404" w:type="dxa"/>
                  <w:noWrap w:val="0"/>
                  <w:vAlign w:val="center"/>
                </w:tcPr>
                <w:p w14:paraId="4FF8F16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营运期配备相应的安全防护设施、消防设备设施</w:t>
                  </w:r>
                </w:p>
              </w:tc>
              <w:tc>
                <w:tcPr>
                  <w:tcW w:w="708" w:type="dxa"/>
                  <w:noWrap w:val="0"/>
                  <w:vAlign w:val="center"/>
                </w:tcPr>
                <w:p w14:paraId="4A491B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p w14:paraId="4610DD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r>
            <w:tr w14:paraId="68220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57D173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u w:val="single"/>
                      <w:lang w:val="en-US" w:eastAsia="zh-CN" w:bidi="ar-SA"/>
                    </w:rPr>
                  </w:pPr>
                </w:p>
              </w:tc>
              <w:tc>
                <w:tcPr>
                  <w:tcW w:w="4647" w:type="dxa"/>
                  <w:noWrap w:val="0"/>
                  <w:vAlign w:val="center"/>
                </w:tcPr>
                <w:p w14:paraId="29577C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建立健全安全生产管理体系、职业卫生管理体系，制订突发事件应急预案</w:t>
                  </w:r>
                </w:p>
              </w:tc>
              <w:tc>
                <w:tcPr>
                  <w:tcW w:w="1404" w:type="dxa"/>
                  <w:noWrap w:val="0"/>
                  <w:vAlign w:val="center"/>
                </w:tcPr>
                <w:p w14:paraId="649B62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环评审批后根据建设进度按要求完善相关手续</w:t>
                  </w:r>
                </w:p>
              </w:tc>
              <w:tc>
                <w:tcPr>
                  <w:tcW w:w="708" w:type="dxa"/>
                  <w:noWrap w:val="0"/>
                  <w:vAlign w:val="center"/>
                </w:tcPr>
                <w:p w14:paraId="4C66D5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p w14:paraId="69DC6C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r>
            <w:tr w14:paraId="21653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3" w:type="dxa"/>
                  <w:vMerge w:val="continue"/>
                  <w:noWrap w:val="0"/>
                  <w:vAlign w:val="center"/>
                </w:tcPr>
                <w:p w14:paraId="4FDBE5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u w:val="single"/>
                      <w:lang w:val="en-US" w:eastAsia="zh-CN" w:bidi="ar-SA"/>
                    </w:rPr>
                  </w:pPr>
                </w:p>
              </w:tc>
              <w:tc>
                <w:tcPr>
                  <w:tcW w:w="4647" w:type="dxa"/>
                  <w:noWrap w:val="0"/>
                  <w:vAlign w:val="center"/>
                </w:tcPr>
                <w:p w14:paraId="5A93F0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企业应通过职业健康安全管理体系认证</w:t>
                  </w:r>
                </w:p>
              </w:tc>
              <w:tc>
                <w:tcPr>
                  <w:tcW w:w="1404" w:type="dxa"/>
                  <w:noWrap w:val="0"/>
                  <w:vAlign w:val="center"/>
                </w:tcPr>
                <w:p w14:paraId="4DE95A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环评审批后根据建设进度按要求完善相关手续</w:t>
                  </w:r>
                </w:p>
              </w:tc>
              <w:tc>
                <w:tcPr>
                  <w:tcW w:w="708" w:type="dxa"/>
                  <w:noWrap w:val="0"/>
                  <w:vAlign w:val="center"/>
                </w:tcPr>
                <w:p w14:paraId="6FE2C9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p w14:paraId="2BA88B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r>
          </w:tbl>
          <w:p w14:paraId="465EE5D3">
            <w:pPr>
              <w:pStyle w:val="28"/>
              <w:spacing w:line="520" w:lineRule="exact"/>
              <w:ind w:firstLine="482" w:firstLineChars="200"/>
              <w:jc w:val="left"/>
              <w:rPr>
                <w:rFonts w:hint="eastAsia" w:ascii="Times New Roman" w:hAnsi="Times New Roman" w:eastAsia="宋体" w:cs="Times New Roman"/>
                <w:b/>
                <w:bCs/>
                <w:color w:val="000000"/>
                <w:u w:val="single"/>
                <w:lang w:val="en-US" w:eastAsia="zh-CN" w:bidi="zh-CN"/>
              </w:rPr>
            </w:pPr>
            <w:r>
              <w:rPr>
                <w:rFonts w:hint="eastAsia" w:ascii="Times New Roman" w:hAnsi="Times New Roman" w:eastAsia="宋体" w:cs="Times New Roman"/>
                <w:b/>
                <w:bCs/>
                <w:color w:val="000000"/>
                <w:u w:val="single"/>
                <w:lang w:val="en-US" w:eastAsia="zh-CN" w:bidi="zh-CN"/>
              </w:rPr>
              <w:t>2.</w:t>
            </w:r>
            <w:r>
              <w:rPr>
                <w:rFonts w:hint="eastAsia" w:ascii="Times New Roman" w:hAnsi="Times New Roman" w:cs="Times New Roman"/>
                <w:b/>
                <w:bCs/>
                <w:color w:val="000000"/>
                <w:u w:val="single"/>
                <w:lang w:val="en-US" w:eastAsia="zh-CN" w:bidi="zh-CN"/>
              </w:rPr>
              <w:t>6</w:t>
            </w:r>
            <w:r>
              <w:rPr>
                <w:rFonts w:hint="eastAsia" w:ascii="Times New Roman" w:hAnsi="Times New Roman" w:eastAsia="宋体" w:cs="Times New Roman"/>
                <w:b/>
                <w:bCs/>
                <w:color w:val="000000"/>
                <w:u w:val="single"/>
                <w:lang w:val="en-US" w:eastAsia="zh-CN" w:bidi="zh-CN"/>
              </w:rPr>
              <w:t>与《濮阳市重污染天气通用行业应急减排措施制定技术指南（2021 年修订版）》相符性分析</w:t>
            </w:r>
          </w:p>
          <w:p w14:paraId="013F8EEF">
            <w:pPr>
              <w:pStyle w:val="28"/>
              <w:spacing w:line="520" w:lineRule="exact"/>
              <w:ind w:firstLine="482" w:firstLineChars="200"/>
              <w:jc w:val="left"/>
              <w:rPr>
                <w:rFonts w:hint="eastAsia" w:ascii="Times New Roman" w:hAnsi="Times New Roman" w:eastAsia="宋体" w:cs="Times New Roman"/>
                <w:b/>
                <w:bCs/>
                <w:kern w:val="2"/>
                <w:sz w:val="24"/>
                <w:szCs w:val="24"/>
                <w:u w:val="single"/>
                <w:lang w:val="en-US" w:eastAsia="zh-CN" w:bidi="ar-SA"/>
              </w:rPr>
            </w:pPr>
            <w:r>
              <w:rPr>
                <w:rFonts w:hint="eastAsia" w:ascii="Times New Roman" w:hAnsi="Times New Roman" w:eastAsia="宋体" w:cs="Times New Roman"/>
                <w:b/>
                <w:bCs/>
                <w:kern w:val="2"/>
                <w:sz w:val="24"/>
                <w:szCs w:val="24"/>
                <w:u w:val="single"/>
                <w:lang w:val="en-US" w:eastAsia="zh-CN" w:bidi="ar-SA"/>
              </w:rPr>
              <w:t>对照《濮阳市重污染天气通用行业应急减排措施制定技术指南（2021年修订版）》和《河南省重污染天气重点行业应急减排措施制定技术指南》（2021 年修订版）行业分类，本项目为通用行业，项目参照 B 级企业相关要求进行建设。</w:t>
            </w:r>
          </w:p>
          <w:p w14:paraId="0AB0967A">
            <w:pPr>
              <w:pStyle w:val="28"/>
              <w:spacing w:line="520" w:lineRule="exact"/>
              <w:ind w:firstLine="482" w:firstLineChars="200"/>
              <w:jc w:val="left"/>
              <w:rPr>
                <w:rFonts w:hint="eastAsia" w:ascii="Times New Roman" w:hAnsi="Times New Roman" w:eastAsia="宋体" w:cs="Times New Roman"/>
                <w:b/>
                <w:bCs/>
                <w:kern w:val="2"/>
                <w:sz w:val="24"/>
                <w:szCs w:val="24"/>
                <w:u w:val="single"/>
                <w:lang w:val="en-US" w:eastAsia="zh-CN" w:bidi="ar-SA"/>
              </w:rPr>
            </w:pPr>
            <w:r>
              <w:rPr>
                <w:rFonts w:hint="eastAsia" w:ascii="Times New Roman" w:hAnsi="Times New Roman" w:eastAsia="宋体" w:cs="Times New Roman"/>
                <w:b/>
                <w:bCs/>
                <w:kern w:val="2"/>
                <w:sz w:val="24"/>
                <w:szCs w:val="24"/>
                <w:u w:val="single"/>
                <w:lang w:val="en-US" w:eastAsia="zh-CN" w:bidi="ar-SA"/>
              </w:rPr>
              <w:t>本项目与《濮阳市重污染天气通用行业应急减排措施制定技术指南（2021 年修订版）》相符性分析见下表。</w:t>
            </w:r>
          </w:p>
          <w:p w14:paraId="4059DA6C">
            <w:pPr>
              <w:spacing w:line="360" w:lineRule="auto"/>
              <w:jc w:val="center"/>
              <w:rPr>
                <w:rFonts w:hint="eastAsia" w:ascii="Times New Roman" w:hAnsi="Times New Roman" w:eastAsia="宋体" w:cs="Times New Roman"/>
                <w:b/>
                <w:bCs/>
                <w:sz w:val="21"/>
                <w:szCs w:val="21"/>
                <w:u w:val="single"/>
                <w:lang w:val="en-US" w:eastAsia="zh-CN"/>
              </w:rPr>
            </w:pPr>
            <w:r>
              <w:rPr>
                <w:rFonts w:hint="eastAsia" w:ascii="Times New Roman" w:hAnsi="Times New Roman" w:eastAsia="宋体" w:cs="Times New Roman"/>
                <w:b/>
                <w:bCs/>
                <w:sz w:val="21"/>
                <w:szCs w:val="21"/>
                <w:u w:val="single"/>
                <w:lang w:val="en-US" w:eastAsia="zh-CN"/>
              </w:rPr>
              <w:t>表</w:t>
            </w:r>
            <w:r>
              <w:rPr>
                <w:rFonts w:hint="eastAsia" w:cs="Times New Roman"/>
                <w:b/>
                <w:bCs/>
                <w:sz w:val="21"/>
                <w:szCs w:val="21"/>
                <w:u w:val="single"/>
                <w:lang w:val="en-US" w:eastAsia="zh-CN"/>
              </w:rPr>
              <w:t>1-10</w:t>
            </w:r>
            <w:r>
              <w:rPr>
                <w:rFonts w:hint="eastAsia" w:ascii="Times New Roman" w:hAnsi="Times New Roman" w:eastAsia="宋体" w:cs="Times New Roman"/>
                <w:b/>
                <w:bCs/>
                <w:sz w:val="21"/>
                <w:szCs w:val="21"/>
                <w:u w:val="single"/>
                <w:lang w:val="en-US" w:eastAsia="zh-CN"/>
              </w:rPr>
              <w:t xml:space="preserve">  与《濮阳市重污染天气通用行业应急减排措施制定技术指南（2021 年修订版）》（B 级企业）相符性分析一览表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5"/>
              <w:gridCol w:w="3418"/>
              <w:gridCol w:w="2421"/>
              <w:gridCol w:w="720"/>
            </w:tblGrid>
            <w:tr w14:paraId="6933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75" w:type="dxa"/>
                  <w:noWrap w:val="0"/>
                  <w:vAlign w:val="center"/>
                </w:tcPr>
                <w:p w14:paraId="656AE2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差异化</w:t>
                  </w:r>
                </w:p>
                <w:p w14:paraId="408B9B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指标</w:t>
                  </w:r>
                </w:p>
              </w:tc>
              <w:tc>
                <w:tcPr>
                  <w:tcW w:w="3418" w:type="dxa"/>
                  <w:noWrap w:val="0"/>
                  <w:vAlign w:val="center"/>
                </w:tcPr>
                <w:p w14:paraId="0C75C1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 xml:space="preserve">B </w:t>
                  </w:r>
                  <w:r>
                    <w:rPr>
                      <w:rFonts w:hint="eastAsia" w:ascii="Times New Roman" w:hAnsi="Times New Roman" w:eastAsia="宋体" w:cs="Times New Roman"/>
                      <w:b/>
                      <w:bCs/>
                      <w:color w:val="000000"/>
                      <w:kern w:val="2"/>
                      <w:sz w:val="21"/>
                      <w:szCs w:val="21"/>
                      <w:u w:val="single"/>
                      <w:lang w:val="en-US" w:eastAsia="zh-CN" w:bidi="ar-SA"/>
                    </w:rPr>
                    <w:t>级企业</w:t>
                  </w:r>
                </w:p>
              </w:tc>
              <w:tc>
                <w:tcPr>
                  <w:tcW w:w="2421" w:type="dxa"/>
                  <w:noWrap w:val="0"/>
                  <w:vAlign w:val="center"/>
                </w:tcPr>
                <w:p w14:paraId="6DEDBB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本项目情况</w:t>
                  </w:r>
                </w:p>
              </w:tc>
              <w:tc>
                <w:tcPr>
                  <w:tcW w:w="720" w:type="dxa"/>
                  <w:noWrap w:val="0"/>
                  <w:vAlign w:val="center"/>
                </w:tcPr>
                <w:p w14:paraId="4A48EF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相符性</w:t>
                  </w:r>
                </w:p>
              </w:tc>
            </w:tr>
            <w:tr w14:paraId="02E09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75" w:type="dxa"/>
                  <w:noWrap w:val="0"/>
                  <w:vAlign w:val="center"/>
                </w:tcPr>
                <w:p w14:paraId="5B94EC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能源类型</w:t>
                  </w:r>
                </w:p>
              </w:tc>
              <w:tc>
                <w:tcPr>
                  <w:tcW w:w="3418" w:type="dxa"/>
                  <w:noWrap w:val="0"/>
                  <w:vAlign w:val="center"/>
                </w:tcPr>
                <w:p w14:paraId="432D7D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使用天然气、电、管道蒸汽等清洁能源。</w:t>
                  </w:r>
                </w:p>
              </w:tc>
              <w:tc>
                <w:tcPr>
                  <w:tcW w:w="2421" w:type="dxa"/>
                  <w:noWrap w:val="0"/>
                  <w:vAlign w:val="center"/>
                </w:tcPr>
                <w:p w14:paraId="179B02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本项目主要使用能源为电能、液氮。</w:t>
                  </w:r>
                </w:p>
              </w:tc>
              <w:tc>
                <w:tcPr>
                  <w:tcW w:w="720" w:type="dxa"/>
                  <w:noWrap w:val="0"/>
                  <w:vAlign w:val="center"/>
                </w:tcPr>
                <w:p w14:paraId="0DAE71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47C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75" w:type="dxa"/>
                  <w:noWrap w:val="0"/>
                  <w:vAlign w:val="center"/>
                </w:tcPr>
                <w:p w14:paraId="74CC19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装备水平</w:t>
                  </w:r>
                </w:p>
              </w:tc>
              <w:tc>
                <w:tcPr>
                  <w:tcW w:w="3418" w:type="dxa"/>
                  <w:noWrap w:val="0"/>
                  <w:vAlign w:val="center"/>
                </w:tcPr>
                <w:p w14:paraId="55438E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设备要求半自动化</w:t>
                  </w:r>
                </w:p>
              </w:tc>
              <w:tc>
                <w:tcPr>
                  <w:tcW w:w="2421" w:type="dxa"/>
                  <w:noWrap w:val="0"/>
                  <w:vAlign w:val="center"/>
                </w:tcPr>
                <w:p w14:paraId="5A40E1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本项目设备均达到半自动化</w:t>
                  </w:r>
                </w:p>
              </w:tc>
              <w:tc>
                <w:tcPr>
                  <w:tcW w:w="720" w:type="dxa"/>
                  <w:noWrap w:val="0"/>
                  <w:vAlign w:val="center"/>
                </w:tcPr>
                <w:p w14:paraId="1D61A7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4A4AC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534" w:type="dxa"/>
                  <w:gridSpan w:val="4"/>
                  <w:noWrap w:val="0"/>
                  <w:vAlign w:val="center"/>
                </w:tcPr>
                <w:p w14:paraId="65EFBC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涉颗粒物类</w:t>
                  </w:r>
                </w:p>
              </w:tc>
            </w:tr>
            <w:tr w14:paraId="36460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75" w:type="dxa"/>
                  <w:noWrap w:val="0"/>
                  <w:vAlign w:val="center"/>
                </w:tcPr>
                <w:p w14:paraId="2C4D3F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无组织管控</w:t>
                  </w:r>
                </w:p>
              </w:tc>
              <w:tc>
                <w:tcPr>
                  <w:tcW w:w="3418" w:type="dxa"/>
                  <w:noWrap w:val="0"/>
                  <w:vAlign w:val="center"/>
                </w:tcPr>
                <w:p w14:paraId="61FAD6F0">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1、物料卸载</w:t>
                  </w:r>
                </w:p>
                <w:p w14:paraId="0C39FF24">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w:t>
                  </w:r>
                  <w:r>
                    <w:rPr>
                      <w:rFonts w:hint="eastAsia" w:ascii="Times New Roman" w:hAnsi="Times New Roman" w:eastAsia="宋体" w:cs="Times New Roman"/>
                      <w:b/>
                      <w:bCs/>
                      <w:color w:val="000000"/>
                      <w:kern w:val="2"/>
                      <w:sz w:val="21"/>
                      <w:szCs w:val="21"/>
                      <w:u w:val="single"/>
                      <w:lang w:val="en-US" w:eastAsia="zh-CN" w:bidi="ar-SA"/>
                    </w:rPr>
                    <w:t>粉状、粒状、块状散装物料在封闭料场内装卸，装卸过程中产尘点应设置集气除尘装置：或采取有效抑尘措施。</w:t>
                  </w:r>
                </w:p>
                <w:p w14:paraId="79E5B18C">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2、物料储存</w:t>
                  </w:r>
                </w:p>
                <w:p w14:paraId="2C55B7E9">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w:t>
                  </w:r>
                  <w:r>
                    <w:rPr>
                      <w:rFonts w:hint="eastAsia" w:ascii="Times New Roman" w:hAnsi="Times New Roman" w:eastAsia="宋体" w:cs="Times New Roman"/>
                      <w:b/>
                      <w:bCs/>
                      <w:color w:val="000000"/>
                      <w:kern w:val="2"/>
                      <w:sz w:val="21"/>
                      <w:szCs w:val="21"/>
                      <w:u w:val="single"/>
                      <w:lang w:val="en-US" w:eastAsia="zh-CN" w:bidi="ar-SA"/>
                    </w:rPr>
                    <w:t>粉状物料应储存于密闭／封闭料仓中，或吨包袋（有涂布、内衬塑料袋）中；</w:t>
                  </w:r>
                </w:p>
                <w:p w14:paraId="680D3EEB">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w:t>
                  </w:r>
                  <w:r>
                    <w:rPr>
                      <w:rFonts w:hint="eastAsia" w:ascii="Times New Roman" w:hAnsi="Times New Roman" w:eastAsia="宋体" w:cs="Times New Roman"/>
                      <w:b/>
                      <w:bCs/>
                      <w:color w:val="000000"/>
                      <w:kern w:val="2"/>
                      <w:sz w:val="21"/>
                      <w:szCs w:val="21"/>
                      <w:u w:val="single"/>
                      <w:lang w:val="en-US" w:eastAsia="zh-CN" w:bidi="ar-SA"/>
                    </w:rPr>
                    <w:t>粒状、块状物料应储存于封闭料场中，并采取喷淋、清扫或其他有效抑尘措施；</w:t>
                  </w:r>
                </w:p>
                <w:p w14:paraId="0E55D2D3">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（3）</w:t>
                  </w:r>
                  <w:r>
                    <w:rPr>
                      <w:rFonts w:hint="eastAsia" w:ascii="Times New Roman" w:hAnsi="Times New Roman" w:eastAsia="宋体" w:cs="Times New Roman"/>
                      <w:b/>
                      <w:bCs/>
                      <w:color w:val="000000"/>
                      <w:kern w:val="2"/>
                      <w:sz w:val="21"/>
                      <w:szCs w:val="21"/>
                      <w:u w:val="single"/>
                      <w:lang w:val="en-US" w:eastAsia="zh-CN" w:bidi="ar-SA"/>
                    </w:rPr>
                    <w:t>袋装物料应储存于封闭／半封闭料场中；</w:t>
                  </w:r>
                </w:p>
                <w:p w14:paraId="12A470E2">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（4）</w:t>
                  </w:r>
                  <w:r>
                    <w:rPr>
                      <w:rFonts w:hint="eastAsia" w:ascii="Times New Roman" w:hAnsi="Times New Roman" w:eastAsia="宋体" w:cs="Times New Roman"/>
                      <w:b/>
                      <w:bCs/>
                      <w:color w:val="000000"/>
                      <w:kern w:val="2"/>
                      <w:sz w:val="21"/>
                      <w:szCs w:val="21"/>
                      <w:u w:val="single"/>
                      <w:lang w:val="en-US" w:eastAsia="zh-CN" w:bidi="ar-SA"/>
                    </w:rPr>
                    <w:t>封闭料场顶棚和四周围墙完整，料场内路面全部硬化；</w:t>
                  </w:r>
                </w:p>
                <w:p w14:paraId="5301806A">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（5）</w:t>
                  </w:r>
                  <w:r>
                    <w:rPr>
                      <w:rFonts w:hint="eastAsia" w:ascii="Times New Roman" w:hAnsi="Times New Roman" w:eastAsia="宋体" w:cs="Times New Roman"/>
                      <w:b/>
                      <w:bCs/>
                      <w:color w:val="000000"/>
                      <w:kern w:val="2"/>
                      <w:sz w:val="21"/>
                      <w:szCs w:val="21"/>
                      <w:u w:val="single"/>
                      <w:lang w:val="en-US" w:eastAsia="zh-CN" w:bidi="ar-SA"/>
                    </w:rPr>
                    <w:t>料场货物进出大门为硬质材料门或自动感应门，在确保安全的情况下，所有门窗保持常闭状态；</w:t>
                  </w:r>
                </w:p>
                <w:p w14:paraId="73BDA6F2">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（6）</w:t>
                  </w:r>
                  <w:r>
                    <w:rPr>
                      <w:rFonts w:hint="eastAsia" w:ascii="Times New Roman" w:hAnsi="Times New Roman" w:eastAsia="宋体" w:cs="Times New Roman"/>
                      <w:b/>
                      <w:bCs/>
                      <w:color w:val="000000"/>
                      <w:kern w:val="2"/>
                      <w:sz w:val="21"/>
                      <w:szCs w:val="21"/>
                      <w:u w:val="single"/>
                      <w:lang w:val="en-US" w:eastAsia="zh-CN" w:bidi="ar-SA"/>
                    </w:rPr>
                    <w:t>不产尘物料（如钢材、管件）及产品如露天储存应在规定的存储区域码放整齐。</w:t>
                  </w:r>
                </w:p>
                <w:p w14:paraId="4E3C1D0D">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（7）</w:t>
                  </w:r>
                  <w:r>
                    <w:rPr>
                      <w:rFonts w:hint="eastAsia" w:ascii="Times New Roman" w:hAnsi="Times New Roman" w:eastAsia="宋体" w:cs="Times New Roman"/>
                      <w:b/>
                      <w:bCs/>
                      <w:color w:val="000000"/>
                      <w:kern w:val="2"/>
                      <w:sz w:val="21"/>
                      <w:szCs w:val="21"/>
                      <w:u w:val="single"/>
                      <w:lang w:val="en-US" w:eastAsia="zh-CN" w:bidi="ar-SA"/>
                    </w:rPr>
                    <w:t>危废暂存间按照《危险废物贮存污染控制标准》(GB18597-2001)(2013年修订）的要求建设。</w:t>
                  </w:r>
                </w:p>
                <w:p w14:paraId="5057447C">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3、物料转移和输送</w:t>
                  </w:r>
                </w:p>
                <w:p w14:paraId="42D61882">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w:t>
                  </w:r>
                  <w:r>
                    <w:rPr>
                      <w:rFonts w:hint="eastAsia" w:ascii="Times New Roman" w:hAnsi="Times New Roman" w:eastAsia="宋体" w:cs="Times New Roman"/>
                      <w:b/>
                      <w:bCs/>
                      <w:color w:val="000000"/>
                      <w:kern w:val="2"/>
                      <w:sz w:val="21"/>
                      <w:szCs w:val="21"/>
                      <w:u w:val="single"/>
                      <w:lang w:val="en-US" w:eastAsia="zh-CN" w:bidi="ar-SA"/>
                    </w:rPr>
                    <w:t>各环节粉状、粒状等易产尘物料厂内转移、输送过程应采用气力输送、密闭输送；</w:t>
                  </w:r>
                </w:p>
                <w:p w14:paraId="74AE7765">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w:t>
                  </w:r>
                  <w:r>
                    <w:rPr>
                      <w:rFonts w:hint="eastAsia" w:ascii="Times New Roman" w:hAnsi="Times New Roman" w:eastAsia="宋体" w:cs="Times New Roman"/>
                      <w:b/>
                      <w:bCs/>
                      <w:color w:val="000000"/>
                      <w:kern w:val="2"/>
                      <w:sz w:val="21"/>
                      <w:szCs w:val="21"/>
                      <w:u w:val="single"/>
                      <w:lang w:val="en-US" w:eastAsia="zh-CN" w:bidi="ar-SA"/>
                    </w:rPr>
                    <w:t>各环节块状和粘湿粉状物料采用封闭输送：</w:t>
                  </w:r>
                </w:p>
                <w:p w14:paraId="27599275">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（3）</w:t>
                  </w:r>
                  <w:r>
                    <w:rPr>
                      <w:rFonts w:hint="eastAsia" w:ascii="Times New Roman" w:hAnsi="Times New Roman" w:eastAsia="宋体" w:cs="Times New Roman"/>
                      <w:b/>
                      <w:bCs/>
                      <w:color w:val="000000"/>
                      <w:kern w:val="2"/>
                      <w:sz w:val="21"/>
                      <w:szCs w:val="21"/>
                      <w:u w:val="single"/>
                      <w:lang w:val="en-US" w:eastAsia="zh-CN" w:bidi="ar-SA"/>
                    </w:rPr>
                    <w:t>无法封闭的产尘点（物料转载、下料口等）应采取集气除尘措施，或有效抑尘措施。</w:t>
                  </w:r>
                </w:p>
                <w:p w14:paraId="06931584">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4、成品包装</w:t>
                  </w:r>
                </w:p>
                <w:p w14:paraId="622FB896">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w:t>
                  </w:r>
                  <w:r>
                    <w:rPr>
                      <w:rFonts w:hint="eastAsia" w:ascii="Times New Roman" w:hAnsi="Times New Roman" w:eastAsia="宋体" w:cs="Times New Roman"/>
                      <w:b/>
                      <w:bCs/>
                      <w:color w:val="000000"/>
                      <w:kern w:val="2"/>
                      <w:sz w:val="21"/>
                      <w:szCs w:val="21"/>
                      <w:u w:val="single"/>
                      <w:lang w:val="en-US" w:eastAsia="zh-CN" w:bidi="ar-SA"/>
                    </w:rPr>
                    <w:t>卸料口应完全封闭，如不能封闭应采取局部集气除尘措施；</w:t>
                  </w:r>
                </w:p>
                <w:p w14:paraId="3E750E4C">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w:t>
                  </w:r>
                  <w:r>
                    <w:rPr>
                      <w:rFonts w:hint="eastAsia" w:ascii="Times New Roman" w:hAnsi="Times New Roman" w:eastAsia="宋体" w:cs="Times New Roman"/>
                      <w:b/>
                      <w:bCs/>
                      <w:color w:val="000000"/>
                      <w:kern w:val="2"/>
                      <w:sz w:val="21"/>
                      <w:szCs w:val="21"/>
                      <w:u w:val="single"/>
                      <w:lang w:val="en-US" w:eastAsia="zh-CN" w:bidi="ar-SA"/>
                    </w:rPr>
                    <w:t>卸料口地面应及时清扫，地面无明显积尘。</w:t>
                  </w:r>
                </w:p>
                <w:p w14:paraId="682B7A33">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5、工艺过程</w:t>
                  </w:r>
                </w:p>
                <w:p w14:paraId="56BB4468">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w:t>
                  </w:r>
                  <w:r>
                    <w:rPr>
                      <w:rFonts w:hint="eastAsia" w:ascii="Times New Roman" w:hAnsi="Times New Roman" w:eastAsia="宋体" w:cs="Times New Roman"/>
                      <w:b/>
                      <w:bCs/>
                      <w:color w:val="000000"/>
                      <w:kern w:val="2"/>
                      <w:sz w:val="21"/>
                      <w:szCs w:val="21"/>
                      <w:u w:val="single"/>
                      <w:lang w:val="en-US" w:eastAsia="zh-CN" w:bidi="ar-SA"/>
                    </w:rPr>
                    <w:t>各种物料破碎、筛分、配料、混料等过程应在封闭厂房内进行，并采取局部收尘／抑尘措施；</w:t>
                  </w:r>
                </w:p>
                <w:p w14:paraId="53B2F7F1">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w:t>
                  </w:r>
                  <w:r>
                    <w:rPr>
                      <w:rFonts w:hint="eastAsia" w:ascii="Times New Roman" w:hAnsi="Times New Roman" w:eastAsia="宋体" w:cs="Times New Roman"/>
                      <w:b/>
                      <w:bCs/>
                      <w:color w:val="000000"/>
                      <w:kern w:val="2"/>
                      <w:sz w:val="21"/>
                      <w:szCs w:val="21"/>
                      <w:u w:val="single"/>
                      <w:lang w:val="en-US" w:eastAsia="zh-CN" w:bidi="ar-SA"/>
                    </w:rPr>
                    <w:t>破碎筛分设备在进、出料口和配料混料过程等产尘点应设置集气除尘设施</w:t>
                  </w:r>
                  <w:r>
                    <w:rPr>
                      <w:rFonts w:hint="eastAsia" w:cs="Times New Roman"/>
                      <w:b/>
                      <w:bCs/>
                      <w:color w:val="000000"/>
                      <w:kern w:val="2"/>
                      <w:sz w:val="21"/>
                      <w:szCs w:val="21"/>
                      <w:u w:val="single"/>
                      <w:lang w:val="en-US" w:eastAsia="zh-CN" w:bidi="ar-SA"/>
                    </w:rPr>
                    <w:t>；</w:t>
                  </w:r>
                </w:p>
                <w:p w14:paraId="6467E298">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（3）</w:t>
                  </w:r>
                  <w:r>
                    <w:rPr>
                      <w:rFonts w:hint="eastAsia" w:ascii="Times New Roman" w:hAnsi="Times New Roman" w:eastAsia="宋体" w:cs="Times New Roman"/>
                      <w:b/>
                      <w:bCs/>
                      <w:color w:val="000000"/>
                      <w:kern w:val="2"/>
                      <w:sz w:val="21"/>
                      <w:szCs w:val="21"/>
                      <w:u w:val="single"/>
                      <w:lang w:val="en-US" w:eastAsia="zh-CN" w:bidi="ar-SA"/>
                    </w:rPr>
                    <w:t>切割、打磨、抛光等过程在封闭厂房内进行，并采取局部收尘／抑尘措施；</w:t>
                  </w:r>
                </w:p>
                <w:p w14:paraId="3EFF3188">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（4）</w:t>
                  </w:r>
                  <w:r>
                    <w:rPr>
                      <w:rFonts w:hint="eastAsia" w:ascii="Times New Roman" w:hAnsi="Times New Roman" w:eastAsia="宋体" w:cs="Times New Roman"/>
                      <w:b/>
                      <w:bCs/>
                      <w:color w:val="000000"/>
                      <w:kern w:val="2"/>
                      <w:sz w:val="21"/>
                      <w:szCs w:val="21"/>
                      <w:u w:val="single"/>
                      <w:lang w:val="en-US" w:eastAsia="zh-CN" w:bidi="ar-SA"/>
                    </w:rPr>
                    <w:t>烘干、造粒等过程应在密闭空间进行，并集气治理措施；</w:t>
                  </w:r>
                </w:p>
                <w:p w14:paraId="0591DF18">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（5）</w:t>
                  </w:r>
                  <w:r>
                    <w:rPr>
                      <w:rFonts w:hint="eastAsia" w:ascii="Times New Roman" w:hAnsi="Times New Roman" w:eastAsia="宋体" w:cs="Times New Roman"/>
                      <w:b/>
                      <w:bCs/>
                      <w:color w:val="000000"/>
                      <w:kern w:val="2"/>
                      <w:sz w:val="21"/>
                      <w:szCs w:val="21"/>
                      <w:u w:val="single"/>
                      <w:lang w:val="en-US" w:eastAsia="zh-CN" w:bidi="ar-SA"/>
                    </w:rPr>
                    <w:t>各生产工序的车间地面干净，无积料、积灰现象：</w:t>
                  </w:r>
                </w:p>
                <w:p w14:paraId="30687AD6">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(6）生产车间不得有可见烟粉尘外逸。</w:t>
                  </w:r>
                </w:p>
                <w:p w14:paraId="2FBE59A0">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6、其他</w:t>
                  </w:r>
                </w:p>
                <w:p w14:paraId="57761836">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(1）除尘器应封闭方式卸灰，不得直接卸落到地面；</w:t>
                  </w:r>
                </w:p>
                <w:p w14:paraId="4BFB944A">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(2）车间内部工作区分类清晰，地面干净无可见积尘；设备无"跑冒滴漏"，车间内部无异味；(3）企业厂区内道路、堆场等路面应硬化，保持清洁，路面无明显可见积尘；厂区内无异味。</w:t>
                  </w:r>
                </w:p>
              </w:tc>
              <w:tc>
                <w:tcPr>
                  <w:tcW w:w="2421" w:type="dxa"/>
                  <w:noWrap w:val="0"/>
                  <w:vAlign w:val="center"/>
                </w:tcPr>
                <w:p w14:paraId="728097E4">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本项目购入原料为清洗后的全钢子午胎，不产生粉尘；原材料机产品的存放均在厂房内进行；生产过程中产生的胶粉颗粒在密闭条件下运输，卸料口为半封闭，配有除尘器；</w:t>
                  </w:r>
                  <w:r>
                    <w:rPr>
                      <w:rFonts w:hint="eastAsia" w:ascii="Times New Roman" w:hAnsi="Times New Roman" w:eastAsia="宋体" w:cs="Times New Roman"/>
                      <w:b/>
                      <w:bCs/>
                      <w:color w:val="000000"/>
                      <w:kern w:val="2"/>
                      <w:sz w:val="21"/>
                      <w:szCs w:val="21"/>
                      <w:u w:val="single"/>
                      <w:lang w:val="en-US" w:eastAsia="zh-CN" w:bidi="ar-SA"/>
                    </w:rPr>
                    <w:t>所有门窗保持常闭状态；危废暂存间按照《危险废物贮存污染控制标准》(GB18597-2001)(2013年修订）的要求建设。生产车间不得有可见烟粉尘外逸。车间内部工作区分类清晰，地面干净无可见积尘；设备无"跑冒滴漏"，车间内部无异味；厂区内道路、堆场等路面应硬化，保持清洁，路面无明显可见积尘；厂区内无异味。</w:t>
                  </w:r>
                </w:p>
                <w:p w14:paraId="3D75A0DE">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p>
                <w:p w14:paraId="0E96DE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
                      <w:bCs/>
                      <w:color w:val="000000"/>
                      <w:kern w:val="2"/>
                      <w:sz w:val="21"/>
                      <w:szCs w:val="21"/>
                      <w:u w:val="single"/>
                      <w:lang w:val="en-US" w:eastAsia="zh-CN" w:bidi="ar-SA"/>
                    </w:rPr>
                  </w:pPr>
                </w:p>
              </w:tc>
              <w:tc>
                <w:tcPr>
                  <w:tcW w:w="720" w:type="dxa"/>
                  <w:noWrap w:val="0"/>
                  <w:vAlign w:val="center"/>
                </w:tcPr>
                <w:p w14:paraId="271DA8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50DE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7534" w:type="dxa"/>
                  <w:gridSpan w:val="4"/>
                  <w:noWrap w:val="0"/>
                  <w:vAlign w:val="center"/>
                </w:tcPr>
                <w:p w14:paraId="49D7F7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涉 VOCs 类</w:t>
                  </w:r>
                </w:p>
              </w:tc>
            </w:tr>
            <w:tr w14:paraId="5E52B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75" w:type="dxa"/>
                  <w:noWrap w:val="0"/>
                  <w:vAlign w:val="center"/>
                </w:tcPr>
                <w:p w14:paraId="094C9452">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 xml:space="preserve">无组织 </w:t>
                  </w:r>
                </w:p>
                <w:p w14:paraId="7CD1B87B">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管控</w:t>
                  </w:r>
                </w:p>
                <w:p w14:paraId="70D726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3418" w:type="dxa"/>
                  <w:noWrap w:val="0"/>
                  <w:vAlign w:val="center"/>
                </w:tcPr>
                <w:p w14:paraId="21783D50">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1.</w:t>
                  </w:r>
                  <w:r>
                    <w:rPr>
                      <w:rFonts w:hint="eastAsia" w:ascii="Times New Roman" w:hAnsi="Times New Roman" w:eastAsia="宋体" w:cs="Times New Roman"/>
                      <w:b/>
                      <w:bCs/>
                      <w:color w:val="000000"/>
                      <w:kern w:val="2"/>
                      <w:sz w:val="21"/>
                      <w:szCs w:val="21"/>
                      <w:u w:val="single"/>
                      <w:lang w:val="en-US" w:eastAsia="zh-CN" w:bidi="ar-SA"/>
                    </w:rPr>
                    <w:t xml:space="preserve">物料储存 </w:t>
                  </w:r>
                </w:p>
                <w:p w14:paraId="0EF89BA6">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r>
                    <w:rPr>
                      <w:rFonts w:hint="default" w:ascii="Times New Roman" w:hAnsi="Times New Roman" w:eastAsia="宋体" w:cs="Times New Roman"/>
                      <w:b/>
                      <w:bCs/>
                      <w:color w:val="000000"/>
                      <w:kern w:val="2"/>
                      <w:sz w:val="21"/>
                      <w:szCs w:val="21"/>
                      <w:u w:val="single"/>
                      <w:lang w:val="en-US" w:eastAsia="zh-CN" w:bidi="ar-SA"/>
                    </w:rPr>
                    <w:t>1</w:t>
                  </w:r>
                  <w:r>
                    <w:rPr>
                      <w:rFonts w:hint="eastAsia" w:ascii="Times New Roman" w:hAnsi="Times New Roman" w:eastAsia="宋体" w:cs="Times New Roman"/>
                      <w:b/>
                      <w:bCs/>
                      <w:color w:val="000000"/>
                      <w:kern w:val="2"/>
                      <w:sz w:val="21"/>
                      <w:szCs w:val="21"/>
                      <w:u w:val="single"/>
                      <w:lang w:val="en-US" w:eastAsia="zh-CN" w:bidi="ar-SA"/>
                    </w:rPr>
                    <w:t xml:space="preserve">）涂料、稀释剂、清洗剂等原辅材料密闭存储； </w:t>
                  </w:r>
                </w:p>
                <w:p w14:paraId="4C009D37">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r>
                    <w:rPr>
                      <w:rFonts w:hint="default" w:ascii="Times New Roman" w:hAnsi="Times New Roman" w:eastAsia="宋体" w:cs="Times New Roman"/>
                      <w:b/>
                      <w:bCs/>
                      <w:color w:val="000000"/>
                      <w:kern w:val="2"/>
                      <w:sz w:val="21"/>
                      <w:szCs w:val="21"/>
                      <w:u w:val="single"/>
                      <w:lang w:val="en-US" w:eastAsia="zh-CN" w:bidi="ar-SA"/>
                    </w:rPr>
                    <w:t>2</w:t>
                  </w:r>
                  <w:r>
                    <w:rPr>
                      <w:rFonts w:hint="eastAsia" w:ascii="Times New Roman" w:hAnsi="Times New Roman" w:eastAsia="宋体" w:cs="Times New Roman"/>
                      <w:b/>
                      <w:bCs/>
                      <w:color w:val="000000"/>
                      <w:kern w:val="2"/>
                      <w:sz w:val="21"/>
                      <w:szCs w:val="21"/>
                      <w:u w:val="single"/>
                      <w:lang w:val="en-US" w:eastAsia="zh-CN" w:bidi="ar-SA"/>
                    </w:rPr>
                    <w:t xml:space="preserve">）盛装过 </w:t>
                  </w:r>
                  <w:r>
                    <w:rPr>
                      <w:rFonts w:hint="default" w:ascii="Times New Roman" w:hAnsi="Times New Roman" w:eastAsia="宋体" w:cs="Times New Roman"/>
                      <w:b/>
                      <w:bCs/>
                      <w:color w:val="000000"/>
                      <w:kern w:val="2"/>
                      <w:sz w:val="21"/>
                      <w:szCs w:val="21"/>
                      <w:u w:val="single"/>
                      <w:lang w:val="en-US" w:eastAsia="zh-CN" w:bidi="ar-SA"/>
                    </w:rPr>
                    <w:t xml:space="preserve">VOCs </w:t>
                  </w:r>
                  <w:r>
                    <w:rPr>
                      <w:rFonts w:hint="eastAsia" w:ascii="Times New Roman" w:hAnsi="Times New Roman" w:eastAsia="宋体" w:cs="Times New Roman"/>
                      <w:b/>
                      <w:bCs/>
                      <w:color w:val="000000"/>
                      <w:kern w:val="2"/>
                      <w:sz w:val="21"/>
                      <w:szCs w:val="21"/>
                      <w:u w:val="single"/>
                      <w:lang w:val="en-US" w:eastAsia="zh-CN" w:bidi="ar-SA"/>
                    </w:rPr>
                    <w:t xml:space="preserve">物料的包装容器、含 </w:t>
                  </w:r>
                  <w:r>
                    <w:rPr>
                      <w:rFonts w:hint="default" w:ascii="Times New Roman" w:hAnsi="Times New Roman" w:eastAsia="宋体" w:cs="Times New Roman"/>
                      <w:b/>
                      <w:bCs/>
                      <w:color w:val="000000"/>
                      <w:kern w:val="2"/>
                      <w:sz w:val="21"/>
                      <w:szCs w:val="21"/>
                      <w:u w:val="single"/>
                      <w:lang w:val="en-US" w:eastAsia="zh-CN" w:bidi="ar-SA"/>
                    </w:rPr>
                    <w:t>VOCs</w:t>
                  </w:r>
                  <w:r>
                    <w:rPr>
                      <w:rFonts w:hint="eastAsia" w:ascii="Times New Roman" w:hAnsi="Times New Roman" w:eastAsia="宋体" w:cs="Times New Roman"/>
                      <w:b/>
                      <w:bCs/>
                      <w:color w:val="000000"/>
                      <w:kern w:val="2"/>
                      <w:sz w:val="21"/>
                      <w:szCs w:val="21"/>
                      <w:u w:val="single"/>
                      <w:lang w:val="en-US" w:eastAsia="zh-CN" w:bidi="ar-SA"/>
                    </w:rPr>
                    <w:t xml:space="preserve">废料（渣、液）、废吸附剂等通过加盖、封装等方式密闭储存； </w:t>
                  </w:r>
                </w:p>
                <w:p w14:paraId="2DF54C83">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r>
                    <w:rPr>
                      <w:rFonts w:hint="default" w:ascii="Times New Roman" w:hAnsi="Times New Roman" w:eastAsia="宋体" w:cs="Times New Roman"/>
                      <w:b/>
                      <w:bCs/>
                      <w:color w:val="000000"/>
                      <w:kern w:val="2"/>
                      <w:sz w:val="21"/>
                      <w:szCs w:val="21"/>
                      <w:u w:val="single"/>
                      <w:lang w:val="en-US" w:eastAsia="zh-CN" w:bidi="ar-SA"/>
                    </w:rPr>
                    <w:t>3</w:t>
                  </w:r>
                  <w:r>
                    <w:rPr>
                      <w:rFonts w:hint="eastAsia" w:ascii="Times New Roman" w:hAnsi="Times New Roman" w:eastAsia="宋体" w:cs="Times New Roman"/>
                      <w:b/>
                      <w:bCs/>
                      <w:color w:val="000000"/>
                      <w:kern w:val="2"/>
                      <w:sz w:val="21"/>
                      <w:szCs w:val="21"/>
                      <w:u w:val="single"/>
                      <w:lang w:val="en-US" w:eastAsia="zh-CN" w:bidi="ar-SA"/>
                    </w:rPr>
                    <w:t xml:space="preserve">）生产车间内涉 </w:t>
                  </w:r>
                  <w:r>
                    <w:rPr>
                      <w:rFonts w:hint="default" w:ascii="Times New Roman" w:hAnsi="Times New Roman" w:eastAsia="宋体" w:cs="Times New Roman"/>
                      <w:b/>
                      <w:bCs/>
                      <w:color w:val="000000"/>
                      <w:kern w:val="2"/>
                      <w:sz w:val="21"/>
                      <w:szCs w:val="21"/>
                      <w:u w:val="single"/>
                      <w:lang w:val="en-US" w:eastAsia="zh-CN" w:bidi="ar-SA"/>
                    </w:rPr>
                    <w:t xml:space="preserve">VOCs </w:t>
                  </w:r>
                  <w:r>
                    <w:rPr>
                      <w:rFonts w:hint="eastAsia" w:ascii="Times New Roman" w:hAnsi="Times New Roman" w:eastAsia="宋体" w:cs="Times New Roman"/>
                      <w:b/>
                      <w:bCs/>
                      <w:color w:val="000000"/>
                      <w:kern w:val="2"/>
                      <w:sz w:val="21"/>
                      <w:szCs w:val="21"/>
                      <w:u w:val="single"/>
                      <w:lang w:val="en-US" w:eastAsia="zh-CN" w:bidi="ar-SA"/>
                    </w:rPr>
                    <w:t xml:space="preserve">物料应密闭储存； </w:t>
                  </w:r>
                </w:p>
                <w:p w14:paraId="0E9D3BA3">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r>
                    <w:rPr>
                      <w:rFonts w:hint="default" w:ascii="Times New Roman" w:hAnsi="Times New Roman" w:eastAsia="宋体" w:cs="Times New Roman"/>
                      <w:b/>
                      <w:bCs/>
                      <w:color w:val="000000"/>
                      <w:kern w:val="2"/>
                      <w:sz w:val="21"/>
                      <w:szCs w:val="21"/>
                      <w:u w:val="single"/>
                      <w:lang w:val="en-US" w:eastAsia="zh-CN" w:bidi="ar-SA"/>
                    </w:rPr>
                    <w:t>4</w:t>
                  </w:r>
                  <w:r>
                    <w:rPr>
                      <w:rFonts w:hint="eastAsia" w:ascii="Times New Roman" w:hAnsi="Times New Roman" w:eastAsia="宋体" w:cs="Times New Roman"/>
                      <w:b/>
                      <w:bCs/>
                      <w:color w:val="000000"/>
                      <w:kern w:val="2"/>
                      <w:sz w:val="21"/>
                      <w:szCs w:val="21"/>
                      <w:u w:val="single"/>
                      <w:lang w:val="en-US" w:eastAsia="zh-CN" w:bidi="ar-SA"/>
                    </w:rPr>
                    <w:t xml:space="preserve">）盛放挥发性有机液体的中间缓存容器（中间罐、储槽、高位槽）等采用密闭集气治理； </w:t>
                  </w:r>
                </w:p>
                <w:p w14:paraId="49566B9C">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r>
                    <w:rPr>
                      <w:rFonts w:hint="default" w:ascii="Times New Roman" w:hAnsi="Times New Roman" w:eastAsia="宋体" w:cs="Times New Roman"/>
                      <w:b/>
                      <w:bCs/>
                      <w:color w:val="000000"/>
                      <w:kern w:val="2"/>
                      <w:sz w:val="21"/>
                      <w:szCs w:val="21"/>
                      <w:u w:val="single"/>
                      <w:lang w:val="en-US" w:eastAsia="zh-CN" w:bidi="ar-SA"/>
                    </w:rPr>
                    <w:t>5</w:t>
                  </w:r>
                  <w:r>
                    <w:rPr>
                      <w:rFonts w:hint="eastAsia" w:ascii="Times New Roman" w:hAnsi="Times New Roman" w:eastAsia="宋体" w:cs="Times New Roman"/>
                      <w:b/>
                      <w:bCs/>
                      <w:color w:val="000000"/>
                      <w:kern w:val="2"/>
                      <w:sz w:val="21"/>
                      <w:szCs w:val="21"/>
                      <w:u w:val="single"/>
                      <w:lang w:val="en-US" w:eastAsia="zh-CN" w:bidi="ar-SA"/>
                    </w:rPr>
                    <w:t>）挥发性有机物储罐，管控参考《挥发性有机物无组织排放控制标准》（</w:t>
                  </w:r>
                  <w:r>
                    <w:rPr>
                      <w:rFonts w:hint="default" w:ascii="Times New Roman" w:hAnsi="Times New Roman" w:eastAsia="宋体" w:cs="Times New Roman"/>
                      <w:b/>
                      <w:bCs/>
                      <w:color w:val="000000"/>
                      <w:kern w:val="2"/>
                      <w:sz w:val="21"/>
                      <w:szCs w:val="21"/>
                      <w:u w:val="single"/>
                      <w:lang w:val="en-US" w:eastAsia="zh-CN" w:bidi="ar-SA"/>
                    </w:rPr>
                    <w:t>GB37822-2019</w:t>
                  </w:r>
                  <w:r>
                    <w:rPr>
                      <w:rFonts w:hint="eastAsia" w:ascii="Times New Roman" w:hAnsi="Times New Roman" w:eastAsia="宋体" w:cs="Times New Roman"/>
                      <w:b/>
                      <w:bCs/>
                      <w:color w:val="000000"/>
                      <w:kern w:val="2"/>
                      <w:sz w:val="21"/>
                      <w:szCs w:val="21"/>
                      <w:u w:val="single"/>
                      <w:lang w:val="en-US" w:eastAsia="zh-CN" w:bidi="ar-SA"/>
                    </w:rPr>
                    <w:t xml:space="preserve">）储罐特别控制要求。 </w:t>
                  </w:r>
                </w:p>
                <w:p w14:paraId="324EE3DE">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r>
                    <w:rPr>
                      <w:rFonts w:hint="default" w:ascii="Times New Roman" w:hAnsi="Times New Roman" w:eastAsia="宋体" w:cs="Times New Roman"/>
                      <w:b/>
                      <w:bCs/>
                      <w:color w:val="000000"/>
                      <w:kern w:val="2"/>
                      <w:sz w:val="21"/>
                      <w:szCs w:val="21"/>
                      <w:u w:val="single"/>
                      <w:lang w:val="en-US" w:eastAsia="zh-CN" w:bidi="ar-SA"/>
                    </w:rPr>
                    <w:t>6</w:t>
                  </w:r>
                  <w:r>
                    <w:rPr>
                      <w:rFonts w:hint="eastAsia" w:ascii="Times New Roman" w:hAnsi="Times New Roman" w:eastAsia="宋体" w:cs="Times New Roman"/>
                      <w:b/>
                      <w:bCs/>
                      <w:color w:val="000000"/>
                      <w:kern w:val="2"/>
                      <w:sz w:val="21"/>
                      <w:szCs w:val="21"/>
                      <w:u w:val="single"/>
                      <w:lang w:val="en-US" w:eastAsia="zh-CN" w:bidi="ar-SA"/>
                    </w:rPr>
                    <w:t>）危废暂存间按照《危险废物贮存污染控制标准》（</w:t>
                  </w:r>
                  <w:r>
                    <w:rPr>
                      <w:rFonts w:hint="default" w:ascii="Times New Roman" w:hAnsi="Times New Roman" w:eastAsia="宋体" w:cs="Times New Roman"/>
                      <w:b/>
                      <w:bCs/>
                      <w:color w:val="000000"/>
                      <w:kern w:val="2"/>
                      <w:sz w:val="21"/>
                      <w:szCs w:val="21"/>
                      <w:u w:val="single"/>
                      <w:lang w:val="en-US" w:eastAsia="zh-CN" w:bidi="ar-SA"/>
                    </w:rPr>
                    <w:t>GB18597-2001</w:t>
                  </w:r>
                  <w:r>
                    <w:rPr>
                      <w:rFonts w:hint="eastAsia" w:ascii="Times New Roman" w:hAnsi="Times New Roman" w:eastAsia="宋体" w:cs="Times New Roman"/>
                      <w:b/>
                      <w:bCs/>
                      <w:color w:val="000000"/>
                      <w:kern w:val="2"/>
                      <w:sz w:val="21"/>
                      <w:szCs w:val="21"/>
                      <w:u w:val="single"/>
                      <w:lang w:val="en-US" w:eastAsia="zh-CN" w:bidi="ar-SA"/>
                    </w:rPr>
                    <w:t>）（</w:t>
                  </w:r>
                  <w:r>
                    <w:rPr>
                      <w:rFonts w:hint="default" w:ascii="Times New Roman" w:hAnsi="Times New Roman" w:eastAsia="宋体" w:cs="Times New Roman"/>
                      <w:b/>
                      <w:bCs/>
                      <w:color w:val="000000"/>
                      <w:kern w:val="2"/>
                      <w:sz w:val="21"/>
                      <w:szCs w:val="21"/>
                      <w:u w:val="single"/>
                      <w:lang w:val="en-US" w:eastAsia="zh-CN" w:bidi="ar-SA"/>
                    </w:rPr>
                    <w:t xml:space="preserve">2013 </w:t>
                  </w:r>
                  <w:r>
                    <w:rPr>
                      <w:rFonts w:hint="eastAsia" w:ascii="Times New Roman" w:hAnsi="Times New Roman" w:eastAsia="宋体" w:cs="Times New Roman"/>
                      <w:b/>
                      <w:bCs/>
                      <w:color w:val="000000"/>
                      <w:kern w:val="2"/>
                      <w:sz w:val="21"/>
                      <w:szCs w:val="21"/>
                      <w:u w:val="single"/>
                      <w:lang w:val="en-US" w:eastAsia="zh-CN" w:bidi="ar-SA"/>
                    </w:rPr>
                    <w:t>年修订）的要求建设。</w:t>
                  </w:r>
                </w:p>
              </w:tc>
              <w:tc>
                <w:tcPr>
                  <w:tcW w:w="2421" w:type="dxa"/>
                  <w:noWrap w:val="0"/>
                  <w:vAlign w:val="center"/>
                </w:tcPr>
                <w:p w14:paraId="191926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本项目不涉及</w:t>
                  </w:r>
                  <w:r>
                    <w:rPr>
                      <w:rFonts w:hint="default" w:ascii="Times New Roman" w:hAnsi="Times New Roman" w:eastAsia="宋体" w:cs="Times New Roman"/>
                      <w:b/>
                      <w:bCs/>
                      <w:color w:val="000000"/>
                      <w:kern w:val="2"/>
                      <w:sz w:val="21"/>
                      <w:szCs w:val="21"/>
                      <w:u w:val="single"/>
                      <w:lang w:val="en-US" w:eastAsia="zh-CN" w:bidi="ar-SA"/>
                    </w:rPr>
                    <w:t xml:space="preserve">VOCs </w:t>
                  </w:r>
                  <w:r>
                    <w:rPr>
                      <w:rFonts w:hint="eastAsia" w:ascii="Times New Roman" w:hAnsi="Times New Roman" w:eastAsia="宋体" w:cs="Times New Roman"/>
                      <w:b/>
                      <w:bCs/>
                      <w:color w:val="000000"/>
                      <w:kern w:val="2"/>
                      <w:sz w:val="21"/>
                      <w:szCs w:val="21"/>
                      <w:u w:val="single"/>
                      <w:lang w:val="en-US" w:eastAsia="zh-CN" w:bidi="ar-SA"/>
                    </w:rPr>
                    <w:t>原料物料储存</w:t>
                  </w:r>
                  <w:r>
                    <w:rPr>
                      <w:rFonts w:hint="eastAsia" w:cs="Times New Roman"/>
                      <w:b/>
                      <w:bCs/>
                      <w:color w:val="000000"/>
                      <w:kern w:val="2"/>
                      <w:sz w:val="21"/>
                      <w:szCs w:val="21"/>
                      <w:u w:val="single"/>
                      <w:lang w:val="en-US" w:eastAsia="zh-CN" w:bidi="ar-SA"/>
                    </w:rPr>
                    <w:t>。</w:t>
                  </w:r>
                </w:p>
              </w:tc>
              <w:tc>
                <w:tcPr>
                  <w:tcW w:w="720" w:type="dxa"/>
                  <w:noWrap w:val="0"/>
                  <w:vAlign w:val="center"/>
                </w:tcPr>
                <w:p w14:paraId="0E032A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2517C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75" w:type="dxa"/>
                  <w:noWrap w:val="0"/>
                  <w:vAlign w:val="center"/>
                </w:tcPr>
                <w:p w14:paraId="07B8B3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污染治理技术</w:t>
                  </w:r>
                </w:p>
              </w:tc>
              <w:tc>
                <w:tcPr>
                  <w:tcW w:w="3418" w:type="dxa"/>
                  <w:noWrap w:val="0"/>
                  <w:vAlign w:val="center"/>
                </w:tcPr>
                <w:p w14:paraId="7B2DC560">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 PM 治理采用袋式除尘、静电除尘、湿电除尘等；2、 VOCs 治理采用吸附、 UV 光氧、吸收等两种及以上组合工艺：满足《挥发性有机物无组织排放控制标准》的最严要求：</w:t>
                  </w:r>
                </w:p>
                <w:p w14:paraId="5CF77CA3">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3、异味气体采用吸附、 UV 光氧、吸收等两种及两种以上组合工艺；</w:t>
                  </w:r>
                </w:p>
                <w:p w14:paraId="75C73BEE">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4、其他污染物采用合理工艺进行治理；</w:t>
                  </w:r>
                </w:p>
              </w:tc>
              <w:tc>
                <w:tcPr>
                  <w:tcW w:w="2421" w:type="dxa"/>
                  <w:noWrap w:val="0"/>
                  <w:vAlign w:val="center"/>
                </w:tcPr>
                <w:p w14:paraId="24FBBF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本项目废气主要为颗粒物</w:t>
                  </w:r>
                  <w:r>
                    <w:rPr>
                      <w:rFonts w:hint="eastAsia" w:cs="Times New Roman"/>
                      <w:b/>
                      <w:bCs/>
                      <w:color w:val="000000"/>
                      <w:kern w:val="2"/>
                      <w:sz w:val="21"/>
                      <w:szCs w:val="21"/>
                      <w:highlight w:val="none"/>
                      <w:u w:val="single"/>
                      <w:lang w:val="en-US" w:eastAsia="zh-CN" w:bidi="ar-SA"/>
                    </w:rPr>
                    <w:t>及少量异味气体，废气经</w:t>
                  </w:r>
                  <w:r>
                    <w:rPr>
                      <w:rFonts w:hint="default" w:ascii="Times New Roman" w:hAnsi="Times New Roman" w:eastAsia="宋体" w:cs="Times New Roman"/>
                      <w:b/>
                      <w:bCs/>
                      <w:color w:val="000000"/>
                      <w:kern w:val="2"/>
                      <w:sz w:val="21"/>
                      <w:szCs w:val="21"/>
                      <w:highlight w:val="none"/>
                      <w:u w:val="single"/>
                      <w:lang w:val="en-US" w:eastAsia="zh-CN" w:bidi="ar-SA"/>
                    </w:rPr>
                    <w:t>集气罩+袋式除尘器+二级活性炭吸附装</w:t>
                  </w:r>
                  <w:r>
                    <w:rPr>
                      <w:rFonts w:hint="default" w:ascii="Times New Roman" w:hAnsi="Times New Roman" w:eastAsia="宋体" w:cs="Times New Roman"/>
                      <w:b/>
                      <w:bCs/>
                      <w:color w:val="000000"/>
                      <w:kern w:val="2"/>
                      <w:sz w:val="21"/>
                      <w:szCs w:val="21"/>
                      <w:u w:val="single"/>
                      <w:lang w:val="en-US" w:eastAsia="zh-CN" w:bidi="ar-SA"/>
                    </w:rPr>
                    <w:t>置</w:t>
                  </w:r>
                  <w:r>
                    <w:rPr>
                      <w:rFonts w:hint="eastAsia" w:cs="Times New Roman"/>
                      <w:b/>
                      <w:bCs/>
                      <w:color w:val="000000"/>
                      <w:kern w:val="2"/>
                      <w:sz w:val="21"/>
                      <w:szCs w:val="21"/>
                      <w:u w:val="single"/>
                      <w:lang w:val="en-US" w:eastAsia="zh-CN" w:bidi="ar-SA"/>
                    </w:rPr>
                    <w:t>处理后经15m排气筒排出。</w:t>
                  </w:r>
                </w:p>
              </w:tc>
              <w:tc>
                <w:tcPr>
                  <w:tcW w:w="720" w:type="dxa"/>
                  <w:noWrap w:val="0"/>
                  <w:vAlign w:val="center"/>
                </w:tcPr>
                <w:p w14:paraId="102B70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2994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75" w:type="dxa"/>
                  <w:noWrap w:val="0"/>
                  <w:vAlign w:val="center"/>
                </w:tcPr>
                <w:p w14:paraId="11A3D2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工业废水集输处理系统</w:t>
                  </w:r>
                </w:p>
              </w:tc>
              <w:tc>
                <w:tcPr>
                  <w:tcW w:w="3418" w:type="dxa"/>
                  <w:noWrap w:val="0"/>
                  <w:vAlign w:val="center"/>
                </w:tcPr>
                <w:p w14:paraId="6E6A92C7">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1、含 VOCs 或恶臭物质的废水集输系统采用封闭管道输送：</w:t>
                  </w:r>
                </w:p>
                <w:p w14:paraId="509CF398">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2、废水储存、处理设施产生的恶臭气体，在曝气池之前加盖密闭或采取其他等效措施，密闭排气至废气治理设施；</w:t>
                  </w:r>
                </w:p>
                <w:p w14:paraId="1423ADE8">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3、污水站废气废气治理采用低温等离子、光催化氧化、活性炭、洗涤塔等两种及两种以上组合工艺；4、厂区内无露天堆放污泥，污水站附近无异味；</w:t>
                  </w:r>
                </w:p>
              </w:tc>
              <w:tc>
                <w:tcPr>
                  <w:tcW w:w="2421" w:type="dxa"/>
                  <w:noWrap w:val="0"/>
                  <w:vAlign w:val="center"/>
                </w:tcPr>
                <w:p w14:paraId="7CDC44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本项目不涉及。</w:t>
                  </w:r>
                </w:p>
              </w:tc>
              <w:tc>
                <w:tcPr>
                  <w:tcW w:w="720" w:type="dxa"/>
                  <w:noWrap w:val="0"/>
                  <w:vAlign w:val="center"/>
                </w:tcPr>
                <w:p w14:paraId="21E657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79551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75" w:type="dxa"/>
                  <w:noWrap w:val="0"/>
                  <w:vAlign w:val="center"/>
                </w:tcPr>
                <w:p w14:paraId="048D7E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排放限值</w:t>
                  </w:r>
                </w:p>
              </w:tc>
              <w:tc>
                <w:tcPr>
                  <w:tcW w:w="3418" w:type="dxa"/>
                  <w:noWrap w:val="0"/>
                  <w:vAlign w:val="center"/>
                </w:tcPr>
                <w:p w14:paraId="30F2834D">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1、全厂有组织 PM 有组织排放浓度限值≤10mg/ m</w:t>
                  </w:r>
                  <w:r>
                    <w:rPr>
                      <w:rFonts w:hint="eastAsia" w:cs="Times New Roman"/>
                      <w:b/>
                      <w:bCs/>
                      <w:color w:val="000000"/>
                      <w:kern w:val="2"/>
                      <w:sz w:val="21"/>
                      <w:szCs w:val="21"/>
                      <w:u w:val="single"/>
                      <w:vertAlign w:val="superscript"/>
                      <w:lang w:val="en-US" w:eastAsia="zh-CN" w:bidi="ar-SA"/>
                    </w:rPr>
                    <w:t>2</w:t>
                  </w:r>
                </w:p>
                <w:p w14:paraId="71C8E985">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 NMHC 有组织排放限值≤</w:t>
                  </w:r>
                  <w:r>
                    <w:rPr>
                      <w:rFonts w:hint="eastAsia" w:cs="Times New Roman"/>
                      <w:b/>
                      <w:bCs/>
                      <w:color w:val="000000"/>
                      <w:kern w:val="2"/>
                      <w:sz w:val="21"/>
                      <w:szCs w:val="21"/>
                      <w:u w:val="single"/>
                      <w:lang w:val="en-US" w:eastAsia="zh-CN" w:bidi="ar-SA"/>
                    </w:rPr>
                    <w:t>4</w:t>
                  </w:r>
                  <w:r>
                    <w:rPr>
                      <w:rFonts w:hint="eastAsia" w:ascii="Times New Roman" w:hAnsi="Times New Roman" w:eastAsia="宋体" w:cs="Times New Roman"/>
                      <w:b/>
                      <w:bCs/>
                      <w:color w:val="000000"/>
                      <w:kern w:val="2"/>
                      <w:sz w:val="21"/>
                      <w:szCs w:val="21"/>
                      <w:u w:val="single"/>
                      <w:lang w:val="en-US" w:eastAsia="zh-CN" w:bidi="ar-SA"/>
                    </w:rPr>
                    <w:t>0mg/m</w:t>
                  </w:r>
                  <w:r>
                    <w:rPr>
                      <w:rFonts w:hint="eastAsia" w:ascii="Times New Roman" w:hAnsi="Times New Roman" w:eastAsia="宋体" w:cs="Times New Roman"/>
                      <w:b/>
                      <w:bCs/>
                      <w:color w:val="000000"/>
                      <w:kern w:val="2"/>
                      <w:sz w:val="21"/>
                      <w:szCs w:val="21"/>
                      <w:u w:val="single"/>
                      <w:vertAlign w:val="superscript"/>
                      <w:lang w:val="en-US" w:eastAsia="zh-CN" w:bidi="ar-SA"/>
                    </w:rPr>
                    <w:t>2</w:t>
                  </w:r>
                  <w:r>
                    <w:rPr>
                      <w:rFonts w:hint="eastAsia" w:ascii="Times New Roman" w:hAnsi="Times New Roman" w:eastAsia="宋体" w:cs="Times New Roman"/>
                      <w:b/>
                      <w:bCs/>
                      <w:color w:val="000000"/>
                      <w:kern w:val="2"/>
                      <w:sz w:val="21"/>
                      <w:szCs w:val="21"/>
                      <w:u w:val="single"/>
                      <w:lang w:val="en-US" w:eastAsia="zh-CN" w:bidi="ar-SA"/>
                    </w:rPr>
                    <w:t>:</w:t>
                  </w:r>
                </w:p>
                <w:p w14:paraId="4C71D76E">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3、臭气浓度限值≤</w:t>
                  </w:r>
                  <w:r>
                    <w:rPr>
                      <w:rFonts w:hint="eastAsia" w:cs="Times New Roman"/>
                      <w:b/>
                      <w:bCs/>
                      <w:color w:val="000000"/>
                      <w:kern w:val="2"/>
                      <w:sz w:val="21"/>
                      <w:szCs w:val="21"/>
                      <w:u w:val="single"/>
                      <w:lang w:val="en-US" w:eastAsia="zh-CN" w:bidi="ar-SA"/>
                    </w:rPr>
                    <w:t>2</w:t>
                  </w:r>
                  <w:r>
                    <w:rPr>
                      <w:rFonts w:hint="eastAsia" w:ascii="Times New Roman" w:hAnsi="Times New Roman" w:eastAsia="宋体" w:cs="Times New Roman"/>
                      <w:b/>
                      <w:bCs/>
                      <w:color w:val="000000"/>
                      <w:kern w:val="2"/>
                      <w:sz w:val="21"/>
                      <w:szCs w:val="21"/>
                      <w:u w:val="single"/>
                      <w:lang w:val="en-US" w:eastAsia="zh-CN" w:bidi="ar-SA"/>
                    </w:rPr>
                    <w:t>000:</w:t>
                  </w:r>
                </w:p>
                <w:p w14:paraId="5B783578">
                  <w:pPr>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4、其他污染物浓度满足河南省排放标准：若省级无对应标准的，参考国标排放限值的</w:t>
                  </w:r>
                  <w:r>
                    <w:rPr>
                      <w:rFonts w:hint="eastAsia" w:cs="Times New Roman"/>
                      <w:b/>
                      <w:bCs/>
                      <w:color w:val="000000"/>
                      <w:kern w:val="2"/>
                      <w:sz w:val="21"/>
                      <w:szCs w:val="21"/>
                      <w:u w:val="single"/>
                      <w:lang w:val="en-US" w:eastAsia="zh-CN" w:bidi="ar-SA"/>
                    </w:rPr>
                    <w:t>8</w:t>
                  </w:r>
                  <w:r>
                    <w:rPr>
                      <w:rFonts w:hint="eastAsia" w:ascii="Times New Roman" w:hAnsi="Times New Roman" w:eastAsia="宋体" w:cs="Times New Roman"/>
                      <w:b/>
                      <w:bCs/>
                      <w:color w:val="000000"/>
                      <w:kern w:val="2"/>
                      <w:sz w:val="21"/>
                      <w:szCs w:val="21"/>
                      <w:u w:val="single"/>
                      <w:lang w:val="en-US" w:eastAsia="zh-CN" w:bidi="ar-SA"/>
                    </w:rPr>
                    <w:t>0%。</w:t>
                  </w:r>
                </w:p>
              </w:tc>
              <w:tc>
                <w:tcPr>
                  <w:tcW w:w="2421" w:type="dxa"/>
                  <w:noWrap w:val="0"/>
                  <w:vAlign w:val="center"/>
                </w:tcPr>
                <w:p w14:paraId="0FD1F7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本项目污染物排放浓度满足限值要求</w:t>
                  </w:r>
                  <w:r>
                    <w:rPr>
                      <w:rFonts w:hint="eastAsia" w:cs="Times New Roman"/>
                      <w:b/>
                      <w:bCs/>
                      <w:color w:val="000000"/>
                      <w:kern w:val="2"/>
                      <w:sz w:val="21"/>
                      <w:szCs w:val="21"/>
                      <w:u w:val="single"/>
                      <w:lang w:val="en-US" w:eastAsia="zh-CN" w:bidi="ar-SA"/>
                    </w:rPr>
                    <w:t>。</w:t>
                  </w:r>
                </w:p>
              </w:tc>
              <w:tc>
                <w:tcPr>
                  <w:tcW w:w="720" w:type="dxa"/>
                  <w:noWrap w:val="0"/>
                  <w:vAlign w:val="center"/>
                </w:tcPr>
                <w:p w14:paraId="699AB8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15EF5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75" w:type="dxa"/>
                  <w:noWrap w:val="0"/>
                  <w:vAlign w:val="center"/>
                </w:tcPr>
                <w:p w14:paraId="6E1071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监测监</w:t>
                  </w:r>
                </w:p>
                <w:p w14:paraId="16A38D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控水平</w:t>
                  </w:r>
                </w:p>
              </w:tc>
              <w:tc>
                <w:tcPr>
                  <w:tcW w:w="3418" w:type="dxa"/>
                  <w:noWrap w:val="0"/>
                  <w:vAlign w:val="center"/>
                </w:tcPr>
                <w:p w14:paraId="7B9EC4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1.有组织排口至少半年开展一次自行监测；</w:t>
                  </w:r>
                </w:p>
                <w:p w14:paraId="165538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2.提供排污口列表（排污口编号、排放口类型、风量、特征污染、监测频次、在线监测或手工监测）；</w:t>
                  </w:r>
                </w:p>
                <w:p w14:paraId="6B0824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3.涉气生产线、生产工序、生产装置及污染治理设施安装有用电监管设备，用电监管设备与省、市生态环境部门用电监管平台联网；</w:t>
                  </w:r>
                </w:p>
                <w:p w14:paraId="6DF971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4.涉粉尘类破碎、投料、成品包装等主要工序安装摄像头监控生产状态，数据保存 6 个月以上；</w:t>
                  </w:r>
                </w:p>
                <w:p w14:paraId="371D8A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5.涉 VOCs 类储存、主要反应过程、包装等主要工序安装摄像头监控生产状态，数据保存 6个月以上；</w:t>
                  </w:r>
                </w:p>
                <w:p w14:paraId="268565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6.涉及其他类的卸车、关键生产工序、包装等主要工序安装摄像头监控生产状态，数据保存6 个月以上。</w:t>
                  </w:r>
                </w:p>
              </w:tc>
              <w:tc>
                <w:tcPr>
                  <w:tcW w:w="2421" w:type="dxa"/>
                  <w:noWrap w:val="0"/>
                  <w:vAlign w:val="center"/>
                </w:tcPr>
                <w:p w14:paraId="2E4C3E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1.本项目按照排污许可规范要求制定监测计划</w:t>
                  </w:r>
                  <w:r>
                    <w:rPr>
                      <w:rFonts w:hint="eastAsia" w:cs="Times New Roman"/>
                      <w:b/>
                      <w:bCs/>
                      <w:color w:val="000000"/>
                      <w:kern w:val="2"/>
                      <w:sz w:val="21"/>
                      <w:szCs w:val="21"/>
                      <w:u w:val="single"/>
                      <w:lang w:val="en-US" w:eastAsia="zh-CN" w:bidi="ar-SA"/>
                    </w:rPr>
                    <w:t>；</w:t>
                  </w:r>
                </w:p>
                <w:p w14:paraId="680E3D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2. 涉气生产工序、生产装置及污染治理 设施按生态环境部门要求安装用电监管设备</w:t>
                  </w:r>
                  <w:r>
                    <w:rPr>
                      <w:rFonts w:hint="eastAsia" w:cs="Times New Roman"/>
                      <w:b/>
                      <w:bCs/>
                      <w:color w:val="000000"/>
                      <w:kern w:val="2"/>
                      <w:sz w:val="21"/>
                      <w:szCs w:val="21"/>
                      <w:u w:val="single"/>
                      <w:lang w:val="en-US" w:eastAsia="zh-CN" w:bidi="ar-SA"/>
                    </w:rPr>
                    <w:t>；</w:t>
                  </w:r>
                </w:p>
                <w:p w14:paraId="6C8154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3.厂区安装高清视频监控系统，数据可保存六个月以上。</w:t>
                  </w:r>
                </w:p>
              </w:tc>
              <w:tc>
                <w:tcPr>
                  <w:tcW w:w="720" w:type="dxa"/>
                  <w:noWrap w:val="0"/>
                  <w:vAlign w:val="center"/>
                </w:tcPr>
                <w:p w14:paraId="721B0D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4178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center"/>
                </w:tcPr>
                <w:p w14:paraId="506BC20A">
                  <w:pPr>
                    <w:keepNext w:val="0"/>
                    <w:keepLines w:val="0"/>
                    <w:widowControl/>
                    <w:suppressLineNumbers w:val="0"/>
                    <w:jc w:val="left"/>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环境管</w:t>
                  </w:r>
                </w:p>
                <w:p w14:paraId="182F6EB5">
                  <w:pPr>
                    <w:keepNext w:val="0"/>
                    <w:keepLines w:val="0"/>
                    <w:widowControl/>
                    <w:suppressLineNumbers w:val="0"/>
                    <w:jc w:val="left"/>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理水平</w:t>
                  </w:r>
                </w:p>
              </w:tc>
              <w:tc>
                <w:tcPr>
                  <w:tcW w:w="3418" w:type="dxa"/>
                  <w:noWrap w:val="0"/>
                  <w:vAlign w:val="center"/>
                </w:tcPr>
                <w:p w14:paraId="0E6D3F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1、环保档案：①环评批复文件或环境现状评估备案证明；②排污许可证；③竣工环保验收文件；④一年内废气监测报告；</w:t>
                  </w:r>
                </w:p>
                <w:p w14:paraId="71BD61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2、台账记录：①生产设施运行管理信息（生产时间、运行负荷、产品产量等）；②废气污染治理设施运行管理信息；③监测记录信息</w:t>
                  </w:r>
                </w:p>
                <w:p w14:paraId="446BDD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（主要污染排放口废气排放记录等）；④主要原辅材料消耗记录；</w:t>
                  </w:r>
                </w:p>
                <w:p w14:paraId="0AB7B8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3、人员配置：配备专（兼）职环保人员，并具备相应的环境管理能力。</w:t>
                  </w:r>
                </w:p>
              </w:tc>
              <w:tc>
                <w:tcPr>
                  <w:tcW w:w="2421" w:type="dxa"/>
                  <w:noWrap w:val="0"/>
                  <w:vAlign w:val="center"/>
                </w:tcPr>
                <w:p w14:paraId="30BF4B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项目运营后配备环保人员，负责环保档案、环境管理、危废等台账记录等</w:t>
                  </w:r>
                  <w:r>
                    <w:rPr>
                      <w:rFonts w:hint="eastAsia" w:cs="Times New Roman"/>
                      <w:b/>
                      <w:bCs/>
                      <w:color w:val="000000"/>
                      <w:kern w:val="2"/>
                      <w:sz w:val="21"/>
                      <w:szCs w:val="21"/>
                      <w:u w:val="single"/>
                      <w:lang w:val="en-US" w:eastAsia="zh-CN" w:bidi="ar-SA"/>
                    </w:rPr>
                    <w:t>。</w:t>
                  </w:r>
                </w:p>
              </w:tc>
              <w:tc>
                <w:tcPr>
                  <w:tcW w:w="720" w:type="dxa"/>
                  <w:noWrap w:val="0"/>
                  <w:vAlign w:val="center"/>
                </w:tcPr>
                <w:p w14:paraId="7C6D84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7100D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center"/>
                </w:tcPr>
                <w:p w14:paraId="0D877C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运输方</w:t>
                  </w:r>
                </w:p>
                <w:p w14:paraId="71069C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式</w:t>
                  </w:r>
                </w:p>
              </w:tc>
              <w:tc>
                <w:tcPr>
                  <w:tcW w:w="3418" w:type="dxa"/>
                  <w:noWrap w:val="0"/>
                  <w:vAlign w:val="center"/>
                </w:tcPr>
                <w:p w14:paraId="443686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1.公路运输使用国五及以上排放标准的重型载货车辆（含燃气）或新能源车辆比例不低于50%，其他车辆达到国四排放标准（不含燃气</w:t>
                  </w:r>
                </w:p>
                <w:p w14:paraId="6EDA7E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车辆）；</w:t>
                  </w:r>
                </w:p>
                <w:p w14:paraId="754FA4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2.厂区运输车辆达到国五及以上排放标准（含燃气）或使用新能源车辆比例不低于 50%，其他车辆达到国四排放标准（不含燃气车辆）；</w:t>
                  </w:r>
                </w:p>
                <w:p w14:paraId="3FB9CE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3.厂内非道路移动机械达到国三及以上标准或使用新能源机械不低于 50%。</w:t>
                  </w:r>
                </w:p>
              </w:tc>
              <w:tc>
                <w:tcPr>
                  <w:tcW w:w="2421" w:type="dxa"/>
                  <w:noWrap w:val="0"/>
                  <w:vAlign w:val="center"/>
                </w:tcPr>
                <w:p w14:paraId="392CDE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项目日均进出货物超过150吨 ，需要按照《重污染天气重点行业移动源应急管理技术指南》建立门禁视频监控系</w:t>
                  </w:r>
                </w:p>
                <w:p w14:paraId="291E53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统和电子台账</w:t>
                  </w:r>
                  <w:r>
                    <w:rPr>
                      <w:rFonts w:hint="eastAsia" w:cs="Times New Roman"/>
                      <w:b/>
                      <w:bCs/>
                      <w:color w:val="000000"/>
                      <w:kern w:val="2"/>
                      <w:sz w:val="21"/>
                      <w:szCs w:val="21"/>
                      <w:u w:val="single"/>
                      <w:lang w:val="en-US" w:eastAsia="zh-CN" w:bidi="ar-SA"/>
                    </w:rPr>
                    <w:t>。运输车辆达到国五及以上排放标准（含燃气）。</w:t>
                  </w:r>
                </w:p>
              </w:tc>
              <w:tc>
                <w:tcPr>
                  <w:tcW w:w="720" w:type="dxa"/>
                  <w:noWrap w:val="0"/>
                  <w:vAlign w:val="center"/>
                </w:tcPr>
                <w:p w14:paraId="222CAE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r w14:paraId="229F3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5" w:type="dxa"/>
                  <w:noWrap w:val="0"/>
                  <w:vAlign w:val="center"/>
                </w:tcPr>
                <w:p w14:paraId="7FEBE4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运输监</w:t>
                  </w:r>
                </w:p>
                <w:p w14:paraId="4575AA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管</w:t>
                  </w:r>
                </w:p>
              </w:tc>
              <w:tc>
                <w:tcPr>
                  <w:tcW w:w="3418" w:type="dxa"/>
                  <w:noWrap w:val="0"/>
                  <w:vAlign w:val="center"/>
                </w:tcPr>
                <w:p w14:paraId="61FADE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日均进出货物 150 吨（或载货车辆日进出 10辆次）及以上（货物包括原料、辅料、燃料、产品和其他与生产相关物料）的企业，或纳入</w:t>
                  </w:r>
                </w:p>
                <w:p w14:paraId="780E35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我省重点行业年产值 1000 万及以上的企业，应参照《重污染天气重点行业移动源应急管理技术指南》建立门禁视频监控系统和电子台</w:t>
                  </w:r>
                </w:p>
                <w:p w14:paraId="1B2AE4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账；其他企业建立电子台账。</w:t>
                  </w:r>
                </w:p>
              </w:tc>
              <w:tc>
                <w:tcPr>
                  <w:tcW w:w="2421" w:type="dxa"/>
                  <w:noWrap w:val="0"/>
                  <w:vAlign w:val="center"/>
                </w:tcPr>
                <w:p w14:paraId="2F0007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项目日均进出货物超过150吨 ，需要按照《重污染天气重点行业移动源应急管理技术指南》建立门禁视频监控系</w:t>
                  </w:r>
                </w:p>
                <w:p w14:paraId="7E6426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统和电子台账</w:t>
                  </w:r>
                  <w:r>
                    <w:rPr>
                      <w:rFonts w:hint="eastAsia" w:cs="Times New Roman"/>
                      <w:b/>
                      <w:bCs/>
                      <w:color w:val="000000"/>
                      <w:kern w:val="2"/>
                      <w:sz w:val="21"/>
                      <w:szCs w:val="21"/>
                      <w:u w:val="single"/>
                      <w:lang w:val="en-US" w:eastAsia="zh-CN" w:bidi="ar-SA"/>
                    </w:rPr>
                    <w:t>。</w:t>
                  </w:r>
                </w:p>
              </w:tc>
              <w:tc>
                <w:tcPr>
                  <w:tcW w:w="720" w:type="dxa"/>
                  <w:noWrap w:val="0"/>
                  <w:vAlign w:val="center"/>
                </w:tcPr>
                <w:p w14:paraId="695C6C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相符</w:t>
                  </w:r>
                </w:p>
              </w:tc>
            </w:tr>
          </w:tbl>
          <w:p w14:paraId="381F555B">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3</w:t>
            </w:r>
            <w:r>
              <w:rPr>
                <w:rFonts w:hint="default" w:ascii="Times New Roman" w:hAnsi="Times New Roman" w:eastAsia="宋体" w:cs="Times New Roman"/>
                <w:b/>
                <w:bCs/>
                <w:color w:val="000000"/>
                <w:lang w:val="en-US" w:eastAsia="zh-CN" w:bidi="zh-CN"/>
              </w:rPr>
              <w:t>、项目选址可行性分析</w:t>
            </w:r>
          </w:p>
          <w:p w14:paraId="59EB4E5B">
            <w:pPr>
              <w:pStyle w:val="28"/>
              <w:spacing w:line="520" w:lineRule="exact"/>
              <w:ind w:firstLine="482" w:firstLineChars="200"/>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3</w:t>
            </w:r>
            <w:r>
              <w:rPr>
                <w:rFonts w:hint="default" w:ascii="Times New Roman" w:hAnsi="Times New Roman" w:eastAsia="宋体" w:cs="Times New Roman"/>
                <w:b/>
                <w:bCs/>
                <w:color w:val="000000"/>
                <w:lang w:val="en-US" w:eastAsia="zh-CN" w:bidi="zh-CN"/>
              </w:rPr>
              <w:t>.1 用地规划符合性分析</w:t>
            </w:r>
          </w:p>
          <w:p w14:paraId="303F75F4">
            <w:pPr>
              <w:autoSpaceDE w:val="0"/>
              <w:autoSpaceDN w:val="0"/>
              <w:adjustRightInd w:val="0"/>
              <w:snapToGrid w:val="0"/>
              <w:spacing w:line="360" w:lineRule="auto"/>
              <w:ind w:firstLine="480" w:firstLineChars="200"/>
              <w:rPr>
                <w:rFonts w:hint="default" w:ascii="Times New Roman" w:hAnsi="Times New Roman" w:eastAsia="宋体"/>
                <w:highlight w:val="none"/>
                <w:lang w:val="en-US" w:eastAsia="zh-CN"/>
              </w:rPr>
            </w:pPr>
            <w:r>
              <w:rPr>
                <w:rFonts w:hint="eastAsia" w:ascii="Times New Roman" w:hAnsi="Times New Roman" w:eastAsia="宋体"/>
                <w:lang w:val="en-US" w:eastAsia="zh-CN"/>
              </w:rPr>
              <w:t>南乐县融投汇华能源有限公司年产16万吨低温脆化技术固态再生</w:t>
            </w:r>
            <w:r>
              <w:rPr>
                <w:rFonts w:hint="eastAsia" w:ascii="Times New Roman" w:hAnsi="Times New Roman" w:eastAsia="宋体"/>
                <w:highlight w:val="none"/>
                <w:lang w:val="en-US" w:eastAsia="zh-CN"/>
              </w:rPr>
              <w:t>资源综合利用项目</w:t>
            </w:r>
            <w:r>
              <w:rPr>
                <w:rFonts w:hint="default" w:ascii="Times New Roman" w:hAnsi="Times New Roman" w:eastAsia="宋体"/>
                <w:highlight w:val="none"/>
                <w:lang w:eastAsia="zh-CN"/>
              </w:rPr>
              <w:t>选</w:t>
            </w:r>
            <w:r>
              <w:rPr>
                <w:rFonts w:hint="default" w:ascii="Times New Roman" w:hAnsi="Times New Roman" w:eastAsia="宋体"/>
                <w:highlight w:val="none"/>
              </w:rPr>
              <w:t>址于</w:t>
            </w:r>
            <w:r>
              <w:rPr>
                <w:rFonts w:hint="eastAsia" w:ascii="Times New Roman" w:hAnsi="Times New Roman" w:eastAsia="宋体"/>
                <w:highlight w:val="none"/>
                <w:lang w:eastAsia="zh-CN"/>
              </w:rPr>
              <w:t>濮阳市南乐县产业集聚区，</w:t>
            </w:r>
            <w:r>
              <w:rPr>
                <w:rFonts w:hint="eastAsia"/>
                <w:highlight w:val="none"/>
                <w:lang w:val="en-US" w:eastAsia="zh-CN"/>
              </w:rPr>
              <w:t>项目已取得不动产权证，</w:t>
            </w:r>
            <w:r>
              <w:rPr>
                <w:rFonts w:hint="default" w:ascii="Times New Roman" w:hAnsi="Times New Roman" w:eastAsia="宋体"/>
                <w:highlight w:val="none"/>
              </w:rPr>
              <w:t>该地块的用地性质为工业用地。本项目主要从事</w:t>
            </w:r>
            <w:r>
              <w:rPr>
                <w:rFonts w:hint="eastAsia" w:ascii="Times New Roman" w:hAnsi="Times New Roman" w:eastAsia="宋体"/>
                <w:highlight w:val="none"/>
                <w:lang w:val="en-US" w:eastAsia="zh-CN"/>
              </w:rPr>
              <w:t>废旧轮胎再利用</w:t>
            </w:r>
            <w:r>
              <w:rPr>
                <w:rFonts w:hint="eastAsia" w:ascii="Times New Roman" w:hAnsi="Times New Roman" w:eastAsia="宋体"/>
                <w:highlight w:val="none"/>
                <w:lang w:eastAsia="zh-CN"/>
              </w:rPr>
              <w:t>造</w:t>
            </w:r>
            <w:r>
              <w:rPr>
                <w:rFonts w:hint="eastAsia" w:ascii="Times New Roman" w:hAnsi="Times New Roman" w:eastAsia="宋体"/>
                <w:highlight w:val="none"/>
                <w:lang w:val="en-US" w:eastAsia="zh-CN"/>
              </w:rPr>
              <w:t>胶粉、钢丝、纤维</w:t>
            </w:r>
            <w:r>
              <w:rPr>
                <w:rFonts w:hint="default" w:ascii="Times New Roman" w:hAnsi="Times New Roman" w:eastAsia="宋体"/>
                <w:highlight w:val="none"/>
              </w:rPr>
              <w:t>，项目建设与用地性质相符合。</w:t>
            </w:r>
          </w:p>
          <w:p w14:paraId="4CA6AC72">
            <w:pPr>
              <w:pStyle w:val="28"/>
              <w:spacing w:line="520" w:lineRule="exact"/>
              <w:ind w:firstLine="482" w:firstLineChars="200"/>
              <w:jc w:val="left"/>
              <w:rPr>
                <w:rFonts w:hint="default" w:ascii="Times New Roman" w:hAnsi="Times New Roman" w:eastAsia="宋体" w:cs="Times New Roman"/>
                <w:b/>
                <w:bCs/>
                <w:color w:val="000000"/>
                <w:highlight w:val="none"/>
                <w:lang w:val="en-US" w:eastAsia="zh-CN" w:bidi="zh-CN"/>
              </w:rPr>
            </w:pPr>
            <w:r>
              <w:rPr>
                <w:rFonts w:hint="eastAsia" w:ascii="Times New Roman" w:hAnsi="Times New Roman" w:eastAsia="宋体" w:cs="Times New Roman"/>
                <w:b/>
                <w:bCs/>
                <w:color w:val="000000"/>
                <w:highlight w:val="none"/>
                <w:lang w:val="en-US" w:eastAsia="zh-CN" w:bidi="zh-CN"/>
              </w:rPr>
              <w:t>3</w:t>
            </w:r>
            <w:r>
              <w:rPr>
                <w:rFonts w:hint="default" w:ascii="Times New Roman" w:hAnsi="Times New Roman" w:eastAsia="宋体" w:cs="Times New Roman"/>
                <w:b/>
                <w:bCs/>
                <w:color w:val="000000"/>
                <w:highlight w:val="none"/>
                <w:lang w:val="en-US" w:eastAsia="zh-CN" w:bidi="zh-CN"/>
              </w:rPr>
              <w:t>.2 项目与周围环境相容性分析</w:t>
            </w:r>
          </w:p>
          <w:p w14:paraId="34DF948C">
            <w:pPr>
              <w:autoSpaceDE w:val="0"/>
              <w:autoSpaceDN w:val="0"/>
              <w:adjustRightInd w:val="0"/>
              <w:snapToGrid w:val="0"/>
              <w:spacing w:line="360" w:lineRule="auto"/>
              <w:ind w:firstLine="480" w:firstLineChars="200"/>
              <w:rPr>
                <w:rFonts w:hint="default" w:ascii="Times New Roman" w:hAnsi="Times New Roman" w:eastAsia="宋体"/>
                <w:highlight w:val="none"/>
                <w:lang w:eastAsia="zh-CN"/>
              </w:rPr>
            </w:pPr>
            <w:r>
              <w:rPr>
                <w:rFonts w:hint="default" w:ascii="Times New Roman" w:hAnsi="Times New Roman" w:eastAsia="宋体"/>
                <w:highlight w:val="none"/>
              </w:rPr>
              <w:t>项目的周边情况为：</w:t>
            </w:r>
            <w:r>
              <w:rPr>
                <w:rFonts w:hint="eastAsia" w:ascii="Times New Roman" w:hAnsi="Times New Roman" w:eastAsia="宋体"/>
                <w:highlight w:val="none"/>
                <w:lang w:val="en-US" w:eastAsia="zh-CN"/>
              </w:rPr>
              <w:t>北侧为河南铁军金属制品有限公司，西侧为空地，空地西</w:t>
            </w:r>
            <w:r>
              <w:rPr>
                <w:rFonts w:hint="eastAsia"/>
                <w:highlight w:val="none"/>
                <w:lang w:val="en-US" w:eastAsia="zh-CN"/>
              </w:rPr>
              <w:t>侧为</w:t>
            </w:r>
            <w:r>
              <w:rPr>
                <w:rFonts w:hint="eastAsia" w:ascii="Times New Roman" w:hAnsi="Times New Roman" w:eastAsia="宋体"/>
                <w:highlight w:val="none"/>
                <w:lang w:val="en-US" w:eastAsia="zh-CN"/>
              </w:rPr>
              <w:t>道路</w:t>
            </w:r>
            <w:r>
              <w:rPr>
                <w:rFonts w:hint="eastAsia"/>
                <w:highlight w:val="none"/>
                <w:lang w:val="en-US" w:eastAsia="zh-CN"/>
              </w:rPr>
              <w:t>，</w:t>
            </w:r>
            <w:r>
              <w:rPr>
                <w:rFonts w:hint="eastAsia" w:ascii="Times New Roman" w:hAnsi="Times New Roman" w:eastAsia="宋体"/>
                <w:highlight w:val="none"/>
                <w:lang w:val="en-US" w:eastAsia="zh-CN"/>
              </w:rPr>
              <w:t>道路西</w:t>
            </w:r>
            <w:r>
              <w:rPr>
                <w:rFonts w:hint="eastAsia"/>
                <w:highlight w:val="none"/>
                <w:lang w:val="en-US" w:eastAsia="zh-CN"/>
              </w:rPr>
              <w:t>侧为</w:t>
            </w:r>
            <w:r>
              <w:rPr>
                <w:rFonts w:hint="eastAsia" w:ascii="Times New Roman" w:hAnsi="Times New Roman" w:eastAsia="宋体"/>
                <w:highlight w:val="none"/>
                <w:lang w:val="en-US" w:eastAsia="zh-CN"/>
              </w:rPr>
              <w:t>陈氏饮料</w:t>
            </w:r>
            <w:r>
              <w:rPr>
                <w:rFonts w:hint="eastAsia"/>
                <w:highlight w:val="none"/>
                <w:lang w:val="en-US" w:eastAsia="zh-CN"/>
              </w:rPr>
              <w:t>有限公司</w:t>
            </w:r>
            <w:r>
              <w:rPr>
                <w:rFonts w:hint="eastAsia" w:ascii="Times New Roman" w:hAnsi="Times New Roman" w:eastAsia="宋体"/>
                <w:highlight w:val="none"/>
                <w:lang w:val="en-US" w:eastAsia="zh-CN"/>
              </w:rPr>
              <w:t>，东侧为星光农机，南侧为上海华砼绿筑新能源有限公司濮阳基地</w:t>
            </w:r>
            <w:r>
              <w:rPr>
                <w:rFonts w:hint="default" w:ascii="Times New Roman" w:hAnsi="Times New Roman" w:eastAsia="宋体"/>
                <w:highlight w:val="none"/>
                <w:lang w:val="en-US" w:eastAsia="zh-CN"/>
              </w:rPr>
              <w:t>。</w:t>
            </w:r>
          </w:p>
          <w:p w14:paraId="3AE6566D">
            <w:pPr>
              <w:autoSpaceDE w:val="0"/>
              <w:autoSpaceDN w:val="0"/>
              <w:adjustRightInd w:val="0"/>
              <w:snapToGrid w:val="0"/>
              <w:spacing w:line="360" w:lineRule="auto"/>
              <w:ind w:firstLine="480" w:firstLineChars="200"/>
              <w:rPr>
                <w:rFonts w:hint="default" w:ascii="Times New Roman" w:hAnsi="Times New Roman" w:eastAsia="宋体"/>
                <w:lang w:eastAsia="zh-CN"/>
              </w:rPr>
            </w:pPr>
            <w:r>
              <w:rPr>
                <w:rFonts w:hint="eastAsia" w:ascii="Times New Roman" w:hAnsi="Times New Roman" w:eastAsia="宋体"/>
                <w:lang w:eastAsia="zh-CN"/>
              </w:rPr>
              <w:t>①本项目与外环境相容性分析</w:t>
            </w:r>
          </w:p>
          <w:p w14:paraId="292889F0">
            <w:pPr>
              <w:autoSpaceDE w:val="0"/>
              <w:autoSpaceDN w:val="0"/>
              <w:adjustRightInd w:val="0"/>
              <w:snapToGrid w:val="0"/>
              <w:spacing w:line="360" w:lineRule="auto"/>
              <w:ind w:firstLine="480" w:firstLineChars="200"/>
              <w:rPr>
                <w:rFonts w:hint="default" w:ascii="Times New Roman" w:hAnsi="Times New Roman" w:eastAsia="宋体"/>
                <w:lang w:eastAsia="zh-CN"/>
              </w:rPr>
            </w:pPr>
            <w:r>
              <w:rPr>
                <w:rFonts w:hint="default" w:ascii="Times New Roman" w:hAnsi="Times New Roman" w:eastAsia="宋体"/>
                <w:lang w:eastAsia="zh-CN"/>
              </w:rPr>
              <w:t>本项目建成后营运期产生的废气</w:t>
            </w:r>
            <w:r>
              <w:rPr>
                <w:rFonts w:hint="eastAsia" w:ascii="Times New Roman" w:hAnsi="Times New Roman" w:eastAsia="宋体"/>
                <w:lang w:eastAsia="zh-CN"/>
              </w:rPr>
              <w:t>对</w:t>
            </w:r>
            <w:r>
              <w:rPr>
                <w:rFonts w:hint="default" w:ascii="Times New Roman" w:hAnsi="Times New Roman" w:eastAsia="宋体"/>
                <w:lang w:eastAsia="zh-CN"/>
              </w:rPr>
              <w:t>周边企业及周边环境空气质量影响较小。项目生产过程噪声源较小，经采取相应的措施治理后可达标排放，对周边声环境影响较小，与周边企业相容。</w:t>
            </w:r>
          </w:p>
          <w:p w14:paraId="2EE144B4">
            <w:pPr>
              <w:autoSpaceDE w:val="0"/>
              <w:autoSpaceDN w:val="0"/>
              <w:adjustRightInd w:val="0"/>
              <w:snapToGrid w:val="0"/>
              <w:spacing w:line="360" w:lineRule="auto"/>
              <w:ind w:firstLine="480" w:firstLineChars="200"/>
              <w:rPr>
                <w:rFonts w:hint="eastAsia" w:ascii="Times New Roman" w:hAnsi="Times New Roman" w:eastAsia="宋体"/>
                <w:lang w:eastAsia="zh-CN"/>
              </w:rPr>
            </w:pPr>
            <w:r>
              <w:rPr>
                <w:rFonts w:hint="eastAsia" w:ascii="Times New Roman" w:hAnsi="Times New Roman" w:eastAsia="宋体"/>
                <w:lang w:eastAsia="zh-CN"/>
              </w:rPr>
              <w:t>②外环境对本项目相容性分析</w:t>
            </w:r>
          </w:p>
          <w:p w14:paraId="74689D2E">
            <w:pPr>
              <w:autoSpaceDE w:val="0"/>
              <w:autoSpaceDN w:val="0"/>
              <w:adjustRightInd w:val="0"/>
              <w:snapToGrid w:val="0"/>
              <w:spacing w:line="360" w:lineRule="auto"/>
              <w:ind w:firstLine="480" w:firstLineChars="200"/>
              <w:rPr>
                <w:rFonts w:hint="eastAsia" w:ascii="Times New Roman" w:hAnsi="Times New Roman" w:eastAsia="宋体"/>
                <w:highlight w:val="none"/>
                <w:lang w:eastAsia="zh-CN"/>
              </w:rPr>
            </w:pPr>
            <w:r>
              <w:rPr>
                <w:rFonts w:hint="eastAsia" w:ascii="Times New Roman" w:hAnsi="Times New Roman" w:eastAsia="宋体"/>
                <w:highlight w:val="none"/>
                <w:lang w:eastAsia="zh-CN"/>
              </w:rPr>
              <w:t>项目</w:t>
            </w:r>
            <w:r>
              <w:rPr>
                <w:rFonts w:hint="eastAsia" w:ascii="Times New Roman" w:hAnsi="Times New Roman" w:eastAsia="宋体"/>
                <w:highlight w:val="none"/>
                <w:lang w:val="en-US" w:eastAsia="zh-CN"/>
              </w:rPr>
              <w:t>北侧为河南铁军金属制品有限公司，西侧为空地，空地西侧为道路，道路西侧为陈氏饮料有限公司，东侧为星光农机，南侧为上海华砼绿筑新能源有限公司濮阳基地</w:t>
            </w:r>
            <w:r>
              <w:rPr>
                <w:rFonts w:hint="default" w:ascii="Times New Roman" w:hAnsi="Times New Roman" w:eastAsia="宋体"/>
                <w:highlight w:val="none"/>
                <w:lang w:eastAsia="zh-CN"/>
              </w:rPr>
              <w:t>，</w:t>
            </w:r>
            <w:r>
              <w:rPr>
                <w:rFonts w:hint="eastAsia" w:ascii="Times New Roman" w:hAnsi="Times New Roman" w:eastAsia="宋体"/>
                <w:highlight w:val="none"/>
                <w:lang w:eastAsia="zh-CN"/>
              </w:rPr>
              <w:t>周边企业</w:t>
            </w:r>
            <w:r>
              <w:rPr>
                <w:rFonts w:hint="default" w:ascii="Times New Roman" w:hAnsi="Times New Roman" w:eastAsia="宋体"/>
                <w:highlight w:val="none"/>
                <w:lang w:eastAsia="zh-CN"/>
              </w:rPr>
              <w:t>主要污染为废</w:t>
            </w:r>
            <w:r>
              <w:rPr>
                <w:rFonts w:hint="eastAsia" w:ascii="Times New Roman" w:hAnsi="Times New Roman" w:eastAsia="宋体"/>
                <w:highlight w:val="none"/>
                <w:lang w:eastAsia="zh-CN"/>
              </w:rPr>
              <w:t>气、废水。</w:t>
            </w:r>
          </w:p>
          <w:p w14:paraId="55A13870">
            <w:pPr>
              <w:autoSpaceDE w:val="0"/>
              <w:autoSpaceDN w:val="0"/>
              <w:adjustRightInd w:val="0"/>
              <w:snapToGrid w:val="0"/>
              <w:spacing w:line="360" w:lineRule="auto"/>
              <w:ind w:firstLine="480" w:firstLineChars="200"/>
              <w:rPr>
                <w:rFonts w:hint="default" w:ascii="Times New Roman" w:hAnsi="Times New Roman" w:eastAsia="宋体"/>
                <w:highlight w:val="none"/>
              </w:rPr>
            </w:pPr>
            <w:r>
              <w:rPr>
                <w:rFonts w:hint="eastAsia" w:ascii="Times New Roman" w:hAnsi="Times New Roman" w:eastAsia="宋体"/>
                <w:highlight w:val="none"/>
                <w:lang w:eastAsia="zh-CN"/>
              </w:rPr>
              <w:t>综上分析，本项目</w:t>
            </w:r>
            <w:r>
              <w:rPr>
                <w:rFonts w:hint="default" w:ascii="Times New Roman" w:hAnsi="Times New Roman" w:eastAsia="宋体"/>
                <w:highlight w:val="none"/>
              </w:rPr>
              <w:t>对周边环境影响较小，</w:t>
            </w:r>
            <w:r>
              <w:rPr>
                <w:rFonts w:hint="eastAsia" w:ascii="Times New Roman" w:hAnsi="Times New Roman" w:eastAsia="宋体"/>
                <w:highlight w:val="none"/>
                <w:lang w:eastAsia="zh-CN"/>
              </w:rPr>
              <w:t>外环境对本项目影响也较小，本项目</w:t>
            </w:r>
            <w:r>
              <w:rPr>
                <w:rFonts w:hint="default" w:ascii="Times New Roman" w:hAnsi="Times New Roman" w:eastAsia="宋体"/>
                <w:highlight w:val="none"/>
              </w:rPr>
              <w:t>与周边环境相容。</w:t>
            </w:r>
          </w:p>
          <w:p w14:paraId="410F8ACC">
            <w:pPr>
              <w:pStyle w:val="28"/>
              <w:spacing w:line="520" w:lineRule="exact"/>
              <w:ind w:firstLine="482" w:firstLineChars="200"/>
              <w:jc w:val="left"/>
              <w:rPr>
                <w:rFonts w:hint="default" w:ascii="Times New Roman" w:hAnsi="Times New Roman" w:eastAsia="宋体" w:cs="Times New Roman"/>
                <w:b/>
                <w:bCs/>
                <w:color w:val="000000"/>
                <w:highlight w:val="none"/>
                <w:lang w:val="en-US" w:eastAsia="zh-CN" w:bidi="zh-CN"/>
              </w:rPr>
            </w:pPr>
            <w:r>
              <w:rPr>
                <w:rFonts w:hint="eastAsia" w:ascii="Times New Roman" w:hAnsi="Times New Roman" w:eastAsia="宋体" w:cs="Times New Roman"/>
                <w:b/>
                <w:bCs/>
                <w:color w:val="000000"/>
                <w:highlight w:val="none"/>
                <w:lang w:val="en-US" w:eastAsia="zh-CN" w:bidi="zh-CN"/>
              </w:rPr>
              <w:t>3.3</w:t>
            </w:r>
            <w:r>
              <w:rPr>
                <w:rFonts w:hint="default" w:ascii="Times New Roman" w:hAnsi="Times New Roman" w:eastAsia="宋体" w:cs="Times New Roman"/>
                <w:b/>
                <w:bCs/>
                <w:color w:val="000000"/>
                <w:highlight w:val="none"/>
                <w:lang w:val="en-US" w:eastAsia="zh-CN" w:bidi="zh-CN"/>
              </w:rPr>
              <w:t>环境功能区划符合性分析</w:t>
            </w:r>
          </w:p>
          <w:p w14:paraId="21F36DCA">
            <w:pPr>
              <w:autoSpaceDE w:val="0"/>
              <w:autoSpaceDN w:val="0"/>
              <w:adjustRightInd w:val="0"/>
              <w:snapToGrid w:val="0"/>
              <w:spacing w:line="360" w:lineRule="auto"/>
              <w:ind w:firstLine="480" w:firstLineChars="200"/>
              <w:rPr>
                <w:rFonts w:hint="default" w:ascii="Times New Roman" w:hAnsi="Times New Roman" w:eastAsia="宋体"/>
                <w:highlight w:val="none"/>
              </w:rPr>
            </w:pPr>
            <w:r>
              <w:rPr>
                <w:rFonts w:hint="default" w:ascii="Times New Roman" w:hAnsi="Times New Roman" w:eastAsia="宋体"/>
                <w:highlight w:val="none"/>
              </w:rPr>
              <w:t>①水环境</w:t>
            </w:r>
          </w:p>
          <w:p w14:paraId="2E49DDD8">
            <w:pPr>
              <w:autoSpaceDE w:val="0"/>
              <w:autoSpaceDN w:val="0"/>
              <w:adjustRightInd w:val="0"/>
              <w:snapToGrid w:val="0"/>
              <w:spacing w:line="360" w:lineRule="auto"/>
              <w:ind w:firstLine="480" w:firstLineChars="200"/>
              <w:rPr>
                <w:rFonts w:hint="default" w:ascii="Times New Roman" w:hAnsi="Times New Roman" w:eastAsia="宋体"/>
                <w:highlight w:val="none"/>
              </w:rPr>
            </w:pPr>
            <w:r>
              <w:rPr>
                <w:rFonts w:hint="default" w:ascii="Times New Roman" w:hAnsi="Times New Roman" w:eastAsia="宋体"/>
                <w:highlight w:val="none"/>
              </w:rPr>
              <w:t>本项</w:t>
            </w:r>
            <w:r>
              <w:rPr>
                <w:rFonts w:hint="default" w:ascii="Times New Roman" w:hAnsi="Times New Roman" w:eastAsia="宋体"/>
                <w:color w:val="auto"/>
                <w:highlight w:val="none"/>
              </w:rPr>
              <w:t>目生活污水</w:t>
            </w:r>
            <w:r>
              <w:rPr>
                <w:rFonts w:hint="eastAsia"/>
                <w:color w:val="auto"/>
                <w:highlight w:val="none"/>
                <w:lang w:val="en-US" w:eastAsia="zh-CN"/>
              </w:rPr>
              <w:t>经过</w:t>
            </w:r>
            <w:r>
              <w:rPr>
                <w:rFonts w:hint="eastAsia" w:ascii="Times New Roman" w:hAnsi="Times New Roman" w:eastAsia="宋体"/>
                <w:highlight w:val="none"/>
                <w:lang w:eastAsia="zh-CN"/>
              </w:rPr>
              <w:t>厂区</w:t>
            </w:r>
            <w:r>
              <w:rPr>
                <w:rFonts w:hint="eastAsia"/>
                <w:highlight w:val="none"/>
                <w:lang w:val="en-US" w:eastAsia="zh-CN"/>
              </w:rPr>
              <w:t>隔油池与</w:t>
            </w:r>
            <w:r>
              <w:rPr>
                <w:rFonts w:hint="eastAsia" w:ascii="Times New Roman" w:hAnsi="Times New Roman" w:eastAsia="宋体"/>
                <w:highlight w:val="none"/>
                <w:lang w:eastAsia="zh-CN"/>
              </w:rPr>
              <w:t>化粪池</w:t>
            </w:r>
            <w:r>
              <w:rPr>
                <w:rFonts w:hint="default" w:ascii="Times New Roman" w:hAnsi="Times New Roman" w:eastAsia="宋体"/>
                <w:highlight w:val="none"/>
              </w:rPr>
              <w:t>进行</w:t>
            </w:r>
            <w:r>
              <w:rPr>
                <w:rFonts w:hint="default" w:ascii="Times New Roman" w:hAnsi="Times New Roman" w:eastAsia="宋体"/>
                <w:highlight w:val="none"/>
                <w:lang w:eastAsia="zh-CN"/>
              </w:rPr>
              <w:t>处理</w:t>
            </w:r>
            <w:r>
              <w:rPr>
                <w:rFonts w:hint="default" w:ascii="Times New Roman" w:hAnsi="Times New Roman" w:eastAsia="宋体"/>
                <w:highlight w:val="none"/>
              </w:rPr>
              <w:t>，确保出水水质《污水综合排放标准》（GB8978-1996）表4三级</w:t>
            </w:r>
            <w:r>
              <w:rPr>
                <w:rFonts w:hint="eastAsia"/>
                <w:highlight w:val="none"/>
                <w:lang w:val="en-US" w:eastAsia="zh-CN"/>
              </w:rPr>
              <w:t>标准</w:t>
            </w:r>
            <w:r>
              <w:rPr>
                <w:rFonts w:hint="default" w:ascii="Times New Roman" w:hAnsi="Times New Roman" w:eastAsia="宋体"/>
                <w:highlight w:val="none"/>
              </w:rPr>
              <w:t>及</w:t>
            </w:r>
            <w:r>
              <w:rPr>
                <w:rFonts w:hint="eastAsia"/>
                <w:highlight w:val="none"/>
                <w:lang w:eastAsia="zh-CN"/>
              </w:rPr>
              <w:t>南乐县城污水处理厂</w:t>
            </w:r>
            <w:r>
              <w:rPr>
                <w:rFonts w:hint="default" w:ascii="Times New Roman" w:hAnsi="Times New Roman" w:eastAsia="宋体"/>
                <w:highlight w:val="none"/>
              </w:rPr>
              <w:t>收水标准</w:t>
            </w:r>
            <w:r>
              <w:rPr>
                <w:rFonts w:hint="eastAsia" w:ascii="Times New Roman" w:hAnsi="Times New Roman" w:eastAsia="宋体"/>
                <w:highlight w:val="none"/>
                <w:lang w:eastAsia="zh-CN"/>
              </w:rPr>
              <w:t>要求</w:t>
            </w:r>
            <w:r>
              <w:rPr>
                <w:rFonts w:hint="default" w:ascii="Times New Roman" w:hAnsi="Times New Roman" w:eastAsia="宋体"/>
                <w:highlight w:val="none"/>
              </w:rPr>
              <w:t>后，经市政污水管网排入</w:t>
            </w:r>
            <w:r>
              <w:rPr>
                <w:rFonts w:hint="eastAsia"/>
                <w:highlight w:val="none"/>
                <w:lang w:eastAsia="zh-CN"/>
              </w:rPr>
              <w:t>南乐县城污水处理厂</w:t>
            </w:r>
            <w:r>
              <w:rPr>
                <w:rFonts w:hint="default" w:ascii="Times New Roman" w:hAnsi="Times New Roman" w:eastAsia="宋体"/>
                <w:highlight w:val="none"/>
              </w:rPr>
              <w:t>深度处理</w:t>
            </w:r>
            <w:r>
              <w:rPr>
                <w:rFonts w:hint="eastAsia" w:ascii="Times New Roman" w:hAnsi="Times New Roman" w:eastAsia="宋体"/>
                <w:highlight w:val="none"/>
                <w:lang w:eastAsia="zh-CN"/>
              </w:rPr>
              <w:t>；由于轮胎粉碎生产全过程为物理过程，不产生任何新的化学物质，工艺过程中无污染性废水排放，</w:t>
            </w:r>
            <w:r>
              <w:rPr>
                <w:rFonts w:hint="eastAsia" w:ascii="Times New Roman" w:hAnsi="Times New Roman" w:eastAsia="宋体"/>
                <w:highlight w:val="none"/>
                <w:lang w:val="en-US" w:eastAsia="zh-CN"/>
              </w:rPr>
              <w:t>生产污水为循环冷却水，循环使用不外排</w:t>
            </w:r>
            <w:r>
              <w:rPr>
                <w:rFonts w:hint="eastAsia" w:ascii="Times New Roman" w:hAnsi="Times New Roman" w:eastAsia="宋体"/>
                <w:highlight w:val="none"/>
                <w:lang w:eastAsia="zh-CN"/>
              </w:rPr>
              <w:t>。</w:t>
            </w:r>
            <w:r>
              <w:rPr>
                <w:rFonts w:hint="default" w:ascii="Times New Roman" w:hAnsi="Times New Roman" w:eastAsia="宋体"/>
                <w:highlight w:val="none"/>
              </w:rPr>
              <w:t>项目建设和水环境功能区划相适应。</w:t>
            </w:r>
          </w:p>
          <w:p w14:paraId="49793DB4">
            <w:pPr>
              <w:autoSpaceDE w:val="0"/>
              <w:autoSpaceDN w:val="0"/>
              <w:adjustRightInd w:val="0"/>
              <w:snapToGrid w:val="0"/>
              <w:spacing w:line="360" w:lineRule="auto"/>
              <w:ind w:firstLine="480" w:firstLineChars="200"/>
              <w:rPr>
                <w:rFonts w:hint="default" w:ascii="Times New Roman" w:hAnsi="Times New Roman" w:eastAsia="宋体"/>
                <w:highlight w:val="none"/>
              </w:rPr>
            </w:pPr>
            <w:r>
              <w:rPr>
                <w:rFonts w:hint="default" w:ascii="Times New Roman" w:hAnsi="Times New Roman" w:eastAsia="宋体"/>
                <w:highlight w:val="none"/>
              </w:rPr>
              <w:t>②大气环境</w:t>
            </w:r>
          </w:p>
          <w:p w14:paraId="44468765">
            <w:pPr>
              <w:autoSpaceDE w:val="0"/>
              <w:autoSpaceDN w:val="0"/>
              <w:adjustRightInd w:val="0"/>
              <w:snapToGrid w:val="0"/>
              <w:spacing w:line="360" w:lineRule="auto"/>
              <w:ind w:firstLine="480" w:firstLineChars="200"/>
              <w:rPr>
                <w:rFonts w:hint="eastAsia" w:ascii="Times New Roman" w:hAnsi="Times New Roman" w:eastAsia="宋体"/>
                <w:highlight w:val="none"/>
              </w:rPr>
            </w:pPr>
            <w:r>
              <w:rPr>
                <w:rFonts w:hint="eastAsia" w:ascii="Times New Roman" w:hAnsi="Times New Roman" w:eastAsia="宋体"/>
                <w:highlight w:val="none"/>
                <w:lang w:eastAsia="zh-CN"/>
              </w:rPr>
              <w:t>项目所在区域大气环境为二类功能区，执行GB3095-2012《环境空气质量标准》。项目所在区域环境空气质量</w:t>
            </w:r>
            <w:r>
              <w:rPr>
                <w:rFonts w:hint="eastAsia" w:ascii="Times New Roman" w:hAnsi="Times New Roman" w:eastAsia="宋体"/>
                <w:lang w:val="en-US" w:eastAsia="zh-CN"/>
              </w:rPr>
              <w:t>PM</w:t>
            </w:r>
            <w:r>
              <w:rPr>
                <w:rFonts w:hint="eastAsia" w:ascii="Times New Roman" w:hAnsi="Times New Roman" w:eastAsia="宋体"/>
                <w:sz w:val="24"/>
                <w:vertAlign w:val="subscript"/>
                <w:lang w:val="en-US" w:eastAsia="zh-CN"/>
              </w:rPr>
              <w:t>2.5</w:t>
            </w:r>
            <w:r>
              <w:rPr>
                <w:rFonts w:hint="eastAsia" w:ascii="Times New Roman" w:hAnsi="Times New Roman" w:eastAsia="宋体"/>
                <w:highlight w:val="none"/>
                <w:lang w:val="en-US" w:eastAsia="zh-CN"/>
              </w:rPr>
              <w:t>、</w:t>
            </w:r>
            <w:r>
              <w:rPr>
                <w:rFonts w:hint="eastAsia" w:ascii="Times New Roman" w:hAnsi="Times New Roman" w:eastAsia="宋体"/>
                <w:lang w:val="en-US" w:eastAsia="zh-CN"/>
              </w:rPr>
              <w:t>PM</w:t>
            </w:r>
            <w:r>
              <w:rPr>
                <w:rFonts w:hint="eastAsia" w:ascii="Times New Roman" w:hAnsi="Times New Roman" w:eastAsia="宋体"/>
                <w:sz w:val="24"/>
                <w:vertAlign w:val="subscript"/>
                <w:lang w:val="en-US" w:eastAsia="zh-CN"/>
              </w:rPr>
              <w:t>10</w:t>
            </w:r>
            <w:r>
              <w:rPr>
                <w:rFonts w:hint="eastAsia" w:ascii="Times New Roman" w:hAnsi="Times New Roman" w:eastAsia="宋体"/>
                <w:highlight w:val="none"/>
                <w:lang w:val="en-US" w:eastAsia="zh-CN"/>
              </w:rPr>
              <w:t>、</w:t>
            </w:r>
            <w:r>
              <w:rPr>
                <w:rFonts w:hint="eastAsia" w:ascii="Times New Roman" w:hAnsi="Times New Roman" w:eastAsia="宋体"/>
                <w:lang w:val="en-US" w:eastAsia="zh-CN"/>
              </w:rPr>
              <w:t>O</w:t>
            </w:r>
            <w:r>
              <w:rPr>
                <w:rFonts w:hint="eastAsia" w:ascii="Times New Roman" w:hAnsi="Times New Roman" w:eastAsia="宋体"/>
                <w:sz w:val="24"/>
                <w:vertAlign w:val="subscript"/>
                <w:lang w:val="en-US" w:eastAsia="zh-CN"/>
              </w:rPr>
              <w:t>3</w:t>
            </w:r>
            <w:r>
              <w:rPr>
                <w:rFonts w:hint="eastAsia" w:ascii="Times New Roman" w:hAnsi="Times New Roman" w:eastAsia="宋体"/>
                <w:highlight w:val="none"/>
                <w:lang w:val="en-US" w:eastAsia="zh-CN"/>
              </w:rPr>
              <w:t>超标，属于非达标区。</w:t>
            </w:r>
            <w:r>
              <w:rPr>
                <w:rFonts w:hint="eastAsia" w:ascii="Times New Roman" w:hAnsi="Times New Roman" w:eastAsia="宋体"/>
                <w:highlight w:val="none"/>
              </w:rPr>
              <w:t>项目无污染性废气排放，只有轮胎粉碎废气、冷却氮气排放，不含对空气有害的污染物；</w:t>
            </w:r>
            <w:r>
              <w:rPr>
                <w:rFonts w:hint="eastAsia" w:ascii="Times New Roman" w:hAnsi="Times New Roman" w:eastAsia="宋体"/>
                <w:highlight w:val="none"/>
                <w:lang w:val="en-US" w:eastAsia="zh-CN"/>
              </w:rPr>
              <w:t>污染气体</w:t>
            </w:r>
            <w:r>
              <w:rPr>
                <w:rFonts w:hint="eastAsia" w:ascii="Times New Roman" w:hAnsi="Times New Roman" w:eastAsia="宋体"/>
                <w:highlight w:val="none"/>
              </w:rPr>
              <w:t>主要成分为空气、氮气、水蒸气、二氧化碳，，符合《环境空气质量标准》GB3095-1996、《大气污染物综合排放标准》GB16297-1996 和《橡胶加工配炼车间防尘规程》GB 5833-86 的要求。</w:t>
            </w:r>
          </w:p>
          <w:p w14:paraId="0235E0E0">
            <w:pPr>
              <w:autoSpaceDE w:val="0"/>
              <w:autoSpaceDN w:val="0"/>
              <w:adjustRightInd w:val="0"/>
              <w:snapToGrid w:val="0"/>
              <w:spacing w:line="360" w:lineRule="auto"/>
              <w:ind w:firstLine="480" w:firstLineChars="200"/>
              <w:rPr>
                <w:rFonts w:hint="default" w:ascii="Times New Roman" w:hAnsi="Times New Roman" w:eastAsia="宋体"/>
              </w:rPr>
            </w:pPr>
            <w:r>
              <w:rPr>
                <w:rFonts w:hint="default" w:ascii="Times New Roman" w:hAnsi="Times New Roman" w:eastAsia="宋体"/>
              </w:rPr>
              <w:t>③声环境</w:t>
            </w:r>
          </w:p>
          <w:p w14:paraId="722A34DF">
            <w:pPr>
              <w:autoSpaceDE w:val="0"/>
              <w:autoSpaceDN w:val="0"/>
              <w:adjustRightInd w:val="0"/>
              <w:snapToGrid w:val="0"/>
              <w:spacing w:line="360" w:lineRule="auto"/>
              <w:ind w:firstLine="480" w:firstLineChars="200"/>
              <w:rPr>
                <w:rFonts w:hint="default" w:ascii="Times New Roman" w:hAnsi="Times New Roman" w:eastAsia="宋体"/>
              </w:rPr>
            </w:pPr>
            <w:r>
              <w:rPr>
                <w:rFonts w:hint="eastAsia" w:ascii="Times New Roman" w:hAnsi="Times New Roman" w:eastAsia="宋体"/>
                <w:highlight w:val="none"/>
                <w:lang w:eastAsia="zh-CN"/>
              </w:rPr>
              <w:t>项目所处区域声环境功能区划类别为3类功能区；项目厂界噪声达标排放，对周边环境影响较小，项目建设满足声环境功能区划要求。</w:t>
            </w:r>
          </w:p>
          <w:p w14:paraId="3DFD7DD1">
            <w:pPr>
              <w:pStyle w:val="28"/>
              <w:spacing w:line="520" w:lineRule="exact"/>
              <w:ind w:firstLine="482" w:firstLineChars="200"/>
              <w:jc w:val="left"/>
              <w:rPr>
                <w:rFonts w:hint="default" w:ascii="Times New Roman" w:hAnsi="Times New Roman" w:eastAsia="宋体" w:cs="Times New Roman"/>
                <w:b/>
                <w:bCs/>
                <w:color w:val="000000"/>
                <w:lang w:val="en-US" w:eastAsia="zh-CN" w:bidi="zh-CN"/>
              </w:rPr>
            </w:pPr>
            <w:r>
              <w:rPr>
                <w:rFonts w:hint="eastAsia" w:ascii="Times New Roman" w:hAnsi="Times New Roman" w:cs="Times New Roman"/>
                <w:b/>
                <w:bCs/>
                <w:color w:val="000000"/>
                <w:lang w:val="en-US" w:eastAsia="zh-CN" w:bidi="zh-CN"/>
              </w:rPr>
              <w:t>3</w:t>
            </w:r>
            <w:r>
              <w:rPr>
                <w:rFonts w:hint="default" w:ascii="Times New Roman" w:hAnsi="Times New Roman" w:eastAsia="宋体" w:cs="Times New Roman"/>
                <w:b/>
                <w:bCs/>
                <w:color w:val="000000"/>
                <w:lang w:val="en-US" w:eastAsia="zh-CN" w:bidi="zh-CN"/>
              </w:rPr>
              <w:t>.</w:t>
            </w:r>
            <w:r>
              <w:rPr>
                <w:rFonts w:hint="eastAsia" w:ascii="Times New Roman" w:hAnsi="Times New Roman" w:eastAsia="宋体" w:cs="Times New Roman"/>
                <w:b/>
                <w:bCs/>
                <w:color w:val="000000"/>
                <w:lang w:val="en-US" w:eastAsia="zh-CN" w:bidi="zh-CN"/>
              </w:rPr>
              <w:t>4</w:t>
            </w:r>
            <w:r>
              <w:rPr>
                <w:rFonts w:hint="default" w:ascii="Times New Roman" w:hAnsi="Times New Roman" w:eastAsia="宋体" w:cs="Times New Roman"/>
                <w:b/>
                <w:bCs/>
                <w:color w:val="000000"/>
                <w:lang w:val="en-US" w:eastAsia="zh-CN" w:bidi="zh-CN"/>
              </w:rPr>
              <w:t xml:space="preserve"> 小结</w:t>
            </w:r>
          </w:p>
          <w:p w14:paraId="05F44B2C">
            <w:pPr>
              <w:autoSpaceDE w:val="0"/>
              <w:autoSpaceDN w:val="0"/>
              <w:adjustRightInd w:val="0"/>
              <w:snapToGrid w:val="0"/>
              <w:spacing w:line="360" w:lineRule="auto"/>
              <w:ind w:firstLine="480" w:firstLineChars="200"/>
              <w:rPr>
                <w:rFonts w:hint="default" w:ascii="Times New Roman" w:hAnsi="Times New Roman" w:eastAsia="宋体"/>
              </w:rPr>
            </w:pPr>
            <w:r>
              <w:rPr>
                <w:rFonts w:hint="default" w:ascii="Times New Roman" w:hAnsi="Times New Roman" w:eastAsia="宋体"/>
              </w:rPr>
              <w:t>综上所述，本项目选址符合当地用地规划要求，与周围环境相容，符合环境功能区划要求，因此本项目选址合理。</w:t>
            </w:r>
          </w:p>
          <w:p w14:paraId="1422D7A5">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4、</w:t>
            </w:r>
            <w:r>
              <w:rPr>
                <w:rFonts w:hint="default" w:ascii="Times New Roman" w:hAnsi="Times New Roman" w:eastAsia="宋体" w:cs="Times New Roman"/>
                <w:b/>
                <w:bCs/>
                <w:color w:val="000000"/>
                <w:lang w:val="en-US" w:eastAsia="zh-CN" w:bidi="zh-CN"/>
              </w:rPr>
              <w:t>集中式饮用水水源保护区划</w:t>
            </w:r>
          </w:p>
          <w:p w14:paraId="0E1792DD">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4.1本项目与县级集中式饮用水源保护区规划相符性</w:t>
            </w:r>
          </w:p>
          <w:p w14:paraId="692B3093">
            <w:pPr>
              <w:autoSpaceDE w:val="0"/>
              <w:autoSpaceDN w:val="0"/>
              <w:adjustRightInd w:val="0"/>
              <w:snapToGrid w:val="0"/>
              <w:spacing w:line="360" w:lineRule="auto"/>
              <w:ind w:firstLine="480" w:firstLineChars="200"/>
              <w:rPr>
                <w:rFonts w:hint="eastAsia" w:ascii="Times New Roman" w:hAnsi="Times New Roman" w:eastAsia="宋体"/>
              </w:rPr>
            </w:pPr>
            <w:r>
              <w:rPr>
                <w:rFonts w:hint="eastAsia" w:ascii="Times New Roman" w:hAnsi="Times New Roman" w:eastAsia="宋体"/>
              </w:rPr>
              <w:t>根据河南省人民政府办公厅印发《关于印发河南省县级集中式饮用水水源保护区划的通知》（豫政办〔2013〕107号）</w:t>
            </w:r>
            <w:r>
              <w:rPr>
                <w:rFonts w:hint="eastAsia" w:ascii="Times New Roman" w:hAnsi="Times New Roman" w:eastAsia="宋体"/>
                <w:lang w:eastAsia="zh-CN"/>
              </w:rPr>
              <w:t>，河南省人民政府关于调整部分集中式饮用水水源保护区的通知（豫政文</w:t>
            </w:r>
            <w:r>
              <w:rPr>
                <w:rFonts w:hint="eastAsia" w:ascii="Times New Roman" w:hAnsi="Times New Roman" w:eastAsia="宋体"/>
                <w:lang w:val="en-US" w:eastAsia="zh-CN"/>
              </w:rPr>
              <w:t>[2019]19号</w:t>
            </w:r>
            <w:r>
              <w:rPr>
                <w:rFonts w:hint="eastAsia" w:ascii="Times New Roman" w:hAnsi="Times New Roman" w:eastAsia="宋体"/>
                <w:lang w:eastAsia="zh-CN"/>
              </w:rPr>
              <w:t>），</w:t>
            </w:r>
            <w:r>
              <w:rPr>
                <w:rFonts w:hint="eastAsia" w:ascii="Times New Roman" w:hAnsi="Times New Roman" w:eastAsia="宋体"/>
              </w:rPr>
              <w:t>距离本项目厂址较近的县级集中饮用水源为</w:t>
            </w:r>
            <w:r>
              <w:rPr>
                <w:rFonts w:hint="eastAsia" w:ascii="Times New Roman" w:hAnsi="Times New Roman" w:eastAsia="宋体"/>
                <w:lang w:eastAsia="zh-CN"/>
              </w:rPr>
              <w:t>南乐县第二水厂地下水井群（共</w:t>
            </w:r>
            <w:r>
              <w:rPr>
                <w:rFonts w:hint="eastAsia" w:ascii="Times New Roman" w:hAnsi="Times New Roman" w:eastAsia="宋体"/>
                <w:lang w:val="en-US" w:eastAsia="zh-CN"/>
              </w:rPr>
              <w:t>23眼井</w:t>
            </w:r>
            <w:r>
              <w:rPr>
                <w:rFonts w:hint="eastAsia" w:ascii="Times New Roman" w:hAnsi="Times New Roman" w:eastAsia="宋体"/>
                <w:lang w:eastAsia="zh-CN"/>
              </w:rPr>
              <w:t>）</w:t>
            </w:r>
            <w:r>
              <w:rPr>
                <w:rFonts w:hint="eastAsia" w:ascii="Times New Roman" w:hAnsi="Times New Roman" w:eastAsia="宋体"/>
              </w:rPr>
              <w:t>。具体保护范围如下：</w:t>
            </w:r>
          </w:p>
          <w:p w14:paraId="22D6FBBE">
            <w:pPr>
              <w:autoSpaceDE w:val="0"/>
              <w:autoSpaceDN w:val="0"/>
              <w:adjustRightInd w:val="0"/>
              <w:snapToGrid w:val="0"/>
              <w:spacing w:line="360" w:lineRule="auto"/>
              <w:ind w:firstLine="480" w:firstLineChars="200"/>
              <w:rPr>
                <w:rFonts w:hint="eastAsia" w:ascii="Times New Roman" w:hAnsi="Times New Roman" w:eastAsia="宋体"/>
              </w:rPr>
            </w:pPr>
            <w:r>
              <w:rPr>
                <w:rFonts w:hint="eastAsia" w:ascii="Times New Roman" w:hAnsi="Times New Roman" w:eastAsia="宋体"/>
              </w:rPr>
              <w:t>一级保护区范围</w:t>
            </w:r>
            <w:r>
              <w:rPr>
                <w:rFonts w:hint="eastAsia" w:ascii="Times New Roman" w:hAnsi="Times New Roman" w:eastAsia="宋体"/>
                <w:lang w:eastAsia="zh-CN"/>
              </w:rPr>
              <w:t>：</w:t>
            </w:r>
            <w:r>
              <w:rPr>
                <w:rFonts w:hint="eastAsia" w:ascii="Times New Roman" w:hAnsi="Times New Roman" w:eastAsia="宋体"/>
                <w:lang w:val="en-US" w:eastAsia="zh-CN"/>
              </w:rPr>
              <w:t>TC</w:t>
            </w:r>
            <w:r>
              <w:rPr>
                <w:rFonts w:hint="eastAsia" w:ascii="Times New Roman" w:hAnsi="Times New Roman" w:eastAsia="宋体"/>
              </w:rPr>
              <w:t>1～</w:t>
            </w:r>
            <w:r>
              <w:rPr>
                <w:rFonts w:hint="eastAsia" w:ascii="Times New Roman" w:hAnsi="Times New Roman" w:eastAsia="宋体"/>
                <w:lang w:val="en-US" w:eastAsia="zh-CN"/>
              </w:rPr>
              <w:t>TC11</w:t>
            </w:r>
            <w:r>
              <w:rPr>
                <w:rFonts w:hint="eastAsia" w:ascii="Times New Roman" w:hAnsi="Times New Roman" w:eastAsia="宋体"/>
              </w:rPr>
              <w:t>、</w:t>
            </w:r>
            <w:r>
              <w:rPr>
                <w:rFonts w:hint="eastAsia" w:ascii="Times New Roman" w:hAnsi="Times New Roman" w:eastAsia="宋体"/>
                <w:lang w:val="en-US" w:eastAsia="zh-CN"/>
              </w:rPr>
              <w:t>ZK5</w:t>
            </w:r>
            <w:r>
              <w:rPr>
                <w:rFonts w:hint="eastAsia" w:ascii="Times New Roman" w:hAnsi="Times New Roman" w:eastAsia="宋体"/>
              </w:rPr>
              <w:t>、</w:t>
            </w:r>
            <w:r>
              <w:rPr>
                <w:rFonts w:hint="eastAsia" w:ascii="Times New Roman" w:hAnsi="Times New Roman" w:eastAsia="宋体"/>
                <w:lang w:val="en-US" w:eastAsia="zh-CN"/>
              </w:rPr>
              <w:t>ZK</w:t>
            </w:r>
            <w:r>
              <w:rPr>
                <w:rFonts w:hint="eastAsia" w:ascii="Times New Roman" w:hAnsi="Times New Roman" w:eastAsia="宋体"/>
              </w:rPr>
              <w:t>7、</w:t>
            </w:r>
            <w:r>
              <w:rPr>
                <w:rFonts w:hint="eastAsia" w:ascii="Times New Roman" w:hAnsi="Times New Roman" w:eastAsia="宋体"/>
                <w:lang w:val="en-US" w:eastAsia="zh-CN"/>
              </w:rPr>
              <w:t>ZK</w:t>
            </w:r>
            <w:r>
              <w:rPr>
                <w:rFonts w:hint="eastAsia" w:ascii="Times New Roman" w:hAnsi="Times New Roman" w:eastAsia="宋体"/>
              </w:rPr>
              <w:t>9</w:t>
            </w:r>
            <w:r>
              <w:rPr>
                <w:rFonts w:hint="eastAsia" w:ascii="Times New Roman" w:hAnsi="Times New Roman" w:eastAsia="宋体"/>
                <w:lang w:eastAsia="zh-CN"/>
              </w:rPr>
              <w:t>、</w:t>
            </w:r>
            <w:r>
              <w:rPr>
                <w:rFonts w:hint="eastAsia" w:ascii="Times New Roman" w:hAnsi="Times New Roman" w:eastAsia="宋体"/>
                <w:lang w:val="en-US" w:eastAsia="zh-CN"/>
              </w:rPr>
              <w:t>ZK11</w:t>
            </w:r>
            <w:r>
              <w:rPr>
                <w:rFonts w:hint="eastAsia" w:ascii="Times New Roman" w:hAnsi="Times New Roman" w:eastAsia="宋体"/>
                <w:lang w:eastAsia="zh-CN"/>
              </w:rPr>
              <w:t>、</w:t>
            </w:r>
            <w:r>
              <w:rPr>
                <w:rFonts w:hint="eastAsia" w:ascii="Times New Roman" w:hAnsi="Times New Roman" w:eastAsia="宋体"/>
                <w:lang w:val="en-US" w:eastAsia="zh-CN"/>
              </w:rPr>
              <w:t>ZK13</w:t>
            </w:r>
            <w:r>
              <w:rPr>
                <w:rFonts w:hint="eastAsia" w:ascii="Times New Roman" w:hAnsi="Times New Roman" w:eastAsia="宋体"/>
                <w:lang w:eastAsia="zh-CN"/>
              </w:rPr>
              <w:t>、</w:t>
            </w:r>
            <w:r>
              <w:rPr>
                <w:rFonts w:hint="eastAsia" w:ascii="Times New Roman" w:hAnsi="Times New Roman" w:eastAsia="宋体"/>
                <w:lang w:val="en-US" w:eastAsia="zh-CN"/>
              </w:rPr>
              <w:t>ZK15</w:t>
            </w:r>
            <w:r>
              <w:rPr>
                <w:rFonts w:hint="eastAsia" w:ascii="Times New Roman" w:hAnsi="Times New Roman" w:eastAsia="宋体"/>
                <w:lang w:eastAsia="zh-CN"/>
              </w:rPr>
              <w:t>、</w:t>
            </w:r>
            <w:r>
              <w:rPr>
                <w:rFonts w:hint="eastAsia" w:ascii="Times New Roman" w:hAnsi="Times New Roman" w:eastAsia="宋体"/>
                <w:lang w:val="en-US" w:eastAsia="zh-CN"/>
              </w:rPr>
              <w:t>ZK17</w:t>
            </w:r>
            <w:r>
              <w:rPr>
                <w:rFonts w:hint="eastAsia" w:ascii="Times New Roman" w:hAnsi="Times New Roman" w:eastAsia="宋体"/>
                <w:lang w:eastAsia="zh-CN"/>
              </w:rPr>
              <w:t>、</w:t>
            </w:r>
            <w:r>
              <w:rPr>
                <w:rFonts w:hint="eastAsia" w:ascii="Times New Roman" w:hAnsi="Times New Roman" w:eastAsia="宋体"/>
                <w:lang w:val="en-US" w:eastAsia="zh-CN"/>
              </w:rPr>
              <w:t>SC2</w:t>
            </w:r>
            <w:r>
              <w:rPr>
                <w:rFonts w:hint="eastAsia" w:ascii="Times New Roman" w:hAnsi="Times New Roman" w:eastAsia="宋体"/>
              </w:rPr>
              <w:t>号</w:t>
            </w:r>
            <w:r>
              <w:rPr>
                <w:rFonts w:hint="eastAsia" w:ascii="Times New Roman" w:hAnsi="Times New Roman" w:eastAsia="宋体"/>
                <w:lang w:eastAsia="zh-CN"/>
              </w:rPr>
              <w:t>取水井</w:t>
            </w:r>
            <w:r>
              <w:rPr>
                <w:rFonts w:hint="eastAsia" w:ascii="Times New Roman" w:hAnsi="Times New Roman" w:eastAsia="宋体"/>
              </w:rPr>
              <w:t>外围</w:t>
            </w:r>
            <w:r>
              <w:rPr>
                <w:rFonts w:hint="eastAsia" w:ascii="Times New Roman" w:hAnsi="Times New Roman" w:eastAsia="宋体"/>
                <w:lang w:val="en-US" w:eastAsia="zh-CN"/>
              </w:rPr>
              <w:t>5</w:t>
            </w:r>
            <w:r>
              <w:rPr>
                <w:rFonts w:hint="eastAsia" w:ascii="Times New Roman" w:hAnsi="Times New Roman" w:eastAsia="宋体"/>
              </w:rPr>
              <w:t>0米</w:t>
            </w:r>
            <w:r>
              <w:rPr>
                <w:rFonts w:hint="eastAsia" w:ascii="Times New Roman" w:hAnsi="Times New Roman" w:eastAsia="宋体"/>
                <w:lang w:eastAsia="zh-CN"/>
              </w:rPr>
              <w:t>的区域，</w:t>
            </w:r>
            <w:r>
              <w:rPr>
                <w:rFonts w:hint="eastAsia" w:ascii="Times New Roman" w:hAnsi="Times New Roman" w:eastAsia="宋体"/>
                <w:lang w:val="en-US" w:eastAsia="zh-CN"/>
              </w:rPr>
              <w:t>ZK1~ZK2</w:t>
            </w:r>
            <w:r>
              <w:rPr>
                <w:rFonts w:hint="eastAsia" w:ascii="Times New Roman" w:hAnsi="Times New Roman" w:eastAsia="宋体"/>
                <w:lang w:eastAsia="zh-CN"/>
              </w:rPr>
              <w:t>、</w:t>
            </w:r>
            <w:r>
              <w:rPr>
                <w:rFonts w:hint="eastAsia" w:ascii="Times New Roman" w:hAnsi="Times New Roman" w:eastAsia="宋体"/>
                <w:lang w:val="en-US" w:eastAsia="zh-CN"/>
              </w:rPr>
              <w:t>ZK3~ZK4号井群外包线内及外围50</w:t>
            </w:r>
            <w:r>
              <w:rPr>
                <w:rFonts w:hint="eastAsia" w:ascii="Times New Roman" w:hAnsi="Times New Roman" w:eastAsia="宋体"/>
              </w:rPr>
              <w:t>0米的区域。</w:t>
            </w:r>
          </w:p>
          <w:p w14:paraId="409BE408">
            <w:pPr>
              <w:autoSpaceDE w:val="0"/>
              <w:autoSpaceDN w:val="0"/>
              <w:adjustRightInd w:val="0"/>
              <w:snapToGrid w:val="0"/>
              <w:spacing w:line="360" w:lineRule="auto"/>
              <w:ind w:firstLine="480" w:firstLineChars="200"/>
              <w:rPr>
                <w:rFonts w:hint="eastAsia" w:ascii="Times New Roman" w:hAnsi="Times New Roman" w:eastAsia="宋体"/>
              </w:rPr>
            </w:pPr>
            <w:r>
              <w:rPr>
                <w:rFonts w:hint="eastAsia" w:ascii="Times New Roman" w:hAnsi="Times New Roman" w:eastAsia="宋体"/>
                <w:lang w:eastAsia="zh-CN"/>
              </w:rPr>
              <w:t>二级保护区：一级保护区外，</w:t>
            </w:r>
            <w:r>
              <w:rPr>
                <w:rFonts w:hint="eastAsia" w:ascii="Times New Roman" w:hAnsi="Times New Roman" w:eastAsia="宋体"/>
                <w:lang w:val="en-US" w:eastAsia="zh-CN"/>
              </w:rPr>
              <w:t>TC1~TC11号取水井外围550米西至大广高速的区域</w:t>
            </w:r>
            <w:r>
              <w:rPr>
                <w:rFonts w:hint="eastAsia" w:ascii="Times New Roman" w:hAnsi="Times New Roman" w:eastAsia="宋体"/>
              </w:rPr>
              <w:t>。</w:t>
            </w:r>
          </w:p>
          <w:p w14:paraId="6AB683E2">
            <w:pPr>
              <w:autoSpaceDE w:val="0"/>
              <w:autoSpaceDN w:val="0"/>
              <w:adjustRightInd w:val="0"/>
              <w:snapToGrid w:val="0"/>
              <w:spacing w:line="360" w:lineRule="auto"/>
              <w:ind w:firstLine="480" w:firstLineChars="200"/>
              <w:rPr>
                <w:rFonts w:hint="eastAsia" w:ascii="Times New Roman" w:hAnsi="Times New Roman" w:eastAsia="宋体"/>
              </w:rPr>
            </w:pPr>
            <w:r>
              <w:rPr>
                <w:rFonts w:hint="eastAsia" w:ascii="Times New Roman" w:hAnsi="Times New Roman" w:eastAsia="宋体"/>
              </w:rPr>
              <w:t>本项目厂址</w:t>
            </w:r>
            <w:r>
              <w:rPr>
                <w:rFonts w:hint="eastAsia" w:ascii="Times New Roman" w:hAnsi="Times New Roman" w:eastAsia="宋体"/>
                <w:lang w:eastAsia="zh-CN"/>
              </w:rPr>
              <w:t>位于南乐县第二水厂地下水井群</w:t>
            </w:r>
            <w:r>
              <w:rPr>
                <w:rFonts w:hint="eastAsia" w:ascii="Times New Roman" w:hAnsi="Times New Roman" w:eastAsia="宋体"/>
              </w:rPr>
              <w:t>一级保护区</w:t>
            </w:r>
            <w:r>
              <w:rPr>
                <w:rFonts w:hint="eastAsia" w:ascii="Times New Roman" w:hAnsi="Times New Roman" w:eastAsia="宋体"/>
                <w:lang w:eastAsia="zh-CN"/>
              </w:rPr>
              <w:t>东北侧，距离为</w:t>
            </w:r>
            <w:r>
              <w:rPr>
                <w:rFonts w:hint="eastAsia" w:ascii="Times New Roman" w:hAnsi="Times New Roman" w:eastAsia="宋体"/>
                <w:lang w:val="en-US" w:eastAsia="zh-CN"/>
              </w:rPr>
              <w:t>7.6</w:t>
            </w:r>
            <w:r>
              <w:rPr>
                <w:rFonts w:hint="eastAsia" w:ascii="Times New Roman" w:hAnsi="Times New Roman" w:eastAsia="宋体"/>
              </w:rPr>
              <w:t>km。故本项目厂址不在县级集中式饮用水源保护区范围内。</w:t>
            </w:r>
          </w:p>
          <w:p w14:paraId="6424F151">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4.2本项目与乡镇集中式饮用水源保护区规划相符性</w:t>
            </w:r>
          </w:p>
          <w:p w14:paraId="4DC5A481">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根据河南省人民政府办公厅印发《关于印发河南省乡镇集中式饮用水水源保护区划的通知》（豫政办〔2016〕23号）和《南乐县“千吨万人”集中式饮用水水源保护范围（区）划分技术报告》。具体保护范围如下：</w:t>
            </w:r>
          </w:p>
          <w:p w14:paraId="4526C4C2">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（1）南乐县千口乡吕村水厂地下水井（共1眼井）</w:t>
            </w:r>
          </w:p>
          <w:p w14:paraId="50AD389F">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一级保护区范围:取水井外围30米的区域。</w:t>
            </w:r>
          </w:p>
          <w:p w14:paraId="4F7C24F8">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（2）南乐县福堪镇宋耿落水厂地下水井（共1眼井）</w:t>
            </w:r>
          </w:p>
          <w:p w14:paraId="48731D7B">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一级保护区范围:水厂厂区及外围东15米、南10米、北10米的区域。</w:t>
            </w:r>
          </w:p>
          <w:p w14:paraId="3FB4EB51">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（3）南乐县元村镇元村街水厂地下水井（共1眼井）</w:t>
            </w:r>
          </w:p>
          <w:p w14:paraId="23254748">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一级保护区范围:水厂厂区及外围西20米、南20米、北20米的区域。</w:t>
            </w:r>
          </w:p>
          <w:p w14:paraId="367F3F4A">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（4）南乐县谷金楼乡谷金楼水厂地下水井（共1眼井）</w:t>
            </w:r>
          </w:p>
          <w:p w14:paraId="28FB2704">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一级保护区范围:水厂厂区及外围东25米、南至209县道的区域。</w:t>
            </w:r>
          </w:p>
          <w:p w14:paraId="1405F11C">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（5）南乐县近德固乡佛善村水厂地下水井（共1眼井）</w:t>
            </w:r>
          </w:p>
          <w:p w14:paraId="799018FD">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一级保护区范围:水厂厂区及外围东20米、南10米、北10米的区域。</w:t>
            </w:r>
          </w:p>
          <w:p w14:paraId="6DF19DF3">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（6）南乐县西邵乡西邵集水厂地下水井（共1眼井）</w:t>
            </w:r>
          </w:p>
          <w:p w14:paraId="0D6ADA38">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一级保护区范围:水厂厂区及外围东20米、西50米、南至003乡道、北35米的区域。</w:t>
            </w:r>
          </w:p>
          <w:p w14:paraId="57749967">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（7）南乐县杨村乡仝史杨村水厂地下水井（共1眼井）</w:t>
            </w:r>
          </w:p>
          <w:p w14:paraId="17280622">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一级保护区范围:取水井外围30米的区域。</w:t>
            </w:r>
          </w:p>
          <w:p w14:paraId="2192D01F">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（8）南乐县梁村乡吴村水厂地下水井（共1眼井）</w:t>
            </w:r>
          </w:p>
          <w:p w14:paraId="64C14931">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一级保护区范围:水厂厂区及外围东10米、西10米、南30米的区域。</w:t>
            </w:r>
          </w:p>
          <w:p w14:paraId="39229634">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（9）南乐县寺庄乡东寺庄水厂地下水井（共1眼井）</w:t>
            </w:r>
          </w:p>
          <w:p w14:paraId="7DB05D36">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一级保护区范围:水厂厂区及外围东15米、南10米、北10米的区域。</w:t>
            </w:r>
          </w:p>
          <w:p w14:paraId="41066B8C">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（10）南乐县张果屯镇张果屯北街水厂地下水井（共1眼井）</w:t>
            </w:r>
          </w:p>
          <w:p w14:paraId="60599903">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一级保护区范围:水厂厂区及外围东15米、北10米的区域。</w:t>
            </w:r>
          </w:p>
          <w:p w14:paraId="5E4B5C7A">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（11）南乐县韩张镇南街水厂地下水井（共1眼井）</w:t>
            </w:r>
          </w:p>
          <w:p w14:paraId="649A8339">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一级保护区范围:取水井外围30米的区域。</w:t>
            </w:r>
          </w:p>
          <w:p w14:paraId="2986A633">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w:t>
            </w:r>
            <w:r>
              <w:rPr>
                <w:rFonts w:hint="eastAsia" w:ascii="Times New Roman" w:hAnsi="Times New Roman" w:eastAsia="宋体" w:cs="Times New Roman"/>
                <w:color w:val="000000"/>
                <w:lang w:val="en-US" w:eastAsia="zh-CN"/>
              </w:rPr>
              <w:t>12</w:t>
            </w:r>
            <w:r>
              <w:rPr>
                <w:rFonts w:hint="eastAsia" w:ascii="Times New Roman" w:hAnsi="Times New Roman" w:eastAsia="宋体" w:cs="Times New Roman"/>
                <w:color w:val="000000"/>
                <w:lang w:val="zh-CN" w:eastAsia="zh-CN"/>
              </w:rPr>
              <w:t>）南乐县西邵乡五花营水厂饮用水源地：</w:t>
            </w:r>
          </w:p>
          <w:p w14:paraId="4072F159">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一级保护区范围:井群外包线外围30米的区域；</w:t>
            </w:r>
          </w:p>
          <w:p w14:paraId="68E8C202">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w:t>
            </w:r>
            <w:r>
              <w:rPr>
                <w:rFonts w:hint="eastAsia" w:ascii="Times New Roman" w:hAnsi="Times New Roman" w:eastAsia="宋体" w:cs="Times New Roman"/>
                <w:color w:val="000000"/>
                <w:lang w:val="en-US" w:eastAsia="zh-CN"/>
              </w:rPr>
              <w:t>13</w:t>
            </w:r>
            <w:r>
              <w:rPr>
                <w:rFonts w:hint="eastAsia" w:ascii="Times New Roman" w:hAnsi="Times New Roman" w:eastAsia="宋体" w:cs="Times New Roman"/>
                <w:color w:val="000000"/>
                <w:lang w:val="zh-CN" w:eastAsia="zh-CN"/>
              </w:rPr>
              <w:t>）南乐县西邵乡赵任村水厂饮用水源地：</w:t>
            </w:r>
          </w:p>
          <w:p w14:paraId="399553E4">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一级保护区范围:取水井外围30米的区域（取水井在水厂外，保护区范围包括水厂厂区）；</w:t>
            </w:r>
          </w:p>
          <w:p w14:paraId="2D89CD67">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w:t>
            </w:r>
            <w:r>
              <w:rPr>
                <w:rFonts w:hint="eastAsia" w:ascii="Times New Roman" w:hAnsi="Times New Roman" w:eastAsia="宋体" w:cs="Times New Roman"/>
                <w:color w:val="000000"/>
                <w:lang w:val="en-US" w:eastAsia="zh-CN"/>
              </w:rPr>
              <w:t>14</w:t>
            </w:r>
            <w:r>
              <w:rPr>
                <w:rFonts w:hint="eastAsia" w:ascii="Times New Roman" w:hAnsi="Times New Roman" w:eastAsia="宋体" w:cs="Times New Roman"/>
                <w:color w:val="000000"/>
                <w:lang w:val="zh-CN" w:eastAsia="zh-CN"/>
              </w:rPr>
              <w:t>）南乐县韩张镇西韩固疃水厂饮用水源地：</w:t>
            </w:r>
          </w:p>
          <w:p w14:paraId="4670501B">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 取水井外围30米的区域（取水井在水厂外，保护区范围包括水厂厂区）；</w:t>
            </w:r>
          </w:p>
          <w:p w14:paraId="48D216E8">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w:t>
            </w:r>
            <w:r>
              <w:rPr>
                <w:rFonts w:hint="eastAsia" w:ascii="Times New Roman" w:hAnsi="Times New Roman" w:eastAsia="宋体" w:cs="Times New Roman"/>
                <w:color w:val="000000"/>
                <w:lang w:val="en-US" w:eastAsia="zh-CN"/>
              </w:rPr>
              <w:t>15</w:t>
            </w:r>
            <w:r>
              <w:rPr>
                <w:rFonts w:hint="eastAsia" w:ascii="Times New Roman" w:hAnsi="Times New Roman" w:eastAsia="宋体" w:cs="Times New Roman"/>
                <w:color w:val="000000"/>
                <w:lang w:val="zh-CN" w:eastAsia="zh-CN"/>
              </w:rPr>
              <w:t>）南乐县寺庄乡北渠头水厂饮用水源地：</w:t>
            </w:r>
          </w:p>
          <w:p w14:paraId="0E31CFB6">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一级保护区范围:井群外包线外围30米的区域；</w:t>
            </w:r>
          </w:p>
          <w:p w14:paraId="066D8D78">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eastAsia="zh-CN"/>
              </w:rPr>
              <w:t>（</w:t>
            </w:r>
            <w:r>
              <w:rPr>
                <w:rFonts w:hint="eastAsia" w:ascii="Times New Roman" w:hAnsi="Times New Roman" w:eastAsia="宋体"/>
                <w:color w:val="000000"/>
                <w:lang w:val="en-US" w:eastAsia="zh-CN"/>
              </w:rPr>
              <w:t>16</w:t>
            </w:r>
            <w:r>
              <w:rPr>
                <w:rFonts w:hint="eastAsia" w:ascii="Times New Roman" w:hAnsi="Times New Roman" w:eastAsia="宋体"/>
                <w:color w:val="000000"/>
                <w:lang w:val="zh-CN" w:eastAsia="zh-CN"/>
              </w:rPr>
              <w:t>）南乐县</w:t>
            </w:r>
            <w:r>
              <w:rPr>
                <w:rFonts w:hint="eastAsia" w:ascii="Times New Roman" w:hAnsi="Times New Roman" w:eastAsia="宋体"/>
                <w:color w:val="000000"/>
                <w:lang w:val="zh-CN"/>
              </w:rPr>
              <w:t>后什固水厂饮用水源地：</w:t>
            </w:r>
          </w:p>
          <w:p w14:paraId="565025B7">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rPr>
              <w:t>一级保护区范围:井群外包线外围30米的区域；</w:t>
            </w:r>
          </w:p>
          <w:p w14:paraId="32C254A3">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eastAsia="zh-CN"/>
              </w:rPr>
              <w:t>（</w:t>
            </w:r>
            <w:r>
              <w:rPr>
                <w:rFonts w:hint="eastAsia" w:ascii="Times New Roman" w:hAnsi="Times New Roman" w:eastAsia="宋体"/>
                <w:color w:val="000000"/>
                <w:lang w:val="en-US" w:eastAsia="zh-CN"/>
              </w:rPr>
              <w:t>17</w:t>
            </w:r>
            <w:r>
              <w:rPr>
                <w:rFonts w:hint="eastAsia" w:ascii="Times New Roman" w:hAnsi="Times New Roman" w:eastAsia="宋体"/>
                <w:color w:val="000000"/>
                <w:lang w:val="zh-CN" w:eastAsia="zh-CN"/>
              </w:rPr>
              <w:t>）南乐县梁村乡</w:t>
            </w:r>
            <w:r>
              <w:rPr>
                <w:rFonts w:hint="eastAsia" w:ascii="Times New Roman" w:hAnsi="Times New Roman" w:eastAsia="宋体"/>
                <w:color w:val="000000"/>
                <w:lang w:val="zh-CN"/>
              </w:rPr>
              <w:t>邵庄村水厂饮用水源地：</w:t>
            </w:r>
          </w:p>
          <w:p w14:paraId="799D2694">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rPr>
              <w:t>一级保护区范围:以单个水井为中心，半径30m的区域；</w:t>
            </w:r>
          </w:p>
          <w:p w14:paraId="38A198C9">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eastAsia="zh-CN"/>
              </w:rPr>
              <w:t>（</w:t>
            </w:r>
            <w:r>
              <w:rPr>
                <w:rFonts w:hint="eastAsia" w:ascii="Times New Roman" w:hAnsi="Times New Roman" w:eastAsia="宋体"/>
                <w:color w:val="000000"/>
                <w:lang w:val="en-US" w:eastAsia="zh-CN"/>
              </w:rPr>
              <w:t>18</w:t>
            </w:r>
            <w:r>
              <w:rPr>
                <w:rFonts w:hint="eastAsia" w:ascii="Times New Roman" w:hAnsi="Times New Roman" w:eastAsia="宋体"/>
                <w:color w:val="000000"/>
                <w:lang w:val="zh-CN" w:eastAsia="zh-CN"/>
              </w:rPr>
              <w:t>）南乐县杨村乡</w:t>
            </w:r>
            <w:r>
              <w:rPr>
                <w:rFonts w:hint="eastAsia" w:ascii="Times New Roman" w:hAnsi="Times New Roman" w:eastAsia="宋体"/>
                <w:color w:val="000000"/>
                <w:lang w:val="zh-CN"/>
              </w:rPr>
              <w:t>赫庄村水厂饮用水源地：</w:t>
            </w:r>
          </w:p>
          <w:p w14:paraId="7C7CB713">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rPr>
              <w:t>一级保护区范围:井群外包线外围30米的区域</w:t>
            </w:r>
            <w:r>
              <w:rPr>
                <w:rFonts w:hint="eastAsia" w:ascii="Times New Roman" w:hAnsi="Times New Roman" w:eastAsia="宋体"/>
                <w:color w:val="000000"/>
                <w:lang w:val="zh-CN" w:eastAsia="zh-CN"/>
              </w:rPr>
              <w:t>。</w:t>
            </w:r>
          </w:p>
          <w:p w14:paraId="19F38183">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rPr>
              <w:t>本项目</w:t>
            </w:r>
            <w:r>
              <w:rPr>
                <w:rFonts w:hint="eastAsia" w:ascii="Times New Roman" w:hAnsi="Times New Roman" w:eastAsia="宋体"/>
                <w:color w:val="000000"/>
                <w:lang w:val="zh-CN" w:eastAsia="zh-CN"/>
              </w:rPr>
              <w:t>位于濮阳市南乐县产业集聚区</w:t>
            </w:r>
            <w:r>
              <w:rPr>
                <w:rFonts w:hint="eastAsia" w:ascii="Times New Roman" w:hAnsi="Times New Roman" w:eastAsia="宋体"/>
                <w:color w:val="000000"/>
                <w:lang w:val="en-US" w:eastAsia="zh-CN"/>
              </w:rPr>
              <w:t>，</w:t>
            </w:r>
            <w:r>
              <w:rPr>
                <w:rFonts w:hint="eastAsia" w:ascii="Times New Roman" w:hAnsi="Times New Roman" w:eastAsia="宋体"/>
                <w:color w:val="000000"/>
                <w:lang w:val="zh-CN" w:eastAsia="zh-CN"/>
              </w:rPr>
              <w:t>距离项目最近的水源地为</w:t>
            </w:r>
            <w:r>
              <w:rPr>
                <w:rFonts w:hint="eastAsia" w:ascii="Times New Roman" w:hAnsi="Times New Roman" w:eastAsia="宋体"/>
                <w:color w:val="000000"/>
                <w:lang w:val="zh-CN"/>
              </w:rPr>
              <w:t>南乐县谷金楼乡谷金楼水厂地下水井</w:t>
            </w:r>
            <w:r>
              <w:rPr>
                <w:rFonts w:hint="eastAsia" w:ascii="Times New Roman" w:hAnsi="Times New Roman" w:eastAsia="宋体"/>
                <w:color w:val="000000"/>
                <w:lang w:val="zh-CN" w:eastAsia="zh-CN"/>
              </w:rPr>
              <w:t>，厂区位于该水源地南侧，</w:t>
            </w:r>
            <w:r>
              <w:rPr>
                <w:rFonts w:hint="eastAsia" w:ascii="Times New Roman" w:hAnsi="Times New Roman" w:eastAsia="宋体"/>
                <w:color w:val="000000"/>
                <w:lang w:val="zh-CN"/>
              </w:rPr>
              <w:t>距</w:t>
            </w:r>
            <w:r>
              <w:rPr>
                <w:rFonts w:hint="eastAsia" w:ascii="Times New Roman" w:hAnsi="Times New Roman" w:eastAsia="宋体"/>
                <w:color w:val="000000"/>
                <w:lang w:val="zh-CN" w:eastAsia="zh-CN"/>
              </w:rPr>
              <w:t>离</w:t>
            </w:r>
            <w:r>
              <w:rPr>
                <w:rFonts w:hint="eastAsia" w:ascii="Times New Roman" w:hAnsi="Times New Roman" w:eastAsia="宋体"/>
                <w:color w:val="000000"/>
                <w:lang w:val="en-US" w:eastAsia="zh-CN"/>
              </w:rPr>
              <w:t>2.9</w:t>
            </w:r>
            <w:r>
              <w:rPr>
                <w:rFonts w:hint="eastAsia" w:ascii="Times New Roman" w:hAnsi="Times New Roman" w:eastAsia="宋体"/>
                <w:color w:val="000000"/>
                <w:lang w:val="zh-CN"/>
              </w:rPr>
              <w:t>km，本项目厂址不在上述乡镇集中式饮用水源保护区范围内。</w:t>
            </w:r>
          </w:p>
          <w:p w14:paraId="24BA0581">
            <w:pPr>
              <w:spacing w:line="520" w:lineRule="exact"/>
              <w:ind w:firstLine="480" w:firstLineChars="200"/>
              <w:rPr>
                <w:rFonts w:hint="default" w:ascii="Times New Roman" w:hAnsi="Times New Roman" w:eastAsia="宋体" w:cs="Times New Roman"/>
                <w:b/>
                <w:bCs/>
                <w:kern w:val="0"/>
                <w:szCs w:val="21"/>
                <w:lang w:val="en-US" w:eastAsia="zh-CN"/>
              </w:rPr>
            </w:pPr>
            <w:r>
              <w:rPr>
                <w:rFonts w:hint="eastAsia" w:ascii="Times New Roman" w:hAnsi="Times New Roman" w:eastAsia="宋体"/>
                <w:color w:val="000000"/>
                <w:lang w:val="zh-CN"/>
              </w:rPr>
              <w:t>综上所述，本项目距以上各水源地距离均较远，不在其保护区范围内</w:t>
            </w:r>
            <w:r>
              <w:rPr>
                <w:rFonts w:hint="eastAsia" w:ascii="Times New Roman" w:hAnsi="Times New Roman" w:eastAsia="宋体"/>
                <w:color w:val="000000"/>
                <w:lang w:val="zh-CN" w:eastAsia="zh-CN"/>
              </w:rPr>
              <w:t>。</w:t>
            </w:r>
          </w:p>
        </w:tc>
      </w:tr>
    </w:tbl>
    <w:p w14:paraId="395AFE6A">
      <w:pPr>
        <w:rPr>
          <w:lang w:val="en-US" w:eastAsia="zh-CN"/>
        </w:rPr>
      </w:pPr>
      <w:r>
        <w:rPr>
          <w:lang w:val="en-US" w:eastAsia="zh-CN"/>
        </w:rPr>
        <w:br w:type="page"/>
      </w:r>
    </w:p>
    <w:p w14:paraId="427F31AC">
      <w:pPr>
        <w:pStyle w:val="4"/>
        <w:bidi w:val="0"/>
        <w:rPr>
          <w:rFonts w:hint="eastAsia" w:ascii="黑体" w:hAnsi="黑体" w:eastAsia="黑体" w:cs="黑体"/>
          <w:b/>
          <w:bCs/>
          <w:sz w:val="32"/>
          <w:szCs w:val="32"/>
        </w:rPr>
      </w:pPr>
      <w:r>
        <w:rPr>
          <w:rFonts w:hint="eastAsia" w:ascii="黑体" w:hAnsi="黑体" w:eastAsia="黑体" w:cs="黑体"/>
          <w:b/>
          <w:bCs/>
          <w:sz w:val="32"/>
          <w:szCs w:val="32"/>
        </w:rPr>
        <w:t>二、建设项目工程分析</w:t>
      </w:r>
    </w:p>
    <w:tbl>
      <w:tblPr>
        <w:tblStyle w:val="16"/>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48"/>
        <w:gridCol w:w="8112"/>
      </w:tblGrid>
      <w:tr w14:paraId="1477C5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948" w:type="dxa"/>
            <w:noWrap w:val="0"/>
            <w:vAlign w:val="center"/>
          </w:tcPr>
          <w:p w14:paraId="06EC207E">
            <w:pPr>
              <w:pStyle w:val="14"/>
              <w:adjustRightInd w:val="0"/>
              <w:snapToGrid w:val="0"/>
              <w:spacing w:before="0" w:beforeAutospacing="0" w:after="0" w:afterAutospacing="0"/>
              <w:jc w:val="center"/>
              <w:rPr>
                <w:rFonts w:hint="eastAsia" w:cs="宋体"/>
                <w:sz w:val="21"/>
                <w:szCs w:val="21"/>
              </w:rPr>
            </w:pPr>
            <w:r>
              <w:rPr>
                <w:rFonts w:hint="eastAsia" w:cs="宋体"/>
                <w:sz w:val="21"/>
                <w:szCs w:val="21"/>
              </w:rPr>
              <w:t>建设</w:t>
            </w:r>
          </w:p>
          <w:p w14:paraId="11BC7936">
            <w:pPr>
              <w:pStyle w:val="14"/>
              <w:adjustRightInd w:val="0"/>
              <w:snapToGrid w:val="0"/>
              <w:spacing w:before="0" w:beforeAutospacing="0" w:after="0" w:afterAutospacing="0"/>
              <w:jc w:val="center"/>
              <w:rPr>
                <w:rFonts w:cs="宋体"/>
                <w:sz w:val="21"/>
                <w:szCs w:val="21"/>
              </w:rPr>
            </w:pPr>
            <w:r>
              <w:rPr>
                <w:rFonts w:hint="eastAsia" w:cs="宋体"/>
                <w:sz w:val="21"/>
                <w:szCs w:val="21"/>
              </w:rPr>
              <w:t>内容</w:t>
            </w:r>
          </w:p>
        </w:tc>
        <w:tc>
          <w:tcPr>
            <w:tcW w:w="8112" w:type="dxa"/>
            <w:noWrap w:val="0"/>
            <w:vAlign w:val="top"/>
          </w:tcPr>
          <w:p w14:paraId="39DB547F">
            <w:pPr>
              <w:pStyle w:val="28"/>
              <w:spacing w:line="520" w:lineRule="exact"/>
              <w:jc w:val="left"/>
              <w:rPr>
                <w:rFonts w:hint="eastAsia" w:ascii="Times New Roman" w:hAnsi="Times New Roman" w:cs="Times New Roman"/>
                <w:b/>
                <w:bCs/>
                <w:color w:val="000000"/>
                <w:lang w:val="en-US" w:eastAsia="zh-CN" w:bidi="zh-CN"/>
              </w:rPr>
            </w:pPr>
            <w:r>
              <w:rPr>
                <w:rFonts w:hint="eastAsia" w:ascii="Times New Roman" w:hAnsi="Times New Roman" w:cs="Times New Roman"/>
                <w:b/>
                <w:bCs/>
                <w:color w:val="000000"/>
                <w:lang w:val="en-US" w:eastAsia="zh-CN" w:bidi="zh-CN"/>
              </w:rPr>
              <w:t>1、项目概况</w:t>
            </w:r>
          </w:p>
          <w:p w14:paraId="0D9B1A07">
            <w:pPr>
              <w:spacing w:line="520" w:lineRule="exact"/>
              <w:ind w:firstLine="480" w:firstLineChars="200"/>
              <w:rPr>
                <w:rFonts w:hint="eastAsia" w:ascii="Times New Roman" w:hAnsi="Times New Roman" w:eastAsia="宋体"/>
                <w:color w:val="000000"/>
                <w:highlight w:val="none"/>
                <w:lang w:val="zh-CN" w:eastAsia="zh-CN"/>
              </w:rPr>
            </w:pPr>
            <w:r>
              <w:rPr>
                <w:rFonts w:hint="eastAsia" w:ascii="Times New Roman" w:hAnsi="Times New Roman" w:eastAsia="宋体"/>
                <w:color w:val="000000"/>
                <w:highlight w:val="none"/>
                <w:lang w:val="zh-CN"/>
              </w:rPr>
              <w:t>本项目</w:t>
            </w:r>
            <w:r>
              <w:rPr>
                <w:rFonts w:hint="eastAsia" w:ascii="Times New Roman" w:hAnsi="Times New Roman" w:eastAsia="宋体"/>
                <w:color w:val="000000"/>
                <w:highlight w:val="none"/>
                <w:lang w:val="en-US" w:eastAsia="zh-CN"/>
              </w:rPr>
              <w:t>为位于濮阳南乐县先进制造业开发区，</w:t>
            </w:r>
            <w:r>
              <w:rPr>
                <w:rFonts w:hint="eastAsia"/>
                <w:color w:val="000000"/>
                <w:highlight w:val="none"/>
                <w:lang w:val="en-US" w:eastAsia="zh-CN"/>
              </w:rPr>
              <w:t>民生</w:t>
            </w:r>
            <w:r>
              <w:rPr>
                <w:rFonts w:hint="eastAsia" w:ascii="Times New Roman" w:hAnsi="Times New Roman" w:eastAsia="宋体"/>
                <w:color w:val="000000"/>
                <w:highlight w:val="none"/>
                <w:lang w:val="en-US" w:eastAsia="zh-CN"/>
              </w:rPr>
              <w:t>路</w:t>
            </w:r>
            <w:r>
              <w:rPr>
                <w:rFonts w:hint="eastAsia"/>
                <w:color w:val="000000"/>
                <w:highlight w:val="none"/>
                <w:lang w:val="en-US" w:eastAsia="zh-CN"/>
              </w:rPr>
              <w:t>南侧，</w:t>
            </w:r>
            <w:r>
              <w:rPr>
                <w:rFonts w:hint="eastAsia" w:ascii="Times New Roman" w:hAnsi="Times New Roman" w:eastAsia="宋体"/>
                <w:color w:val="000000"/>
                <w:highlight w:val="none"/>
                <w:lang w:val="en-US" w:eastAsia="zh-CN"/>
              </w:rPr>
              <w:t>发展大道</w:t>
            </w:r>
            <w:r>
              <w:rPr>
                <w:rFonts w:hint="eastAsia"/>
                <w:color w:val="000000"/>
                <w:highlight w:val="none"/>
                <w:lang w:val="en-US" w:eastAsia="zh-CN"/>
              </w:rPr>
              <w:t>西侧。项目</w:t>
            </w:r>
            <w:r>
              <w:rPr>
                <w:rFonts w:hint="eastAsia" w:ascii="Times New Roman" w:hAnsi="Times New Roman" w:eastAsia="宋体"/>
                <w:color w:val="000000"/>
                <w:highlight w:val="none"/>
                <w:lang w:val="zh-CN"/>
              </w:rPr>
              <w:t>总投资</w:t>
            </w:r>
            <w:r>
              <w:rPr>
                <w:rFonts w:hint="eastAsia" w:ascii="Times New Roman" w:hAnsi="Times New Roman" w:eastAsia="宋体"/>
                <w:color w:val="000000"/>
                <w:highlight w:val="none"/>
                <w:lang w:val="en-US" w:eastAsia="zh-CN"/>
              </w:rPr>
              <w:t>63000</w:t>
            </w:r>
            <w:r>
              <w:rPr>
                <w:rFonts w:hint="eastAsia" w:ascii="Times New Roman" w:hAnsi="Times New Roman" w:eastAsia="宋体"/>
                <w:color w:val="000000"/>
                <w:highlight w:val="none"/>
                <w:lang w:val="zh-CN"/>
              </w:rPr>
              <w:t>万元，占地面积</w:t>
            </w:r>
            <w:r>
              <w:rPr>
                <w:rFonts w:hint="eastAsia" w:ascii="Times New Roman" w:hAnsi="Times New Roman" w:eastAsia="宋体"/>
                <w:color w:val="000000"/>
                <w:highlight w:val="none"/>
                <w:lang w:val="en-US" w:eastAsia="zh-CN"/>
              </w:rPr>
              <w:t>4万m²</w:t>
            </w:r>
            <w:r>
              <w:rPr>
                <w:rFonts w:hint="eastAsia" w:ascii="Times New Roman" w:hAnsi="Times New Roman" w:eastAsia="宋体"/>
                <w:color w:val="000000"/>
                <w:highlight w:val="none"/>
                <w:lang w:val="zh-CN"/>
              </w:rPr>
              <w:t>，由南乐县自然资源局出</w:t>
            </w:r>
            <w:r>
              <w:rPr>
                <w:rFonts w:hint="eastAsia"/>
                <w:color w:val="000000"/>
                <w:highlight w:val="none"/>
                <w:lang w:val="en-US" w:eastAsia="zh-CN"/>
              </w:rPr>
              <w:t>具的</w:t>
            </w:r>
            <w:r>
              <w:rPr>
                <w:rFonts w:hint="eastAsia" w:ascii="Times New Roman" w:hAnsi="Times New Roman" w:eastAsia="宋体"/>
                <w:color w:val="000000"/>
                <w:highlight w:val="none"/>
                <w:lang w:val="zh-CN"/>
              </w:rPr>
              <w:t>建设用地规划许可证</w:t>
            </w:r>
            <w:r>
              <w:rPr>
                <w:rFonts w:hint="eastAsia"/>
                <w:color w:val="000000"/>
                <w:highlight w:val="none"/>
                <w:lang w:val="zh-CN"/>
              </w:rPr>
              <w:t>，</w:t>
            </w:r>
            <w:r>
              <w:rPr>
                <w:rFonts w:hint="eastAsia" w:ascii="Times New Roman" w:hAnsi="Times New Roman" w:eastAsia="宋体"/>
                <w:color w:val="000000"/>
                <w:highlight w:val="none"/>
                <w:lang w:val="zh-CN"/>
              </w:rPr>
              <w:t>可知项目用地性质为工业用地</w:t>
            </w:r>
            <w:r>
              <w:rPr>
                <w:rFonts w:hint="eastAsia" w:ascii="Times New Roman" w:hAnsi="Times New Roman" w:eastAsia="宋体"/>
                <w:color w:val="000000"/>
                <w:highlight w:val="none"/>
                <w:lang w:val="zh-CN" w:eastAsia="zh-CN"/>
              </w:rPr>
              <w:t>。</w:t>
            </w:r>
          </w:p>
          <w:p w14:paraId="576408C8">
            <w:pPr>
              <w:spacing w:line="520" w:lineRule="exact"/>
              <w:ind w:firstLine="480" w:firstLineChars="200"/>
              <w:rPr>
                <w:rFonts w:hint="eastAsia" w:ascii="Times New Roman" w:hAnsi="Times New Roman" w:eastAsia="宋体"/>
                <w:color w:val="000000"/>
                <w:highlight w:val="none"/>
                <w:lang w:val="zh-CN"/>
              </w:rPr>
            </w:pPr>
            <w:r>
              <w:rPr>
                <w:rFonts w:hint="eastAsia" w:ascii="Times New Roman" w:hAnsi="Times New Roman" w:eastAsia="宋体"/>
                <w:color w:val="000000"/>
                <w:highlight w:val="none"/>
                <w:lang w:val="zh-CN"/>
              </w:rPr>
              <w:t>本项目为新建项目，</w:t>
            </w:r>
            <w:r>
              <w:rPr>
                <w:rFonts w:hint="eastAsia"/>
                <w:color w:val="000000"/>
                <w:highlight w:val="none"/>
                <w:lang w:val="en-US" w:eastAsia="zh-CN"/>
              </w:rPr>
              <w:t>于2023年6月7日</w:t>
            </w:r>
            <w:r>
              <w:rPr>
                <w:rFonts w:hint="eastAsia" w:ascii="Times New Roman" w:hAnsi="Times New Roman" w:eastAsia="宋体"/>
                <w:color w:val="000000"/>
                <w:highlight w:val="none"/>
                <w:lang w:val="zh-CN"/>
              </w:rPr>
              <w:t>在南乐县行政审批和政务信息管理局</w:t>
            </w:r>
            <w:r>
              <w:rPr>
                <w:rFonts w:hint="eastAsia"/>
                <w:color w:val="000000"/>
                <w:highlight w:val="none"/>
                <w:lang w:val="en-US" w:eastAsia="zh-CN"/>
              </w:rPr>
              <w:t>备案</w:t>
            </w:r>
            <w:r>
              <w:rPr>
                <w:rFonts w:hint="eastAsia" w:ascii="Times New Roman" w:hAnsi="Times New Roman" w:eastAsia="宋体"/>
                <w:color w:val="000000"/>
                <w:highlight w:val="none"/>
                <w:lang w:val="zh-CN"/>
              </w:rPr>
              <w:t>（项目代码：</w:t>
            </w:r>
            <w:r>
              <w:rPr>
                <w:rFonts w:hint="eastAsia" w:ascii="Times New Roman" w:hAnsi="Times New Roman" w:eastAsia="宋体"/>
                <w:color w:val="000000"/>
                <w:highlight w:val="none"/>
                <w:lang w:val="en-US" w:eastAsia="zh-CN"/>
              </w:rPr>
              <w:t>2306-410923-04-01-468652</w:t>
            </w:r>
            <w:r>
              <w:rPr>
                <w:rFonts w:hint="eastAsia" w:ascii="Times New Roman" w:hAnsi="Times New Roman" w:eastAsia="宋体"/>
                <w:color w:val="000000"/>
                <w:highlight w:val="none"/>
                <w:lang w:val="zh-CN"/>
              </w:rPr>
              <w:t>），经对照《产业结构调整指导目录（20</w:t>
            </w:r>
            <w:r>
              <w:rPr>
                <w:rFonts w:hint="eastAsia" w:ascii="Times New Roman" w:hAnsi="Times New Roman" w:eastAsia="宋体"/>
                <w:color w:val="000000"/>
                <w:highlight w:val="none"/>
                <w:lang w:val="en-US" w:eastAsia="zh-CN"/>
              </w:rPr>
              <w:t>24</w:t>
            </w:r>
            <w:r>
              <w:rPr>
                <w:rFonts w:hint="eastAsia" w:ascii="Times New Roman" w:hAnsi="Times New Roman" w:eastAsia="宋体"/>
                <w:color w:val="000000"/>
                <w:highlight w:val="none"/>
                <w:lang w:val="zh-CN"/>
              </w:rPr>
              <w:t>年本）》，本项目属</w:t>
            </w:r>
            <w:r>
              <w:rPr>
                <w:rFonts w:hint="eastAsia" w:ascii="Times New Roman" w:hAnsi="Times New Roman" w:eastAsia="宋体"/>
                <w:color w:val="000000"/>
                <w:highlight w:val="none"/>
                <w:lang w:val="en-US" w:eastAsia="zh-CN"/>
              </w:rPr>
              <w:t>鼓励</w:t>
            </w:r>
            <w:r>
              <w:rPr>
                <w:rFonts w:hint="eastAsia" w:ascii="Times New Roman" w:hAnsi="Times New Roman" w:eastAsia="宋体"/>
                <w:color w:val="000000"/>
                <w:highlight w:val="none"/>
                <w:lang w:val="zh-CN"/>
              </w:rPr>
              <w:t>类项目，符合国家产业政策。</w:t>
            </w:r>
          </w:p>
          <w:p w14:paraId="1A8446E8">
            <w:pPr>
              <w:spacing w:line="520" w:lineRule="exact"/>
              <w:ind w:firstLine="480" w:firstLineChars="200"/>
              <w:rPr>
                <w:rFonts w:hint="eastAsia" w:ascii="Times New Roman" w:hAnsi="Times New Roman" w:eastAsia="宋体"/>
                <w:color w:val="000000"/>
                <w:highlight w:val="none"/>
                <w:lang w:val="zh-CN"/>
              </w:rPr>
            </w:pPr>
            <w:r>
              <w:rPr>
                <w:rFonts w:hint="eastAsia" w:ascii="Times New Roman" w:hAnsi="Times New Roman" w:eastAsia="宋体"/>
                <w:color w:val="000000"/>
                <w:highlight w:val="none"/>
                <w:lang w:val="zh-CN"/>
              </w:rPr>
              <w:t>根据《建设项目环境影响评价分类管理名录》（2021年版）的规定，项目建筑材料制造属于“三十九、废弃资源综合利用业</w:t>
            </w:r>
            <w:r>
              <w:rPr>
                <w:rFonts w:hint="eastAsia" w:ascii="Times New Roman" w:hAnsi="Times New Roman" w:eastAsia="宋体"/>
                <w:color w:val="000000"/>
                <w:highlight w:val="none"/>
                <w:lang w:val="en-US" w:eastAsia="zh-CN"/>
              </w:rPr>
              <w:t>85</w:t>
            </w:r>
            <w:r>
              <w:rPr>
                <w:rFonts w:hint="eastAsia" w:ascii="Times New Roman" w:hAnsi="Times New Roman" w:eastAsia="宋体"/>
                <w:color w:val="000000"/>
                <w:highlight w:val="none"/>
                <w:lang w:val="zh-CN"/>
              </w:rPr>
              <w:t>、非金属废料和碎屑加工处理422”中的</w:t>
            </w:r>
            <w:r>
              <w:rPr>
                <w:rFonts w:hint="eastAsia" w:ascii="Times New Roman" w:hAnsi="Times New Roman" w:eastAsia="宋体"/>
                <w:color w:val="000000"/>
                <w:highlight w:val="none"/>
                <w:lang w:val="en-US" w:eastAsia="zh-CN"/>
              </w:rPr>
              <w:t>废轮胎处理</w:t>
            </w:r>
            <w:r>
              <w:rPr>
                <w:rFonts w:hint="eastAsia" w:ascii="Times New Roman" w:hAnsi="Times New Roman" w:eastAsia="宋体"/>
                <w:color w:val="000000"/>
                <w:highlight w:val="none"/>
                <w:lang w:val="zh-CN"/>
              </w:rPr>
              <w:t>，该项目需编制环境影响报告表。我公司经现场勘查、调研及收集有关资料，依据国家生态环境部对环境影响评价的相关规定及要求，编制该项目环境影响报告表。</w:t>
            </w:r>
          </w:p>
          <w:p w14:paraId="5A6A40C4">
            <w:pPr>
              <w:pStyle w:val="28"/>
              <w:spacing w:line="520" w:lineRule="exact"/>
              <w:jc w:val="left"/>
              <w:rPr>
                <w:rFonts w:hint="default" w:ascii="Times New Roman" w:hAnsi="Times New Roman" w:eastAsia="宋体" w:cs="Times New Roman"/>
                <w:b/>
                <w:bCs/>
                <w:color w:val="000000"/>
                <w:highlight w:val="none"/>
                <w:lang w:val="en-US" w:eastAsia="zh-CN" w:bidi="zh-CN"/>
              </w:rPr>
            </w:pPr>
            <w:r>
              <w:rPr>
                <w:rFonts w:hint="eastAsia" w:ascii="Times New Roman" w:hAnsi="Times New Roman" w:eastAsia="宋体" w:cs="Times New Roman"/>
                <w:b/>
                <w:bCs/>
                <w:color w:val="000000"/>
                <w:highlight w:val="none"/>
                <w:lang w:val="en-US" w:eastAsia="zh-CN" w:bidi="zh-CN"/>
              </w:rPr>
              <w:t>2、</w:t>
            </w:r>
            <w:r>
              <w:rPr>
                <w:rFonts w:hint="eastAsia" w:ascii="Times New Roman" w:hAnsi="Times New Roman" w:cs="Times New Roman"/>
                <w:b/>
                <w:bCs/>
                <w:color w:val="000000"/>
                <w:highlight w:val="none"/>
                <w:lang w:val="en-US" w:eastAsia="zh-CN" w:bidi="zh-CN"/>
              </w:rPr>
              <w:t>建设内容</w:t>
            </w:r>
          </w:p>
          <w:p w14:paraId="16AFB318">
            <w:pPr>
              <w:spacing w:line="520" w:lineRule="exact"/>
              <w:ind w:firstLine="482" w:firstLineChars="200"/>
              <w:rPr>
                <w:rFonts w:hint="eastAsia" w:ascii="Times New Roman" w:hAnsi="Times New Roman" w:eastAsia="宋体"/>
                <w:color w:val="000000"/>
                <w:lang w:val="en-US" w:eastAsia="zh-CN"/>
              </w:rPr>
            </w:pPr>
            <w:r>
              <w:rPr>
                <w:rFonts w:hint="eastAsia" w:ascii="Times New Roman" w:hAnsi="Times New Roman" w:eastAsia="宋体"/>
                <w:b/>
                <w:bCs/>
                <w:color w:val="000000"/>
                <w:u w:val="single"/>
                <w:lang w:val="en-US" w:eastAsia="zh-CN"/>
              </w:rPr>
              <w:t>根据现场勘察，本项目占地面积4万m²，其中综合楼1座，控制室1座，变配电室1座，消防泵房1座，制氮站1座，粗碎厂房1座，细碎、精碎厂房1座，原料库房1座，成品库房1座。</w:t>
            </w:r>
            <w:r>
              <w:rPr>
                <w:rFonts w:hint="eastAsia" w:ascii="Times New Roman" w:hAnsi="Times New Roman" w:eastAsia="宋体"/>
                <w:color w:val="000000"/>
                <w:lang w:val="en-US" w:eastAsia="zh-CN"/>
              </w:rPr>
              <w:t>项目工程内容见表2-1。</w:t>
            </w:r>
          </w:p>
          <w:p w14:paraId="0F37E1BB">
            <w:pPr>
              <w:spacing w:line="36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表2-1 项目工程组成一览表</w:t>
            </w:r>
          </w:p>
          <w:tbl>
            <w:tblPr>
              <w:tblStyle w:val="16"/>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485"/>
              <w:gridCol w:w="5024"/>
            </w:tblGrid>
            <w:tr w14:paraId="273B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57" w:type="pct"/>
                  <w:noWrap w:val="0"/>
                  <w:vAlign w:val="center"/>
                </w:tcPr>
                <w:p w14:paraId="4089D8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工程类别</w:t>
                  </w:r>
                </w:p>
              </w:tc>
              <w:tc>
                <w:tcPr>
                  <w:tcW w:w="967" w:type="pct"/>
                  <w:noWrap w:val="0"/>
                  <w:vAlign w:val="center"/>
                </w:tcPr>
                <w:p w14:paraId="070034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单项工程</w:t>
                  </w:r>
                </w:p>
              </w:tc>
              <w:tc>
                <w:tcPr>
                  <w:tcW w:w="3274" w:type="pct"/>
                  <w:noWrap w:val="0"/>
                  <w:vAlign w:val="center"/>
                </w:tcPr>
                <w:p w14:paraId="714B0D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建设内容</w:t>
                  </w:r>
                </w:p>
              </w:tc>
            </w:tr>
            <w:tr w14:paraId="3AC2F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7" w:type="pct"/>
                  <w:vMerge w:val="restart"/>
                  <w:noWrap w:val="0"/>
                  <w:vAlign w:val="center"/>
                </w:tcPr>
                <w:p w14:paraId="1570E8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主体工程</w:t>
                  </w:r>
                </w:p>
              </w:tc>
              <w:tc>
                <w:tcPr>
                  <w:tcW w:w="967" w:type="pct"/>
                  <w:noWrap w:val="0"/>
                  <w:vAlign w:val="center"/>
                </w:tcPr>
                <w:p w14:paraId="0C9CE3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1号车间</w:t>
                  </w:r>
                </w:p>
                <w:p w14:paraId="3205B0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w:t>
                  </w:r>
                  <w:r>
                    <w:rPr>
                      <w:rFonts w:hint="eastAsia" w:ascii="Times New Roman" w:hAnsi="Times New Roman" w:eastAsia="宋体" w:cs="Times New Roman"/>
                      <w:b/>
                      <w:bCs/>
                      <w:color w:val="000000"/>
                      <w:kern w:val="2"/>
                      <w:sz w:val="21"/>
                      <w:szCs w:val="21"/>
                      <w:u w:val="single"/>
                      <w:lang w:val="en-US" w:eastAsia="zh-CN" w:bidi="ar-SA"/>
                    </w:rPr>
                    <w:t>粗碎厂房</w:t>
                  </w:r>
                  <w:r>
                    <w:rPr>
                      <w:rFonts w:hint="eastAsia" w:cs="Times New Roman"/>
                      <w:b/>
                      <w:bCs/>
                      <w:color w:val="000000"/>
                      <w:kern w:val="2"/>
                      <w:sz w:val="21"/>
                      <w:szCs w:val="21"/>
                      <w:u w:val="single"/>
                      <w:lang w:val="en-US" w:eastAsia="zh-CN" w:bidi="ar-SA"/>
                    </w:rPr>
                    <w:t>）</w:t>
                  </w:r>
                </w:p>
              </w:tc>
              <w:tc>
                <w:tcPr>
                  <w:tcW w:w="3274" w:type="pct"/>
                  <w:noWrap w:val="0"/>
                  <w:vAlign w:val="center"/>
                </w:tcPr>
                <w:p w14:paraId="25A3BB86">
                  <w:pPr>
                    <w:rPr>
                      <w:rFonts w:hint="default" w:ascii="Times New Roman" w:hAnsi="Times New Roman" w:eastAsia="宋体" w:cs="Times New Roman"/>
                      <w:b/>
                      <w:bCs/>
                      <w:color w:val="000000"/>
                      <w:kern w:val="2"/>
                      <w:sz w:val="21"/>
                      <w:szCs w:val="21"/>
                      <w:highlight w:val="none"/>
                      <w:u w:val="single"/>
                      <w:lang w:val="en-US" w:eastAsia="zh-CN" w:bidi="ar-SA"/>
                    </w:rPr>
                  </w:pPr>
                  <w:r>
                    <w:rPr>
                      <w:rFonts w:hint="eastAsia" w:ascii="Times New Roman" w:hAnsi="Times New Roman" w:eastAsia="宋体" w:cs="Times New Roman"/>
                      <w:b/>
                      <w:bCs/>
                      <w:color w:val="000000"/>
                      <w:kern w:val="2"/>
                      <w:sz w:val="21"/>
                      <w:szCs w:val="21"/>
                      <w:highlight w:val="none"/>
                      <w:u w:val="single"/>
                      <w:lang w:val="en-US" w:eastAsia="zh-CN" w:bidi="ar-SA"/>
                    </w:rPr>
                    <w:t>1座，1层，占地面积900㎡，建筑面积900㎡，轻钢结构，放置子口分离机，块料及、粗碎机对废旧轮胎进行初步处理</w:t>
                  </w:r>
                </w:p>
              </w:tc>
            </w:tr>
            <w:tr w14:paraId="19A1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57" w:type="pct"/>
                  <w:vMerge w:val="continue"/>
                  <w:noWrap w:val="0"/>
                  <w:vAlign w:val="center"/>
                </w:tcPr>
                <w:p w14:paraId="0585F0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967" w:type="pct"/>
                  <w:noWrap w:val="0"/>
                  <w:vAlign w:val="center"/>
                </w:tcPr>
                <w:p w14:paraId="77BAD3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2号车间</w:t>
                  </w:r>
                </w:p>
                <w:p w14:paraId="0DA69E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w:t>
                  </w:r>
                  <w:r>
                    <w:rPr>
                      <w:rFonts w:hint="eastAsia" w:ascii="Times New Roman" w:hAnsi="Times New Roman" w:eastAsia="宋体" w:cs="Times New Roman"/>
                      <w:b/>
                      <w:bCs/>
                      <w:color w:val="000000"/>
                      <w:kern w:val="2"/>
                      <w:sz w:val="21"/>
                      <w:szCs w:val="21"/>
                      <w:u w:val="single"/>
                      <w:lang w:val="en-US" w:eastAsia="zh-CN" w:bidi="ar-SA"/>
                    </w:rPr>
                    <w:t>细碎、精碎厂房</w:t>
                  </w:r>
                  <w:r>
                    <w:rPr>
                      <w:rFonts w:hint="eastAsia" w:cs="Times New Roman"/>
                      <w:b/>
                      <w:bCs/>
                      <w:color w:val="000000"/>
                      <w:kern w:val="2"/>
                      <w:sz w:val="21"/>
                      <w:szCs w:val="21"/>
                      <w:u w:val="single"/>
                      <w:lang w:val="en-US" w:eastAsia="zh-CN" w:bidi="ar-SA"/>
                    </w:rPr>
                    <w:t>）</w:t>
                  </w:r>
                </w:p>
              </w:tc>
              <w:tc>
                <w:tcPr>
                  <w:tcW w:w="3274" w:type="pct"/>
                  <w:noWrap w:val="0"/>
                  <w:vAlign w:val="center"/>
                </w:tcPr>
                <w:p w14:paraId="1CEF4D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highlight w:val="none"/>
                      <w:u w:val="single"/>
                      <w:lang w:val="en-US" w:eastAsia="zh-CN" w:bidi="ar-SA"/>
                    </w:rPr>
                  </w:pPr>
                  <w:r>
                    <w:rPr>
                      <w:rFonts w:hint="eastAsia" w:ascii="Times New Roman" w:hAnsi="Times New Roman" w:eastAsia="宋体" w:cs="Times New Roman"/>
                      <w:b/>
                      <w:bCs/>
                      <w:color w:val="000000"/>
                      <w:kern w:val="2"/>
                      <w:sz w:val="21"/>
                      <w:szCs w:val="21"/>
                      <w:highlight w:val="none"/>
                      <w:u w:val="single"/>
                      <w:lang w:val="en-US" w:eastAsia="zh-CN" w:bidi="ar-SA"/>
                    </w:rPr>
                    <w:t>1座，1层，占地面积2880㎡，建筑面积2880</w:t>
                  </w:r>
                  <w:r>
                    <w:rPr>
                      <w:rFonts w:hint="default" w:ascii="Times New Roman" w:hAnsi="Times New Roman" w:eastAsia="宋体" w:cs="Times New Roman"/>
                      <w:b/>
                      <w:bCs/>
                      <w:color w:val="000000"/>
                      <w:kern w:val="2"/>
                      <w:sz w:val="21"/>
                      <w:szCs w:val="21"/>
                      <w:highlight w:val="none"/>
                      <w:u w:val="single"/>
                      <w:lang w:val="en-US" w:eastAsia="zh-CN" w:bidi="ar-SA"/>
                    </w:rPr>
                    <w:t xml:space="preserve"> </w:t>
                  </w:r>
                  <w:r>
                    <w:rPr>
                      <w:rFonts w:hint="eastAsia" w:ascii="Times New Roman" w:hAnsi="Times New Roman" w:eastAsia="宋体" w:cs="Times New Roman"/>
                      <w:b/>
                      <w:bCs/>
                      <w:color w:val="000000"/>
                      <w:kern w:val="2"/>
                      <w:sz w:val="21"/>
                      <w:szCs w:val="21"/>
                      <w:highlight w:val="none"/>
                      <w:u w:val="single"/>
                      <w:lang w:val="en-US" w:eastAsia="zh-CN" w:bidi="ar-SA"/>
                    </w:rPr>
                    <w:t>㎡，轻钢结构 ，放置中碎机、往复筛、除铁机、精细粉碎机、精细碎设备等生产设备进行生产</w:t>
                  </w:r>
                </w:p>
              </w:tc>
            </w:tr>
            <w:tr w14:paraId="1FC4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57" w:type="pct"/>
                  <w:vMerge w:val="restart"/>
                  <w:noWrap w:val="0"/>
                  <w:vAlign w:val="center"/>
                </w:tcPr>
                <w:p w14:paraId="5E72CD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辅助工程</w:t>
                  </w:r>
                </w:p>
              </w:tc>
              <w:tc>
                <w:tcPr>
                  <w:tcW w:w="967" w:type="pct"/>
                  <w:noWrap w:val="0"/>
                  <w:vAlign w:val="center"/>
                </w:tcPr>
                <w:p w14:paraId="5ED5A8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综合楼</w:t>
                  </w:r>
                </w:p>
              </w:tc>
              <w:tc>
                <w:tcPr>
                  <w:tcW w:w="3274" w:type="pct"/>
                  <w:noWrap w:val="0"/>
                  <w:vAlign w:val="center"/>
                </w:tcPr>
                <w:p w14:paraId="1372DE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color w:val="000000"/>
                      <w:kern w:val="2"/>
                      <w:sz w:val="21"/>
                      <w:szCs w:val="21"/>
                      <w:lang w:val="en-US" w:eastAsia="zh-CN" w:bidi="ar-SA"/>
                    </w:rPr>
                    <w:t xml:space="preserve">1座，3层，占地面积787㎡、建筑面积2361㎡，框架结构剪力墙 </w:t>
                  </w:r>
                </w:p>
              </w:tc>
            </w:tr>
            <w:tr w14:paraId="63D4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57" w:type="pct"/>
                  <w:vMerge w:val="continue"/>
                  <w:noWrap w:val="0"/>
                  <w:vAlign w:val="center"/>
                </w:tcPr>
                <w:p w14:paraId="7F59DF49">
                  <w:pPr>
                    <w:spacing w:line="360" w:lineRule="auto"/>
                    <w:jc w:val="center"/>
                    <w:rPr>
                      <w:bCs/>
                      <w:sz w:val="21"/>
                      <w:szCs w:val="21"/>
                    </w:rPr>
                  </w:pPr>
                </w:p>
              </w:tc>
              <w:tc>
                <w:tcPr>
                  <w:tcW w:w="967" w:type="pct"/>
                  <w:noWrap w:val="0"/>
                  <w:vAlign w:val="center"/>
                </w:tcPr>
                <w:p w14:paraId="1A047F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消防+给水</w:t>
                  </w:r>
                </w:p>
                <w:p w14:paraId="42F3ED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泵房</w:t>
                  </w:r>
                </w:p>
              </w:tc>
              <w:tc>
                <w:tcPr>
                  <w:tcW w:w="3274" w:type="pct"/>
                  <w:noWrap w:val="0"/>
                  <w:vAlign w:val="center"/>
                </w:tcPr>
                <w:p w14:paraId="3C38C1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1座，1层，占地面积300㎡、建筑面积300㎡，钢筋混凝土框架结构</w:t>
                  </w:r>
                </w:p>
              </w:tc>
            </w:tr>
            <w:tr w14:paraId="5D1C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57" w:type="pct"/>
                  <w:vMerge w:val="continue"/>
                  <w:noWrap w:val="0"/>
                  <w:vAlign w:val="center"/>
                </w:tcPr>
                <w:p w14:paraId="550339D9">
                  <w:pPr>
                    <w:spacing w:line="360" w:lineRule="auto"/>
                    <w:jc w:val="center"/>
                    <w:rPr>
                      <w:bCs/>
                      <w:sz w:val="21"/>
                      <w:szCs w:val="21"/>
                    </w:rPr>
                  </w:pPr>
                </w:p>
              </w:tc>
              <w:tc>
                <w:tcPr>
                  <w:tcW w:w="967" w:type="pct"/>
                  <w:noWrap w:val="0"/>
                  <w:vAlign w:val="center"/>
                </w:tcPr>
                <w:p w14:paraId="02A18E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氮气站</w:t>
                  </w:r>
                </w:p>
              </w:tc>
              <w:tc>
                <w:tcPr>
                  <w:tcW w:w="3274" w:type="pct"/>
                  <w:noWrap w:val="0"/>
                  <w:vAlign w:val="center"/>
                </w:tcPr>
                <w:p w14:paraId="0DFA15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1座，1层，占地面积450㎡、建筑面积450㎡，轻钢结构</w:t>
                  </w:r>
                </w:p>
              </w:tc>
            </w:tr>
            <w:tr w14:paraId="0DB29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57" w:type="pct"/>
                  <w:vMerge w:val="continue"/>
                  <w:noWrap w:val="0"/>
                  <w:vAlign w:val="center"/>
                </w:tcPr>
                <w:p w14:paraId="3EFCA220">
                  <w:pPr>
                    <w:spacing w:line="360" w:lineRule="auto"/>
                    <w:jc w:val="center"/>
                    <w:rPr>
                      <w:bCs/>
                      <w:sz w:val="21"/>
                      <w:szCs w:val="21"/>
                    </w:rPr>
                  </w:pPr>
                </w:p>
              </w:tc>
              <w:tc>
                <w:tcPr>
                  <w:tcW w:w="967" w:type="pct"/>
                  <w:noWrap w:val="0"/>
                  <w:vAlign w:val="center"/>
                </w:tcPr>
                <w:p w14:paraId="1596F7F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控制室</w:t>
                  </w:r>
                </w:p>
              </w:tc>
              <w:tc>
                <w:tcPr>
                  <w:tcW w:w="3274" w:type="pct"/>
                  <w:noWrap w:val="0"/>
                  <w:vAlign w:val="center"/>
                </w:tcPr>
                <w:p w14:paraId="79B1B7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1座，1层，占地面积197㎡、建筑面积197㎡，钢筋混凝土框架结构</w:t>
                  </w:r>
                </w:p>
              </w:tc>
            </w:tr>
            <w:tr w14:paraId="79311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57" w:type="pct"/>
                  <w:vMerge w:val="continue"/>
                  <w:noWrap w:val="0"/>
                  <w:vAlign w:val="center"/>
                </w:tcPr>
                <w:p w14:paraId="5EDD4A86">
                  <w:pPr>
                    <w:spacing w:line="360" w:lineRule="auto"/>
                    <w:jc w:val="center"/>
                    <w:rPr>
                      <w:bCs/>
                      <w:sz w:val="21"/>
                      <w:szCs w:val="21"/>
                    </w:rPr>
                  </w:pPr>
                </w:p>
              </w:tc>
              <w:tc>
                <w:tcPr>
                  <w:tcW w:w="967" w:type="pct"/>
                  <w:noWrap w:val="0"/>
                  <w:vAlign w:val="center"/>
                </w:tcPr>
                <w:p w14:paraId="113B50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变配电站</w:t>
                  </w:r>
                </w:p>
              </w:tc>
              <w:tc>
                <w:tcPr>
                  <w:tcW w:w="3274" w:type="pct"/>
                  <w:noWrap w:val="0"/>
                  <w:vAlign w:val="center"/>
                </w:tcPr>
                <w:p w14:paraId="5345CF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1座，1层，占地面积300㎡、建筑面积300㎡，钢筋混凝土框架结构</w:t>
                  </w:r>
                </w:p>
              </w:tc>
            </w:tr>
            <w:tr w14:paraId="153B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57" w:type="pct"/>
                  <w:vMerge w:val="restart"/>
                  <w:noWrap w:val="0"/>
                  <w:vAlign w:val="center"/>
                </w:tcPr>
                <w:p w14:paraId="1C4D8D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储运工程</w:t>
                  </w:r>
                </w:p>
              </w:tc>
              <w:tc>
                <w:tcPr>
                  <w:tcW w:w="967" w:type="pct"/>
                  <w:noWrap w:val="0"/>
                  <w:vAlign w:val="center"/>
                </w:tcPr>
                <w:p w14:paraId="1F2746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原料库房</w:t>
                  </w:r>
                </w:p>
              </w:tc>
              <w:tc>
                <w:tcPr>
                  <w:tcW w:w="3274" w:type="pct"/>
                  <w:noWrap w:val="0"/>
                  <w:vAlign w:val="center"/>
                </w:tcPr>
                <w:p w14:paraId="7A7CCB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1座，1层，占地面积</w:t>
                  </w:r>
                  <w:r>
                    <w:rPr>
                      <w:rFonts w:hint="default" w:ascii="Times New Roman" w:hAnsi="Times New Roman" w:eastAsia="宋体" w:cs="Times New Roman"/>
                      <w:color w:val="000000"/>
                      <w:kern w:val="2"/>
                      <w:sz w:val="21"/>
                      <w:szCs w:val="21"/>
                      <w:lang w:val="en-US" w:eastAsia="zh-CN" w:bidi="ar-SA"/>
                    </w:rPr>
                    <w:t xml:space="preserve">8156 </w:t>
                  </w:r>
                  <w:r>
                    <w:rPr>
                      <w:rFonts w:hint="eastAsia" w:ascii="Times New Roman" w:hAnsi="Times New Roman" w:eastAsia="宋体" w:cs="Times New Roman"/>
                      <w:color w:val="000000"/>
                      <w:kern w:val="2"/>
                      <w:sz w:val="21"/>
                      <w:szCs w:val="21"/>
                      <w:lang w:val="en-US" w:eastAsia="zh-CN" w:bidi="ar-SA"/>
                    </w:rPr>
                    <w:t>㎡，建筑面积</w:t>
                  </w:r>
                  <w:r>
                    <w:rPr>
                      <w:rFonts w:hint="default" w:ascii="Times New Roman" w:hAnsi="Times New Roman" w:eastAsia="宋体" w:cs="Times New Roman"/>
                      <w:color w:val="000000"/>
                      <w:kern w:val="2"/>
                      <w:sz w:val="21"/>
                      <w:szCs w:val="21"/>
                      <w:lang w:val="en-US" w:eastAsia="zh-CN" w:bidi="ar-SA"/>
                    </w:rPr>
                    <w:t xml:space="preserve">8156 </w:t>
                  </w:r>
                  <w:r>
                    <w:rPr>
                      <w:rFonts w:hint="eastAsia" w:ascii="Times New Roman" w:hAnsi="Times New Roman" w:eastAsia="宋体" w:cs="Times New Roman"/>
                      <w:color w:val="000000"/>
                      <w:kern w:val="2"/>
                      <w:sz w:val="21"/>
                      <w:szCs w:val="21"/>
                      <w:lang w:val="en-US" w:eastAsia="zh-CN" w:bidi="ar-SA"/>
                    </w:rPr>
                    <w:t>㎡，轻钢结构</w:t>
                  </w:r>
                </w:p>
              </w:tc>
            </w:tr>
            <w:tr w14:paraId="2A444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757" w:type="pct"/>
                  <w:vMerge w:val="continue"/>
                  <w:noWrap w:val="0"/>
                  <w:vAlign w:val="center"/>
                </w:tcPr>
                <w:p w14:paraId="2B2D44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967" w:type="pct"/>
                  <w:noWrap w:val="0"/>
                  <w:vAlign w:val="center"/>
                </w:tcPr>
                <w:p w14:paraId="1C9B54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成品库房</w:t>
                  </w:r>
                </w:p>
              </w:tc>
              <w:tc>
                <w:tcPr>
                  <w:tcW w:w="3274" w:type="pct"/>
                  <w:noWrap w:val="0"/>
                  <w:vAlign w:val="center"/>
                </w:tcPr>
                <w:p w14:paraId="6506B3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1座，1层，占地面积1956</w:t>
                  </w:r>
                  <w:r>
                    <w:rPr>
                      <w:rFonts w:hint="default" w:ascii="Times New Roman" w:hAnsi="Times New Roman" w:eastAsia="宋体" w:cs="Times New Roman"/>
                      <w:color w:val="000000"/>
                      <w:kern w:val="2"/>
                      <w:sz w:val="21"/>
                      <w:szCs w:val="21"/>
                      <w:lang w:val="en-US" w:eastAsia="zh-CN" w:bidi="ar-SA"/>
                    </w:rPr>
                    <w:t xml:space="preserve"> </w:t>
                  </w:r>
                  <w:r>
                    <w:rPr>
                      <w:rFonts w:hint="eastAsia" w:ascii="Times New Roman" w:hAnsi="Times New Roman" w:eastAsia="宋体" w:cs="Times New Roman"/>
                      <w:color w:val="000000"/>
                      <w:kern w:val="2"/>
                      <w:sz w:val="21"/>
                      <w:szCs w:val="21"/>
                      <w:lang w:val="en-US" w:eastAsia="zh-CN" w:bidi="ar-SA"/>
                    </w:rPr>
                    <w:t>㎡，建筑面积1956</w:t>
                  </w:r>
                  <w:r>
                    <w:rPr>
                      <w:rFonts w:hint="default" w:ascii="Times New Roman" w:hAnsi="Times New Roman" w:eastAsia="宋体" w:cs="Times New Roman"/>
                      <w:color w:val="000000"/>
                      <w:kern w:val="2"/>
                      <w:sz w:val="21"/>
                      <w:szCs w:val="21"/>
                      <w:lang w:val="en-US" w:eastAsia="zh-CN" w:bidi="ar-SA"/>
                    </w:rPr>
                    <w:t xml:space="preserve"> </w:t>
                  </w:r>
                  <w:r>
                    <w:rPr>
                      <w:rFonts w:hint="eastAsia" w:ascii="Times New Roman" w:hAnsi="Times New Roman" w:eastAsia="宋体" w:cs="Times New Roman"/>
                      <w:color w:val="000000"/>
                      <w:kern w:val="2"/>
                      <w:sz w:val="21"/>
                      <w:szCs w:val="21"/>
                      <w:lang w:val="en-US" w:eastAsia="zh-CN" w:bidi="ar-SA"/>
                    </w:rPr>
                    <w:t xml:space="preserve">㎡，轻钢结构 </w:t>
                  </w:r>
                </w:p>
              </w:tc>
            </w:tr>
            <w:tr w14:paraId="79F1B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57" w:type="pct"/>
                  <w:vMerge w:val="restart"/>
                  <w:noWrap w:val="0"/>
                  <w:vAlign w:val="center"/>
                </w:tcPr>
                <w:p w14:paraId="029DE0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公用工程</w:t>
                  </w:r>
                </w:p>
              </w:tc>
              <w:tc>
                <w:tcPr>
                  <w:tcW w:w="967" w:type="pct"/>
                  <w:noWrap w:val="0"/>
                  <w:vAlign w:val="center"/>
                </w:tcPr>
                <w:p w14:paraId="712912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供水</w:t>
                  </w:r>
                </w:p>
              </w:tc>
              <w:tc>
                <w:tcPr>
                  <w:tcW w:w="3274" w:type="pct"/>
                  <w:noWrap w:val="0"/>
                  <w:vAlign w:val="center"/>
                </w:tcPr>
                <w:p w14:paraId="1368D6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南乐县产业集聚区市政供水，能满足项目用水</w:t>
                  </w:r>
                  <w:r>
                    <w:rPr>
                      <w:rFonts w:hint="eastAsia" w:cs="Times New Roman"/>
                      <w:color w:val="000000"/>
                      <w:kern w:val="2"/>
                      <w:sz w:val="21"/>
                      <w:szCs w:val="21"/>
                      <w:highlight w:val="none"/>
                      <w:lang w:val="en-US" w:eastAsia="zh-CN" w:bidi="ar-SA"/>
                    </w:rPr>
                    <w:t>需求</w:t>
                  </w:r>
                </w:p>
              </w:tc>
            </w:tr>
            <w:tr w14:paraId="3E0C9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757" w:type="pct"/>
                  <w:vMerge w:val="continue"/>
                  <w:noWrap w:val="0"/>
                  <w:vAlign w:val="center"/>
                </w:tcPr>
                <w:p w14:paraId="6A65FB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967" w:type="pct"/>
                  <w:noWrap w:val="0"/>
                  <w:vAlign w:val="center"/>
                </w:tcPr>
                <w:p w14:paraId="1CD3BD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排水</w:t>
                  </w:r>
                </w:p>
              </w:tc>
              <w:tc>
                <w:tcPr>
                  <w:tcW w:w="3274" w:type="pct"/>
                  <w:noWrap w:val="0"/>
                  <w:vAlign w:val="center"/>
                </w:tcPr>
                <w:p w14:paraId="4F254B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排水系统按清污分流的原则，划分为雨水及净下水系统、生产生活污水系统；场内雨水直接排入园区雨水管网；生产污水</w:t>
                  </w:r>
                  <w:r>
                    <w:rPr>
                      <w:rFonts w:hint="eastAsia" w:cs="Times New Roman"/>
                      <w:color w:val="000000"/>
                      <w:kern w:val="2"/>
                      <w:sz w:val="21"/>
                      <w:szCs w:val="21"/>
                      <w:lang w:val="en-US" w:eastAsia="zh-CN" w:bidi="ar-SA"/>
                    </w:rPr>
                    <w:t>循环使用不外排</w:t>
                  </w:r>
                  <w:r>
                    <w:rPr>
                      <w:rFonts w:hint="eastAsia" w:ascii="Times New Roman" w:hAnsi="Times New Roman" w:eastAsia="宋体" w:cs="Times New Roman"/>
                      <w:color w:val="000000"/>
                      <w:kern w:val="2"/>
                      <w:sz w:val="21"/>
                      <w:szCs w:val="21"/>
                      <w:lang w:val="en-US" w:eastAsia="zh-CN" w:bidi="ar-SA"/>
                    </w:rPr>
                    <w:t>；生活污水主要为职工的洗涤及厕所排水，经化粪池处理后排至生活污水管网，最后排入厂区外的排水系统内。</w:t>
                  </w:r>
                </w:p>
              </w:tc>
            </w:tr>
            <w:tr w14:paraId="623A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757" w:type="pct"/>
                  <w:vMerge w:val="continue"/>
                  <w:noWrap w:val="0"/>
                  <w:vAlign w:val="center"/>
                </w:tcPr>
                <w:p w14:paraId="1C35D8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967" w:type="pct"/>
                  <w:noWrap w:val="0"/>
                  <w:vAlign w:val="center"/>
                </w:tcPr>
                <w:p w14:paraId="6C3C90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供电</w:t>
                  </w:r>
                </w:p>
              </w:tc>
              <w:tc>
                <w:tcPr>
                  <w:tcW w:w="3274" w:type="pct"/>
                  <w:noWrap w:val="0"/>
                  <w:vAlign w:val="center"/>
                </w:tcPr>
                <w:p w14:paraId="6D0099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南乐县产业集聚区市政供电，能满足项目用电要求</w:t>
                  </w:r>
                </w:p>
              </w:tc>
            </w:tr>
            <w:tr w14:paraId="20E83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757" w:type="pct"/>
                  <w:vMerge w:val="continue"/>
                  <w:noWrap w:val="0"/>
                  <w:vAlign w:val="center"/>
                </w:tcPr>
                <w:p w14:paraId="613A72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967" w:type="pct"/>
                  <w:noWrap w:val="0"/>
                  <w:vAlign w:val="center"/>
                </w:tcPr>
                <w:p w14:paraId="178DA0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采暖</w:t>
                  </w:r>
                </w:p>
              </w:tc>
              <w:tc>
                <w:tcPr>
                  <w:tcW w:w="3274" w:type="pct"/>
                  <w:noWrap w:val="0"/>
                  <w:vAlign w:val="center"/>
                </w:tcPr>
                <w:p w14:paraId="41D134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无集中供暖设施，采用壁挂式单体空调解决供暖需求</w:t>
                  </w:r>
                </w:p>
              </w:tc>
            </w:tr>
            <w:tr w14:paraId="560C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57" w:type="pct"/>
                  <w:vMerge w:val="restart"/>
                  <w:noWrap w:val="0"/>
                  <w:vAlign w:val="center"/>
                </w:tcPr>
                <w:p w14:paraId="3F1EEC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环保工程</w:t>
                  </w:r>
                </w:p>
              </w:tc>
              <w:tc>
                <w:tcPr>
                  <w:tcW w:w="967" w:type="pct"/>
                  <w:noWrap w:val="0"/>
                  <w:vAlign w:val="center"/>
                </w:tcPr>
                <w:p w14:paraId="5025AF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废气</w:t>
                  </w:r>
                </w:p>
              </w:tc>
              <w:tc>
                <w:tcPr>
                  <w:tcW w:w="3274" w:type="pct"/>
                  <w:noWrap w:val="0"/>
                  <w:vAlign w:val="center"/>
                </w:tcPr>
                <w:p w14:paraId="0D31F9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①项目</w:t>
                  </w:r>
                  <w:r>
                    <w:rPr>
                      <w:rFonts w:hint="eastAsia" w:cs="Times New Roman"/>
                      <w:color w:val="000000"/>
                      <w:kern w:val="2"/>
                      <w:sz w:val="21"/>
                      <w:szCs w:val="21"/>
                      <w:lang w:val="en-US" w:eastAsia="zh-CN" w:bidi="ar-SA"/>
                    </w:rPr>
                    <w:t>破碎、中碎</w:t>
                  </w:r>
                  <w:r>
                    <w:rPr>
                      <w:rFonts w:hint="eastAsia" w:ascii="Times New Roman" w:hAnsi="Times New Roman" w:eastAsia="宋体" w:cs="Times New Roman"/>
                      <w:color w:val="000000"/>
                      <w:kern w:val="2"/>
                      <w:sz w:val="21"/>
                      <w:szCs w:val="21"/>
                      <w:lang w:val="en-US" w:eastAsia="zh-CN" w:bidi="ar-SA"/>
                    </w:rPr>
                    <w:t>、筛分</w:t>
                  </w:r>
                  <w:r>
                    <w:rPr>
                      <w:rFonts w:hint="eastAsia" w:cs="Times New Roman"/>
                      <w:color w:val="000000"/>
                      <w:kern w:val="2"/>
                      <w:sz w:val="21"/>
                      <w:szCs w:val="21"/>
                      <w:lang w:val="en-US" w:eastAsia="zh-CN" w:bidi="ar-SA"/>
                    </w:rPr>
                    <w:t>、细碎</w:t>
                  </w:r>
                  <w:r>
                    <w:rPr>
                      <w:rFonts w:hint="eastAsia" w:ascii="Times New Roman" w:hAnsi="Times New Roman" w:eastAsia="宋体" w:cs="Times New Roman"/>
                      <w:color w:val="000000"/>
                      <w:kern w:val="2"/>
                      <w:sz w:val="21"/>
                      <w:szCs w:val="21"/>
                      <w:lang w:val="en-US" w:eastAsia="zh-CN" w:bidi="ar-SA"/>
                    </w:rPr>
                    <w:t>产生的废气经布袋除尘器处理后通过二级活性炭吸附由不低于 15m 高排气筒排放（3套）。</w:t>
                  </w:r>
                </w:p>
                <w:p w14:paraId="41BEC8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②食堂油烟：经高效油烟净化器处理后由专用烟道排放。</w:t>
                  </w:r>
                </w:p>
              </w:tc>
            </w:tr>
            <w:tr w14:paraId="2869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57" w:type="pct"/>
                  <w:vMerge w:val="continue"/>
                  <w:noWrap w:val="0"/>
                  <w:vAlign w:val="center"/>
                </w:tcPr>
                <w:p w14:paraId="3C215E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967" w:type="pct"/>
                  <w:noWrap w:val="0"/>
                  <w:vAlign w:val="center"/>
                </w:tcPr>
                <w:p w14:paraId="0B0D85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废水</w:t>
                  </w:r>
                </w:p>
              </w:tc>
              <w:tc>
                <w:tcPr>
                  <w:tcW w:w="3274" w:type="pct"/>
                  <w:noWrap w:val="0"/>
                  <w:vAlign w:val="center"/>
                </w:tcPr>
                <w:p w14:paraId="4F525566">
                  <w:pPr>
                    <w:keepNext w:val="0"/>
                    <w:keepLines w:val="0"/>
                    <w:widowControl/>
                    <w:suppressLineNumbers w:val="0"/>
                    <w:jc w:val="left"/>
                    <w:rPr>
                      <w:rFonts w:hint="eastAsia" w:ascii="Times New Roman" w:hAnsi="Times New Roman"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项目生产污水为</w:t>
                  </w:r>
                  <w:r>
                    <w:rPr>
                      <w:rFonts w:hint="eastAsia" w:ascii="Times New Roman" w:hAnsi="Times New Roman" w:eastAsia="宋体" w:cs="Times New Roman"/>
                      <w:color w:val="000000"/>
                      <w:kern w:val="2"/>
                      <w:sz w:val="21"/>
                      <w:szCs w:val="21"/>
                      <w:highlight w:val="none"/>
                      <w:lang w:val="en-US" w:eastAsia="zh-CN" w:bidi="ar-SA"/>
                    </w:rPr>
                    <w:t>循环冷却水</w:t>
                  </w:r>
                  <w:r>
                    <w:rPr>
                      <w:rFonts w:hint="eastAsia"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highlight w:val="none"/>
                      <w:lang w:val="en-US" w:eastAsia="zh-CN" w:bidi="ar-SA"/>
                    </w:rPr>
                    <w:t>循环使用不外排；生活污水经化粪池处理后排至</w:t>
                  </w:r>
                  <w:r>
                    <w:rPr>
                      <w:rFonts w:hint="eastAsia" w:cs="Times New Roman"/>
                      <w:color w:val="000000"/>
                      <w:kern w:val="2"/>
                      <w:sz w:val="21"/>
                      <w:szCs w:val="21"/>
                      <w:highlight w:val="none"/>
                      <w:lang w:val="en-US" w:eastAsia="zh-CN" w:bidi="ar-SA"/>
                    </w:rPr>
                    <w:t>市政污水管网</w:t>
                  </w:r>
                  <w:r>
                    <w:rPr>
                      <w:rFonts w:hint="eastAsia" w:ascii="Times New Roman" w:hAnsi="Times New Roman" w:eastAsia="宋体" w:cs="Times New Roman"/>
                      <w:color w:val="000000"/>
                      <w:kern w:val="2"/>
                      <w:sz w:val="21"/>
                      <w:szCs w:val="21"/>
                      <w:highlight w:val="none"/>
                      <w:lang w:val="en-US" w:eastAsia="zh-CN" w:bidi="ar-SA"/>
                    </w:rPr>
                    <w:t>，最后排</w:t>
                  </w:r>
                  <w:r>
                    <w:rPr>
                      <w:rFonts w:hint="eastAsia" w:cs="Times New Roman"/>
                      <w:color w:val="000000"/>
                      <w:kern w:val="2"/>
                      <w:sz w:val="21"/>
                      <w:szCs w:val="21"/>
                      <w:highlight w:val="none"/>
                      <w:lang w:val="en-US" w:eastAsia="zh-CN" w:bidi="ar-SA"/>
                    </w:rPr>
                    <w:t>入南乐县城污水处理厂。</w:t>
                  </w:r>
                </w:p>
              </w:tc>
            </w:tr>
            <w:tr w14:paraId="4577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57" w:type="pct"/>
                  <w:vMerge w:val="continue"/>
                  <w:noWrap w:val="0"/>
                  <w:vAlign w:val="center"/>
                </w:tcPr>
                <w:p w14:paraId="50DE4A49">
                  <w:pPr>
                    <w:spacing w:line="360" w:lineRule="auto"/>
                    <w:jc w:val="center"/>
                    <w:rPr>
                      <w:bCs/>
                      <w:sz w:val="21"/>
                      <w:szCs w:val="21"/>
                    </w:rPr>
                  </w:pPr>
                </w:p>
              </w:tc>
              <w:tc>
                <w:tcPr>
                  <w:tcW w:w="967" w:type="pct"/>
                  <w:noWrap w:val="0"/>
                  <w:vAlign w:val="center"/>
                </w:tcPr>
                <w:p w14:paraId="67AB5D8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噪声</w:t>
                  </w:r>
                </w:p>
              </w:tc>
              <w:tc>
                <w:tcPr>
                  <w:tcW w:w="3274" w:type="pct"/>
                  <w:noWrap w:val="0"/>
                  <w:vAlign w:val="center"/>
                </w:tcPr>
                <w:p w14:paraId="0025F8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基础减震、 厂房隔声、绿化降噪。</w:t>
                  </w:r>
                </w:p>
              </w:tc>
            </w:tr>
            <w:tr w14:paraId="45DE4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757" w:type="pct"/>
                  <w:vMerge w:val="continue"/>
                  <w:noWrap w:val="0"/>
                  <w:vAlign w:val="center"/>
                </w:tcPr>
                <w:p w14:paraId="0BA521DC">
                  <w:pPr>
                    <w:spacing w:line="360" w:lineRule="auto"/>
                    <w:jc w:val="center"/>
                    <w:rPr>
                      <w:bCs/>
                      <w:sz w:val="21"/>
                      <w:szCs w:val="21"/>
                    </w:rPr>
                  </w:pPr>
                </w:p>
              </w:tc>
              <w:tc>
                <w:tcPr>
                  <w:tcW w:w="967" w:type="pct"/>
                  <w:noWrap w:val="0"/>
                  <w:vAlign w:val="center"/>
                </w:tcPr>
                <w:p w14:paraId="038D66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固废</w:t>
                  </w:r>
                </w:p>
              </w:tc>
              <w:tc>
                <w:tcPr>
                  <w:tcW w:w="3274" w:type="pct"/>
                  <w:noWrap w:val="0"/>
                  <w:vAlign w:val="center"/>
                </w:tcPr>
                <w:p w14:paraId="5572B4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lang w:val="en-US" w:eastAsia="zh-CN" w:bidi="ar-SA"/>
                    </w:rPr>
                    <w:t>一般固废：</w:t>
                  </w:r>
                  <w:r>
                    <w:rPr>
                      <w:rFonts w:hint="eastAsia" w:ascii="Times New Roman" w:hAnsi="Times New Roman" w:eastAsia="宋体" w:cs="Times New Roman"/>
                      <w:color w:val="000000"/>
                      <w:kern w:val="2"/>
                      <w:sz w:val="21"/>
                      <w:szCs w:val="21"/>
                      <w:highlight w:val="none"/>
                      <w:lang w:val="en-US" w:eastAsia="zh-CN" w:bidi="ar-SA"/>
                    </w:rPr>
                    <w:t>布袋除尘器收集的粉尘，收集后</w:t>
                  </w:r>
                  <w:r>
                    <w:rPr>
                      <w:rFonts w:hint="eastAsia" w:cs="Times New Roman"/>
                      <w:color w:val="000000"/>
                      <w:kern w:val="2"/>
                      <w:sz w:val="21"/>
                      <w:szCs w:val="21"/>
                      <w:highlight w:val="none"/>
                      <w:lang w:val="en-US" w:eastAsia="zh-CN" w:bidi="ar-SA"/>
                    </w:rPr>
                    <w:t>回用于生产；</w:t>
                  </w:r>
                </w:p>
                <w:p w14:paraId="636096B6">
                  <w:pPr>
                    <w:pStyle w:val="4"/>
                    <w:rPr>
                      <w:rFonts w:hint="default"/>
                      <w:highlight w:val="none"/>
                      <w:lang w:val="en-US" w:eastAsia="zh-CN"/>
                    </w:rPr>
                  </w:pPr>
                  <w:r>
                    <w:rPr>
                      <w:rFonts w:hint="eastAsia" w:eastAsia="宋体" w:cs="Times New Roman"/>
                      <w:color w:val="000000"/>
                      <w:kern w:val="2"/>
                      <w:sz w:val="21"/>
                      <w:szCs w:val="21"/>
                      <w:highlight w:val="none"/>
                      <w:lang w:val="en-US" w:eastAsia="zh-CN" w:bidi="ar-SA"/>
                    </w:rPr>
                    <w:t>危废：危废为废活性炭，暂存于危废暂存间，交由有资质单位处理；</w:t>
                  </w:r>
                </w:p>
                <w:p w14:paraId="4B03C2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生活垃圾：收集后由环卫部门定期清运至垃圾中转站。</w:t>
                  </w:r>
                </w:p>
              </w:tc>
            </w:tr>
          </w:tbl>
          <w:p w14:paraId="32A001E0">
            <w:pPr>
              <w:pStyle w:val="28"/>
              <w:spacing w:line="520" w:lineRule="exact"/>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3、生产规模及产品方案</w:t>
            </w:r>
          </w:p>
          <w:p w14:paraId="34E4B4B7">
            <w:pPr>
              <w:pStyle w:val="29"/>
              <w:bidi w:val="0"/>
              <w:rPr>
                <w:rFonts w:hint="eastAsia" w:ascii="Times New Roman" w:hAnsi="Times New Roman" w:eastAsia="宋体"/>
                <w:color w:val="000000"/>
                <w:lang w:val="zh-CN"/>
              </w:rPr>
            </w:pPr>
            <w:r>
              <w:rPr>
                <w:rFonts w:hint="eastAsia" w:ascii="Times New Roman" w:hAnsi="Times New Roman" w:eastAsia="宋体"/>
                <w:b/>
                <w:bCs/>
                <w:color w:val="000000"/>
                <w:u w:val="single"/>
                <w:lang w:val="zh-CN"/>
              </w:rPr>
              <w:t>本项目</w:t>
            </w:r>
            <w:r>
              <w:rPr>
                <w:rFonts w:hint="eastAsia"/>
                <w:b/>
                <w:bCs/>
                <w:color w:val="000000"/>
                <w:u w:val="single"/>
                <w:lang w:val="en-US" w:eastAsia="zh-CN"/>
              </w:rPr>
              <w:t>的主产品为80-120目</w:t>
            </w:r>
            <w:r>
              <w:rPr>
                <w:rFonts w:hint="eastAsia" w:ascii="Times New Roman" w:hAnsi="Times New Roman" w:eastAsia="宋体"/>
                <w:b/>
                <w:bCs/>
                <w:color w:val="000000"/>
                <w:u w:val="single"/>
                <w:lang w:val="en-US" w:eastAsia="zh-CN"/>
              </w:rPr>
              <w:t>胶粉</w:t>
            </w:r>
            <w:r>
              <w:rPr>
                <w:rFonts w:hint="eastAsia"/>
                <w:b/>
                <w:bCs/>
                <w:color w:val="000000"/>
                <w:u w:val="single"/>
                <w:lang w:val="en-US" w:eastAsia="zh-CN"/>
              </w:rPr>
              <w:t>，副产品为</w:t>
            </w:r>
            <w:r>
              <w:rPr>
                <w:rFonts w:hint="eastAsia" w:ascii="Times New Roman" w:hAnsi="Times New Roman" w:eastAsia="宋体"/>
                <w:b/>
                <w:bCs/>
                <w:color w:val="000000"/>
                <w:u w:val="single"/>
                <w:lang w:val="en-US" w:eastAsia="zh-CN"/>
              </w:rPr>
              <w:t>钢丝</w:t>
            </w:r>
            <w:r>
              <w:rPr>
                <w:rFonts w:hint="eastAsia"/>
                <w:b/>
                <w:bCs/>
                <w:color w:val="000000"/>
                <w:u w:val="single"/>
                <w:lang w:val="en-US" w:eastAsia="zh-CN"/>
              </w:rPr>
              <w:t>、</w:t>
            </w:r>
            <w:r>
              <w:rPr>
                <w:rFonts w:hint="eastAsia" w:ascii="Times New Roman" w:hAnsi="Times New Roman" w:eastAsia="宋体"/>
                <w:b/>
                <w:bCs/>
                <w:color w:val="000000"/>
                <w:u w:val="single"/>
                <w:lang w:val="en-US" w:eastAsia="zh-CN"/>
              </w:rPr>
              <w:t>纤维</w:t>
            </w:r>
            <w:r>
              <w:rPr>
                <w:rFonts w:hint="eastAsia"/>
                <w:b/>
                <w:bCs/>
                <w:color w:val="000000"/>
                <w:u w:val="single"/>
                <w:lang w:val="en-US" w:eastAsia="zh-CN"/>
              </w:rPr>
              <w:t>。</w:t>
            </w:r>
            <w:r>
              <w:rPr>
                <w:rFonts w:hint="eastAsia"/>
                <w:b/>
                <w:bCs/>
                <w:u w:val="single"/>
                <w:lang w:val="en-US" w:eastAsia="zh-CN"/>
              </w:rPr>
              <w:t>80-120目胶粉主要用于防水建材、改性沥青、汽车轮胎添加料；废旧轮胎中钢丝可作为炼钢原料，也可作为优质弹簧钢原料；纤维可用于防震材料、地坪材料及运动场人造草坪的原料。</w:t>
            </w:r>
            <w:r>
              <w:rPr>
                <w:rFonts w:hint="eastAsia" w:ascii="Times New Roman" w:hAnsi="Times New Roman" w:eastAsia="宋体"/>
                <w:color w:val="000000"/>
                <w:lang w:val="zh-CN" w:eastAsia="zh-CN"/>
              </w:rPr>
              <w:t>项</w:t>
            </w:r>
            <w:r>
              <w:rPr>
                <w:rFonts w:hint="eastAsia" w:ascii="Times New Roman" w:hAnsi="Times New Roman" w:eastAsia="宋体"/>
                <w:color w:val="000000"/>
                <w:highlight w:val="none"/>
                <w:lang w:val="zh-CN" w:eastAsia="zh-CN"/>
              </w:rPr>
              <w:t>目建成后年产</w:t>
            </w:r>
            <w:r>
              <w:rPr>
                <w:rFonts w:hint="eastAsia" w:ascii="Times New Roman" w:hAnsi="Times New Roman" w:eastAsia="宋体"/>
                <w:color w:val="000000"/>
                <w:highlight w:val="none"/>
                <w:lang w:val="en-US" w:eastAsia="zh-CN"/>
              </w:rPr>
              <w:t>80-10</w:t>
            </w:r>
            <w:r>
              <w:rPr>
                <w:rFonts w:hint="eastAsia" w:ascii="Times New Roman" w:hAnsi="Times New Roman" w:eastAsia="宋体"/>
                <w:color w:val="000000"/>
                <w:lang w:val="en-US" w:eastAsia="zh-CN"/>
              </w:rPr>
              <w:t>0目常温胶粉6.92万吨、100-1200目低温胶粉4.60万吨、废钢丝2.74万吨、纤维1.73万吨</w:t>
            </w:r>
            <w:r>
              <w:rPr>
                <w:rFonts w:hint="eastAsia" w:ascii="Times New Roman" w:hAnsi="Times New Roman" w:eastAsia="宋体"/>
                <w:color w:val="000000"/>
                <w:lang w:val="zh-CN" w:eastAsia="zh-CN"/>
              </w:rPr>
              <w:t>。</w:t>
            </w:r>
            <w:r>
              <w:rPr>
                <w:rFonts w:hint="eastAsia" w:ascii="Times New Roman" w:hAnsi="Times New Roman" w:eastAsia="宋体"/>
                <w:color w:val="000000"/>
                <w:lang w:val="zh-CN"/>
              </w:rPr>
              <w:t>主要产品见表</w:t>
            </w:r>
            <w:r>
              <w:rPr>
                <w:rFonts w:hint="eastAsia" w:ascii="Times New Roman" w:hAnsi="Times New Roman" w:eastAsia="宋体"/>
                <w:color w:val="000000"/>
                <w:lang w:val="en-US" w:eastAsia="zh-CN"/>
              </w:rPr>
              <w:t>2-2</w:t>
            </w:r>
            <w:r>
              <w:rPr>
                <w:rFonts w:hint="eastAsia" w:ascii="Times New Roman" w:hAnsi="Times New Roman" w:eastAsia="宋体"/>
                <w:color w:val="000000"/>
                <w:lang w:val="zh-CN"/>
              </w:rPr>
              <w:t>。</w:t>
            </w:r>
          </w:p>
          <w:p w14:paraId="42C2DEAB">
            <w:pPr>
              <w:spacing w:line="36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表2-2  项目产品方案一览表</w:t>
            </w:r>
          </w:p>
          <w:tbl>
            <w:tblPr>
              <w:tblStyle w:val="16"/>
              <w:tblW w:w="78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2062"/>
              <w:gridCol w:w="1058"/>
              <w:gridCol w:w="1111"/>
              <w:gridCol w:w="2847"/>
            </w:tblGrid>
            <w:tr w14:paraId="23B4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803" w:type="dxa"/>
                  <w:noWrap w:val="0"/>
                  <w:vAlign w:val="center"/>
                </w:tcPr>
                <w:p w14:paraId="683FFD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序号</w:t>
                  </w:r>
                </w:p>
              </w:tc>
              <w:tc>
                <w:tcPr>
                  <w:tcW w:w="2062" w:type="dxa"/>
                  <w:noWrap w:val="0"/>
                  <w:vAlign w:val="center"/>
                </w:tcPr>
                <w:p w14:paraId="111761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产品名称</w:t>
                  </w:r>
                </w:p>
              </w:tc>
              <w:tc>
                <w:tcPr>
                  <w:tcW w:w="1058" w:type="dxa"/>
                  <w:noWrap w:val="0"/>
                  <w:vAlign w:val="center"/>
                </w:tcPr>
                <w:p w14:paraId="5A0665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单位</w:t>
                  </w:r>
                </w:p>
              </w:tc>
              <w:tc>
                <w:tcPr>
                  <w:tcW w:w="1111" w:type="dxa"/>
                  <w:noWrap w:val="0"/>
                  <w:vAlign w:val="center"/>
                </w:tcPr>
                <w:p w14:paraId="76CB72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数量</w:t>
                  </w:r>
                </w:p>
              </w:tc>
              <w:tc>
                <w:tcPr>
                  <w:tcW w:w="2847" w:type="dxa"/>
                  <w:noWrap w:val="0"/>
                  <w:vAlign w:val="center"/>
                </w:tcPr>
                <w:p w14:paraId="054C0C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备注</w:t>
                  </w:r>
                </w:p>
              </w:tc>
            </w:tr>
            <w:tr w14:paraId="7303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3" w:type="dxa"/>
                  <w:noWrap w:val="0"/>
                  <w:vAlign w:val="center"/>
                </w:tcPr>
                <w:p w14:paraId="6E972A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2062" w:type="dxa"/>
                  <w:noWrap w:val="0"/>
                  <w:vAlign w:val="center"/>
                </w:tcPr>
                <w:p w14:paraId="304C4F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80-100目常温胶粉</w:t>
                  </w:r>
                </w:p>
              </w:tc>
              <w:tc>
                <w:tcPr>
                  <w:tcW w:w="1058" w:type="dxa"/>
                  <w:noWrap w:val="0"/>
                  <w:vAlign w:val="center"/>
                </w:tcPr>
                <w:p w14:paraId="44B216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t/a</w:t>
                  </w:r>
                </w:p>
              </w:tc>
              <w:tc>
                <w:tcPr>
                  <w:tcW w:w="1111" w:type="dxa"/>
                  <w:noWrap w:val="0"/>
                  <w:vAlign w:val="center"/>
                </w:tcPr>
                <w:p w14:paraId="6BDA08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6.92万</w:t>
                  </w:r>
                </w:p>
              </w:tc>
              <w:tc>
                <w:tcPr>
                  <w:tcW w:w="2847" w:type="dxa"/>
                  <w:vMerge w:val="restart"/>
                  <w:noWrap w:val="0"/>
                  <w:vAlign w:val="center"/>
                </w:tcPr>
                <w:p w14:paraId="7E8D0E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产品质量满足《硫化橡胶粉》 GB/T 19208-2020 标准</w:t>
                  </w:r>
                </w:p>
              </w:tc>
            </w:tr>
            <w:tr w14:paraId="7532F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803" w:type="dxa"/>
                  <w:noWrap w:val="0"/>
                  <w:vAlign w:val="center"/>
                </w:tcPr>
                <w:p w14:paraId="0E08AB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2062" w:type="dxa"/>
                  <w:noWrap w:val="0"/>
                  <w:vAlign w:val="center"/>
                </w:tcPr>
                <w:p w14:paraId="0A45B0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100-120目低温胶粉</w:t>
                  </w:r>
                </w:p>
              </w:tc>
              <w:tc>
                <w:tcPr>
                  <w:tcW w:w="1058" w:type="dxa"/>
                  <w:noWrap w:val="0"/>
                  <w:vAlign w:val="center"/>
                </w:tcPr>
                <w:p w14:paraId="07A5AD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t/a</w:t>
                  </w:r>
                </w:p>
              </w:tc>
              <w:tc>
                <w:tcPr>
                  <w:tcW w:w="1111" w:type="dxa"/>
                  <w:noWrap w:val="0"/>
                  <w:vAlign w:val="center"/>
                </w:tcPr>
                <w:p w14:paraId="2A07E9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4.60万</w:t>
                  </w:r>
                </w:p>
              </w:tc>
              <w:tc>
                <w:tcPr>
                  <w:tcW w:w="2847" w:type="dxa"/>
                  <w:vMerge w:val="continue"/>
                  <w:noWrap w:val="0"/>
                  <w:vAlign w:val="center"/>
                </w:tcPr>
                <w:p w14:paraId="4E4D70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14:paraId="76685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3" w:type="dxa"/>
                  <w:noWrap w:val="0"/>
                  <w:vAlign w:val="center"/>
                </w:tcPr>
                <w:p w14:paraId="231954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2062" w:type="dxa"/>
                  <w:noWrap w:val="0"/>
                  <w:vAlign w:val="center"/>
                </w:tcPr>
                <w:p w14:paraId="3CCBB3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废钢丝</w:t>
                  </w:r>
                </w:p>
              </w:tc>
              <w:tc>
                <w:tcPr>
                  <w:tcW w:w="1058" w:type="dxa"/>
                  <w:noWrap w:val="0"/>
                  <w:vAlign w:val="center"/>
                </w:tcPr>
                <w:p w14:paraId="2C7345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t/a</w:t>
                  </w:r>
                </w:p>
              </w:tc>
              <w:tc>
                <w:tcPr>
                  <w:tcW w:w="1111" w:type="dxa"/>
                  <w:noWrap w:val="0"/>
                  <w:vAlign w:val="center"/>
                </w:tcPr>
                <w:p w14:paraId="56E27E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2.74万</w:t>
                  </w:r>
                </w:p>
              </w:tc>
              <w:tc>
                <w:tcPr>
                  <w:tcW w:w="2847" w:type="dxa"/>
                  <w:noWrap w:val="0"/>
                  <w:vAlign w:val="center"/>
                </w:tcPr>
                <w:p w14:paraId="1BF50B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r>
            <w:tr w14:paraId="656E9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03" w:type="dxa"/>
                  <w:noWrap w:val="0"/>
                  <w:vAlign w:val="center"/>
                </w:tcPr>
                <w:p w14:paraId="15154D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c>
                <w:tcPr>
                  <w:tcW w:w="2062" w:type="dxa"/>
                  <w:noWrap w:val="0"/>
                  <w:vAlign w:val="center"/>
                </w:tcPr>
                <w:p w14:paraId="65F800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纤维</w:t>
                  </w:r>
                </w:p>
              </w:tc>
              <w:tc>
                <w:tcPr>
                  <w:tcW w:w="1058" w:type="dxa"/>
                  <w:noWrap w:val="0"/>
                  <w:vAlign w:val="center"/>
                </w:tcPr>
                <w:p w14:paraId="2ED12A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t/a</w:t>
                  </w:r>
                </w:p>
              </w:tc>
              <w:tc>
                <w:tcPr>
                  <w:tcW w:w="1111" w:type="dxa"/>
                  <w:noWrap w:val="0"/>
                  <w:vAlign w:val="center"/>
                </w:tcPr>
                <w:p w14:paraId="15A085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1.73万</w:t>
                  </w:r>
                </w:p>
              </w:tc>
              <w:tc>
                <w:tcPr>
                  <w:tcW w:w="2847" w:type="dxa"/>
                  <w:noWrap w:val="0"/>
                  <w:vAlign w:val="center"/>
                </w:tcPr>
                <w:p w14:paraId="6C993E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r>
          </w:tbl>
          <w:p w14:paraId="3BE54904">
            <w:pPr>
              <w:pStyle w:val="28"/>
              <w:spacing w:line="520" w:lineRule="exact"/>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4、项目主要生产设备</w:t>
            </w:r>
          </w:p>
          <w:p w14:paraId="69A14420">
            <w:pPr>
              <w:spacing w:line="520" w:lineRule="exact"/>
              <w:ind w:firstLine="480" w:firstLineChars="200"/>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本项目主要生产设备见表2-3。</w:t>
            </w:r>
          </w:p>
          <w:p w14:paraId="7345C0C8">
            <w:pPr>
              <w:spacing w:line="36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表2-3 项目主要生产设备一览表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21"/>
              <w:gridCol w:w="1903"/>
              <w:gridCol w:w="1271"/>
              <w:gridCol w:w="1701"/>
              <w:gridCol w:w="2387"/>
            </w:tblGrid>
            <w:tr w14:paraId="412CD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51249C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序号</w:t>
                  </w:r>
                </w:p>
              </w:tc>
              <w:tc>
                <w:tcPr>
                  <w:tcW w:w="1903" w:type="dxa"/>
                  <w:noWrap w:val="0"/>
                  <w:vAlign w:val="center"/>
                </w:tcPr>
                <w:p w14:paraId="34E53F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设备名称</w:t>
                  </w:r>
                </w:p>
              </w:tc>
              <w:tc>
                <w:tcPr>
                  <w:tcW w:w="1271" w:type="dxa"/>
                  <w:noWrap w:val="0"/>
                  <w:vAlign w:val="center"/>
                </w:tcPr>
                <w:p w14:paraId="7EAC73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数量（台/套）</w:t>
                  </w:r>
                </w:p>
              </w:tc>
              <w:tc>
                <w:tcPr>
                  <w:tcW w:w="1701" w:type="dxa"/>
                  <w:noWrap w:val="0"/>
                  <w:vAlign w:val="center"/>
                </w:tcPr>
                <w:p w14:paraId="6AE628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单机功率（kW）</w:t>
                  </w:r>
                </w:p>
              </w:tc>
              <w:tc>
                <w:tcPr>
                  <w:tcW w:w="2387" w:type="dxa"/>
                  <w:noWrap w:val="0"/>
                  <w:vAlign w:val="center"/>
                </w:tcPr>
                <w:p w14:paraId="296C3B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合计功率（kW）</w:t>
                  </w:r>
                </w:p>
              </w:tc>
            </w:tr>
            <w:tr w14:paraId="281BB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2B9FEF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w:t>
                  </w:r>
                </w:p>
              </w:tc>
              <w:tc>
                <w:tcPr>
                  <w:tcW w:w="1903" w:type="dxa"/>
                  <w:noWrap w:val="0"/>
                  <w:vAlign w:val="center"/>
                </w:tcPr>
                <w:p w14:paraId="621097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子口分离机</w:t>
                  </w:r>
                </w:p>
              </w:tc>
              <w:tc>
                <w:tcPr>
                  <w:tcW w:w="1271" w:type="dxa"/>
                  <w:noWrap w:val="0"/>
                  <w:vAlign w:val="center"/>
                </w:tcPr>
                <w:p w14:paraId="4E5B4E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1701" w:type="dxa"/>
                  <w:vMerge w:val="restart"/>
                  <w:noWrap w:val="0"/>
                  <w:vAlign w:val="center"/>
                </w:tcPr>
                <w:p w14:paraId="1B2E7A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600</w:t>
                  </w:r>
                </w:p>
              </w:tc>
              <w:tc>
                <w:tcPr>
                  <w:tcW w:w="2387" w:type="dxa"/>
                  <w:vMerge w:val="restart"/>
                  <w:noWrap w:val="0"/>
                  <w:vAlign w:val="center"/>
                </w:tcPr>
                <w:p w14:paraId="1BEC00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1800</w:t>
                  </w:r>
                </w:p>
              </w:tc>
            </w:tr>
            <w:tr w14:paraId="3729C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0E7A01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w:t>
                  </w:r>
                </w:p>
              </w:tc>
              <w:tc>
                <w:tcPr>
                  <w:tcW w:w="1903" w:type="dxa"/>
                  <w:noWrap w:val="0"/>
                  <w:vAlign w:val="center"/>
                </w:tcPr>
                <w:p w14:paraId="1C9974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上料带</w:t>
                  </w:r>
                </w:p>
              </w:tc>
              <w:tc>
                <w:tcPr>
                  <w:tcW w:w="1271" w:type="dxa"/>
                  <w:noWrap w:val="0"/>
                  <w:vAlign w:val="center"/>
                </w:tcPr>
                <w:p w14:paraId="6843E2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1701" w:type="dxa"/>
                  <w:vMerge w:val="continue"/>
                  <w:noWrap w:val="0"/>
                  <w:vAlign w:val="center"/>
                </w:tcPr>
                <w:p w14:paraId="2BBDF0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Hans" w:bidi="ar-SA"/>
                    </w:rPr>
                  </w:pPr>
                </w:p>
              </w:tc>
              <w:tc>
                <w:tcPr>
                  <w:tcW w:w="2387" w:type="dxa"/>
                  <w:vMerge w:val="continue"/>
                  <w:noWrap w:val="0"/>
                  <w:vAlign w:val="center"/>
                </w:tcPr>
                <w:p w14:paraId="726F4B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Hans" w:bidi="ar-SA"/>
                    </w:rPr>
                  </w:pPr>
                </w:p>
              </w:tc>
            </w:tr>
            <w:tr w14:paraId="1137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43F69E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1903" w:type="dxa"/>
                  <w:noWrap w:val="0"/>
                  <w:vAlign w:val="center"/>
                </w:tcPr>
                <w:p w14:paraId="5E646D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块料机</w:t>
                  </w:r>
                </w:p>
              </w:tc>
              <w:tc>
                <w:tcPr>
                  <w:tcW w:w="1271" w:type="dxa"/>
                  <w:noWrap w:val="0"/>
                  <w:vAlign w:val="center"/>
                </w:tcPr>
                <w:p w14:paraId="0DFAE9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1701" w:type="dxa"/>
                  <w:vMerge w:val="continue"/>
                  <w:noWrap w:val="0"/>
                  <w:vAlign w:val="center"/>
                </w:tcPr>
                <w:p w14:paraId="150ECB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2387" w:type="dxa"/>
                  <w:vMerge w:val="continue"/>
                  <w:noWrap w:val="0"/>
                  <w:vAlign w:val="center"/>
                </w:tcPr>
                <w:p w14:paraId="6BB4AB9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r>
            <w:tr w14:paraId="20CB4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6557E1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c>
                <w:tcPr>
                  <w:tcW w:w="1903" w:type="dxa"/>
                  <w:noWrap w:val="0"/>
                  <w:vAlign w:val="center"/>
                </w:tcPr>
                <w:p w14:paraId="14F258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上料带</w:t>
                  </w:r>
                </w:p>
              </w:tc>
              <w:tc>
                <w:tcPr>
                  <w:tcW w:w="1271" w:type="dxa"/>
                  <w:noWrap w:val="0"/>
                  <w:vAlign w:val="center"/>
                </w:tcPr>
                <w:p w14:paraId="0662F4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1701" w:type="dxa"/>
                  <w:vMerge w:val="continue"/>
                  <w:noWrap w:val="0"/>
                  <w:vAlign w:val="center"/>
                </w:tcPr>
                <w:p w14:paraId="51B9BB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2387" w:type="dxa"/>
                  <w:vMerge w:val="continue"/>
                  <w:noWrap w:val="0"/>
                  <w:vAlign w:val="center"/>
                </w:tcPr>
                <w:p w14:paraId="42890A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r>
            <w:tr w14:paraId="7C9E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6F3463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c>
                <w:tcPr>
                  <w:tcW w:w="1903" w:type="dxa"/>
                  <w:noWrap w:val="0"/>
                  <w:vAlign w:val="center"/>
                </w:tcPr>
                <w:p w14:paraId="3F1B2F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粗碎机</w:t>
                  </w:r>
                </w:p>
              </w:tc>
              <w:tc>
                <w:tcPr>
                  <w:tcW w:w="1271" w:type="dxa"/>
                  <w:noWrap w:val="0"/>
                  <w:vAlign w:val="center"/>
                </w:tcPr>
                <w:p w14:paraId="6FA56C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1701" w:type="dxa"/>
                  <w:vMerge w:val="continue"/>
                  <w:noWrap w:val="0"/>
                  <w:vAlign w:val="center"/>
                </w:tcPr>
                <w:p w14:paraId="79F5EB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2387" w:type="dxa"/>
                  <w:vMerge w:val="continue"/>
                  <w:noWrap w:val="0"/>
                  <w:vAlign w:val="center"/>
                </w:tcPr>
                <w:p w14:paraId="32C2C5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r>
            <w:tr w14:paraId="3529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6EB206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w:t>
                  </w:r>
                </w:p>
              </w:tc>
              <w:tc>
                <w:tcPr>
                  <w:tcW w:w="1903" w:type="dxa"/>
                  <w:noWrap w:val="0"/>
                  <w:vAlign w:val="center"/>
                </w:tcPr>
                <w:p w14:paraId="0E6A92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出料带</w:t>
                  </w:r>
                </w:p>
              </w:tc>
              <w:tc>
                <w:tcPr>
                  <w:tcW w:w="1271" w:type="dxa"/>
                  <w:noWrap w:val="0"/>
                  <w:vAlign w:val="center"/>
                </w:tcPr>
                <w:p w14:paraId="2D82C9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1701" w:type="dxa"/>
                  <w:vMerge w:val="continue"/>
                  <w:noWrap w:val="0"/>
                  <w:vAlign w:val="center"/>
                </w:tcPr>
                <w:p w14:paraId="5FD51B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2387" w:type="dxa"/>
                  <w:vMerge w:val="continue"/>
                  <w:noWrap w:val="0"/>
                  <w:vAlign w:val="center"/>
                </w:tcPr>
                <w:p w14:paraId="1A5154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r>
            <w:tr w14:paraId="7233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783EC6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w:t>
                  </w:r>
                </w:p>
              </w:tc>
              <w:tc>
                <w:tcPr>
                  <w:tcW w:w="1903" w:type="dxa"/>
                  <w:noWrap w:val="0"/>
                  <w:vAlign w:val="center"/>
                </w:tcPr>
                <w:p w14:paraId="44ADA0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上料带</w:t>
                  </w:r>
                </w:p>
              </w:tc>
              <w:tc>
                <w:tcPr>
                  <w:tcW w:w="1271" w:type="dxa"/>
                  <w:noWrap w:val="0"/>
                  <w:vAlign w:val="center"/>
                </w:tcPr>
                <w:p w14:paraId="64D7BC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1701" w:type="dxa"/>
                  <w:vMerge w:val="continue"/>
                  <w:noWrap w:val="0"/>
                  <w:vAlign w:val="center"/>
                </w:tcPr>
                <w:p w14:paraId="6DD688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2387" w:type="dxa"/>
                  <w:vMerge w:val="continue"/>
                  <w:noWrap w:val="0"/>
                  <w:vAlign w:val="center"/>
                </w:tcPr>
                <w:p w14:paraId="270D1B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r>
            <w:tr w14:paraId="3167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29B12A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8</w:t>
                  </w:r>
                </w:p>
              </w:tc>
              <w:tc>
                <w:tcPr>
                  <w:tcW w:w="1903" w:type="dxa"/>
                  <w:noWrap w:val="0"/>
                  <w:vAlign w:val="center"/>
                </w:tcPr>
                <w:p w14:paraId="229C99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中碎机</w:t>
                  </w:r>
                </w:p>
              </w:tc>
              <w:tc>
                <w:tcPr>
                  <w:tcW w:w="1271" w:type="dxa"/>
                  <w:noWrap w:val="0"/>
                  <w:vAlign w:val="center"/>
                </w:tcPr>
                <w:p w14:paraId="4DE7C6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1701" w:type="dxa"/>
                  <w:vMerge w:val="restart"/>
                  <w:noWrap w:val="0"/>
                  <w:vAlign w:val="center"/>
                </w:tcPr>
                <w:p w14:paraId="61401A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400</w:t>
                  </w:r>
                </w:p>
              </w:tc>
              <w:tc>
                <w:tcPr>
                  <w:tcW w:w="2387" w:type="dxa"/>
                  <w:vMerge w:val="restart"/>
                  <w:noWrap w:val="0"/>
                  <w:vAlign w:val="center"/>
                </w:tcPr>
                <w:p w14:paraId="0848FB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3600</w:t>
                  </w:r>
                </w:p>
              </w:tc>
            </w:tr>
            <w:tr w14:paraId="2A04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58603E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1903" w:type="dxa"/>
                  <w:noWrap w:val="0"/>
                  <w:vAlign w:val="center"/>
                </w:tcPr>
                <w:p w14:paraId="64BF74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往复筛</w:t>
                  </w:r>
                </w:p>
              </w:tc>
              <w:tc>
                <w:tcPr>
                  <w:tcW w:w="1271" w:type="dxa"/>
                  <w:noWrap w:val="0"/>
                  <w:vAlign w:val="center"/>
                </w:tcPr>
                <w:p w14:paraId="62756D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1701" w:type="dxa"/>
                  <w:vMerge w:val="continue"/>
                  <w:noWrap w:val="0"/>
                  <w:vAlign w:val="center"/>
                </w:tcPr>
                <w:p w14:paraId="3149D7FC">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default" w:ascii="Times New Roman" w:hAnsi="Times New Roman" w:eastAsia="宋体" w:cs="Times New Roman"/>
                      <w:lang w:val="en-US" w:eastAsia="zh-CN"/>
                    </w:rPr>
                  </w:pPr>
                </w:p>
              </w:tc>
              <w:tc>
                <w:tcPr>
                  <w:tcW w:w="2387" w:type="dxa"/>
                  <w:vMerge w:val="continue"/>
                  <w:noWrap w:val="0"/>
                  <w:vAlign w:val="center"/>
                </w:tcPr>
                <w:p w14:paraId="267B5ED6">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default" w:ascii="Times New Roman" w:hAnsi="Times New Roman" w:eastAsia="宋体" w:cs="Times New Roman"/>
                      <w:lang w:val="en-US" w:eastAsia="zh-CN"/>
                    </w:rPr>
                  </w:pPr>
                </w:p>
              </w:tc>
            </w:tr>
            <w:tr w14:paraId="1797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10ABCC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w:t>
                  </w:r>
                </w:p>
              </w:tc>
              <w:tc>
                <w:tcPr>
                  <w:tcW w:w="1903" w:type="dxa"/>
                  <w:noWrap w:val="0"/>
                  <w:vAlign w:val="center"/>
                </w:tcPr>
                <w:p w14:paraId="519DFD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除铁机</w:t>
                  </w:r>
                </w:p>
              </w:tc>
              <w:tc>
                <w:tcPr>
                  <w:tcW w:w="1271" w:type="dxa"/>
                  <w:noWrap w:val="0"/>
                  <w:vAlign w:val="center"/>
                </w:tcPr>
                <w:p w14:paraId="617B02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1701" w:type="dxa"/>
                  <w:vMerge w:val="continue"/>
                  <w:noWrap w:val="0"/>
                  <w:vAlign w:val="center"/>
                </w:tcPr>
                <w:p w14:paraId="4D8CC581">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default" w:ascii="Times New Roman" w:hAnsi="Times New Roman" w:eastAsia="宋体" w:cs="Times New Roman"/>
                      <w:lang w:val="en-US" w:eastAsia="zh-CN"/>
                    </w:rPr>
                  </w:pPr>
                </w:p>
              </w:tc>
              <w:tc>
                <w:tcPr>
                  <w:tcW w:w="2387" w:type="dxa"/>
                  <w:vMerge w:val="continue"/>
                  <w:noWrap w:val="0"/>
                  <w:vAlign w:val="center"/>
                </w:tcPr>
                <w:p w14:paraId="39300DA6">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default" w:ascii="Times New Roman" w:hAnsi="Times New Roman" w:eastAsia="宋体" w:cs="Times New Roman"/>
                      <w:lang w:val="en-US" w:eastAsia="zh-CN"/>
                    </w:rPr>
                  </w:pPr>
                </w:p>
              </w:tc>
            </w:tr>
            <w:tr w14:paraId="77ED5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3D8E24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11</w:t>
                  </w:r>
                </w:p>
              </w:tc>
              <w:tc>
                <w:tcPr>
                  <w:tcW w:w="1903" w:type="dxa"/>
                  <w:noWrap w:val="0"/>
                  <w:vAlign w:val="center"/>
                </w:tcPr>
                <w:p w14:paraId="6AFFA0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提升机</w:t>
                  </w:r>
                </w:p>
              </w:tc>
              <w:tc>
                <w:tcPr>
                  <w:tcW w:w="1271" w:type="dxa"/>
                  <w:noWrap w:val="0"/>
                  <w:vAlign w:val="center"/>
                </w:tcPr>
                <w:p w14:paraId="3D24FD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1701" w:type="dxa"/>
                  <w:vMerge w:val="continue"/>
                  <w:noWrap w:val="0"/>
                  <w:vAlign w:val="center"/>
                </w:tcPr>
                <w:p w14:paraId="02D9A3FA">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default" w:ascii="Times New Roman" w:hAnsi="Times New Roman" w:eastAsia="宋体" w:cs="Times New Roman"/>
                      <w:lang w:val="en-US" w:eastAsia="zh-CN"/>
                    </w:rPr>
                  </w:pPr>
                </w:p>
              </w:tc>
              <w:tc>
                <w:tcPr>
                  <w:tcW w:w="2387" w:type="dxa"/>
                  <w:vMerge w:val="continue"/>
                  <w:noWrap w:val="0"/>
                  <w:vAlign w:val="center"/>
                </w:tcPr>
                <w:p w14:paraId="6D90F3A1">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default" w:ascii="Times New Roman" w:hAnsi="Times New Roman" w:eastAsia="宋体" w:cs="Times New Roman"/>
                      <w:lang w:val="en-US" w:eastAsia="zh-CN"/>
                    </w:rPr>
                  </w:pPr>
                </w:p>
              </w:tc>
            </w:tr>
            <w:tr w14:paraId="4CE20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5E8775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12</w:t>
                  </w:r>
                </w:p>
              </w:tc>
              <w:tc>
                <w:tcPr>
                  <w:tcW w:w="1903" w:type="dxa"/>
                  <w:noWrap w:val="0"/>
                  <w:vAlign w:val="center"/>
                </w:tcPr>
                <w:p w14:paraId="587FE9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埋括板输送机</w:t>
                  </w:r>
                </w:p>
              </w:tc>
              <w:tc>
                <w:tcPr>
                  <w:tcW w:w="1271" w:type="dxa"/>
                  <w:noWrap w:val="0"/>
                  <w:vAlign w:val="center"/>
                </w:tcPr>
                <w:p w14:paraId="368025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1701" w:type="dxa"/>
                  <w:vMerge w:val="continue"/>
                  <w:noWrap w:val="0"/>
                  <w:vAlign w:val="center"/>
                </w:tcPr>
                <w:p w14:paraId="6E68E3E4">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default" w:ascii="Times New Roman" w:hAnsi="Times New Roman" w:eastAsia="宋体" w:cs="Times New Roman"/>
                      <w:lang w:val="en-US" w:eastAsia="zh-CN"/>
                    </w:rPr>
                  </w:pPr>
                </w:p>
              </w:tc>
              <w:tc>
                <w:tcPr>
                  <w:tcW w:w="2387" w:type="dxa"/>
                  <w:vMerge w:val="continue"/>
                  <w:noWrap w:val="0"/>
                  <w:vAlign w:val="center"/>
                </w:tcPr>
                <w:p w14:paraId="5B07A299">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default" w:ascii="Times New Roman" w:hAnsi="Times New Roman" w:eastAsia="宋体" w:cs="Times New Roman"/>
                      <w:lang w:val="en-US" w:eastAsia="zh-CN"/>
                    </w:rPr>
                  </w:pPr>
                </w:p>
              </w:tc>
            </w:tr>
            <w:tr w14:paraId="5336F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68E901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13</w:t>
                  </w:r>
                </w:p>
              </w:tc>
              <w:tc>
                <w:tcPr>
                  <w:tcW w:w="1903" w:type="dxa"/>
                  <w:noWrap w:val="0"/>
                  <w:vAlign w:val="center"/>
                </w:tcPr>
                <w:p w14:paraId="043E4B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加料机</w:t>
                  </w:r>
                </w:p>
              </w:tc>
              <w:tc>
                <w:tcPr>
                  <w:tcW w:w="1271" w:type="dxa"/>
                  <w:noWrap w:val="0"/>
                  <w:vAlign w:val="center"/>
                </w:tcPr>
                <w:p w14:paraId="755199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1701" w:type="dxa"/>
                  <w:vMerge w:val="continue"/>
                  <w:noWrap w:val="0"/>
                  <w:vAlign w:val="center"/>
                </w:tcPr>
                <w:p w14:paraId="6088189F">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default" w:ascii="Times New Roman" w:hAnsi="Times New Roman" w:eastAsia="宋体" w:cs="Times New Roman"/>
                      <w:lang w:val="en-US" w:eastAsia="zh-CN"/>
                    </w:rPr>
                  </w:pPr>
                </w:p>
              </w:tc>
              <w:tc>
                <w:tcPr>
                  <w:tcW w:w="2387" w:type="dxa"/>
                  <w:vMerge w:val="continue"/>
                  <w:noWrap w:val="0"/>
                  <w:vAlign w:val="center"/>
                </w:tcPr>
                <w:p w14:paraId="1E0A14F7">
                  <w:pPr>
                    <w:keepNext w:val="0"/>
                    <w:keepLines w:val="0"/>
                    <w:pageBreakBefore w:val="0"/>
                    <w:widowControl/>
                    <w:kinsoku/>
                    <w:wordWrap/>
                    <w:overflowPunct/>
                    <w:topLinePunct w:val="0"/>
                    <w:autoSpaceDE/>
                    <w:autoSpaceDN/>
                    <w:bidi w:val="0"/>
                    <w:adjustRightInd/>
                    <w:snapToGrid/>
                    <w:spacing w:line="320" w:lineRule="exact"/>
                    <w:jc w:val="center"/>
                    <w:textAlignment w:val="bottom"/>
                    <w:rPr>
                      <w:rFonts w:hint="default" w:ascii="Times New Roman" w:hAnsi="Times New Roman" w:eastAsia="宋体" w:cs="Times New Roman"/>
                      <w:lang w:val="en-US" w:eastAsia="zh-CN"/>
                    </w:rPr>
                  </w:pPr>
                </w:p>
              </w:tc>
            </w:tr>
            <w:tr w14:paraId="51459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7C61D0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14</w:t>
                  </w:r>
                </w:p>
              </w:tc>
              <w:tc>
                <w:tcPr>
                  <w:tcW w:w="1903" w:type="dxa"/>
                  <w:noWrap w:val="0"/>
                  <w:vAlign w:val="center"/>
                </w:tcPr>
                <w:p w14:paraId="43FE67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橡胶精细粉碎机</w:t>
                  </w:r>
                </w:p>
              </w:tc>
              <w:tc>
                <w:tcPr>
                  <w:tcW w:w="1271" w:type="dxa"/>
                  <w:noWrap w:val="0"/>
                  <w:vAlign w:val="center"/>
                </w:tcPr>
                <w:p w14:paraId="74CB75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1701" w:type="dxa"/>
                  <w:vMerge w:val="continue"/>
                  <w:noWrap w:val="0"/>
                  <w:vAlign w:val="center"/>
                </w:tcPr>
                <w:p w14:paraId="7674D0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2387" w:type="dxa"/>
                  <w:vMerge w:val="continue"/>
                  <w:noWrap w:val="0"/>
                  <w:vAlign w:val="center"/>
                </w:tcPr>
                <w:p w14:paraId="660385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r>
            <w:tr w14:paraId="1C887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655AB0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15</w:t>
                  </w:r>
                </w:p>
              </w:tc>
              <w:tc>
                <w:tcPr>
                  <w:tcW w:w="1903" w:type="dxa"/>
                  <w:noWrap w:val="0"/>
                  <w:vAlign w:val="center"/>
                </w:tcPr>
                <w:p w14:paraId="0D3A11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风机</w:t>
                  </w:r>
                </w:p>
              </w:tc>
              <w:tc>
                <w:tcPr>
                  <w:tcW w:w="1271" w:type="dxa"/>
                  <w:noWrap w:val="0"/>
                  <w:vAlign w:val="center"/>
                </w:tcPr>
                <w:p w14:paraId="10124A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701" w:type="dxa"/>
                  <w:vMerge w:val="continue"/>
                  <w:noWrap w:val="0"/>
                  <w:vAlign w:val="center"/>
                </w:tcPr>
                <w:p w14:paraId="74F8EE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2387" w:type="dxa"/>
                  <w:vMerge w:val="continue"/>
                  <w:noWrap w:val="0"/>
                  <w:vAlign w:val="center"/>
                </w:tcPr>
                <w:p w14:paraId="5D4953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r>
            <w:tr w14:paraId="4071D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1CF679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16</w:t>
                  </w:r>
                </w:p>
              </w:tc>
              <w:tc>
                <w:tcPr>
                  <w:tcW w:w="1903" w:type="dxa"/>
                  <w:noWrap w:val="0"/>
                  <w:vAlign w:val="center"/>
                </w:tcPr>
                <w:p w14:paraId="1BDE7F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关风机</w:t>
                  </w:r>
                </w:p>
              </w:tc>
              <w:tc>
                <w:tcPr>
                  <w:tcW w:w="1271" w:type="dxa"/>
                  <w:noWrap w:val="0"/>
                  <w:vAlign w:val="center"/>
                </w:tcPr>
                <w:p w14:paraId="56C635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1701" w:type="dxa"/>
                  <w:vMerge w:val="continue"/>
                  <w:noWrap w:val="0"/>
                  <w:vAlign w:val="center"/>
                </w:tcPr>
                <w:p w14:paraId="444850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2387" w:type="dxa"/>
                  <w:vMerge w:val="continue"/>
                  <w:noWrap w:val="0"/>
                  <w:vAlign w:val="center"/>
                </w:tcPr>
                <w:p w14:paraId="5159D5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r>
            <w:tr w14:paraId="03B6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39A250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17</w:t>
                  </w:r>
                </w:p>
              </w:tc>
              <w:tc>
                <w:tcPr>
                  <w:tcW w:w="1903" w:type="dxa"/>
                  <w:noWrap w:val="0"/>
                  <w:vAlign w:val="center"/>
                </w:tcPr>
                <w:p w14:paraId="46087E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分级机</w:t>
                  </w:r>
                </w:p>
              </w:tc>
              <w:tc>
                <w:tcPr>
                  <w:tcW w:w="1271" w:type="dxa"/>
                  <w:noWrap w:val="0"/>
                  <w:vAlign w:val="center"/>
                </w:tcPr>
                <w:p w14:paraId="6DCFB7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1701" w:type="dxa"/>
                  <w:vMerge w:val="continue"/>
                  <w:noWrap w:val="0"/>
                  <w:vAlign w:val="center"/>
                </w:tcPr>
                <w:p w14:paraId="0321B7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2387" w:type="dxa"/>
                  <w:vMerge w:val="continue"/>
                  <w:noWrap w:val="0"/>
                  <w:vAlign w:val="center"/>
                </w:tcPr>
                <w:p w14:paraId="53D1719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r>
            <w:tr w14:paraId="59F50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4" w:hRule="atLeast"/>
                <w:jc w:val="center"/>
              </w:trPr>
              <w:tc>
                <w:tcPr>
                  <w:tcW w:w="621" w:type="dxa"/>
                  <w:noWrap w:val="0"/>
                  <w:vAlign w:val="center"/>
                </w:tcPr>
                <w:p w14:paraId="11C7B1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18</w:t>
                  </w:r>
                </w:p>
              </w:tc>
              <w:tc>
                <w:tcPr>
                  <w:tcW w:w="1903" w:type="dxa"/>
                  <w:noWrap w:val="0"/>
                  <w:vAlign w:val="center"/>
                </w:tcPr>
                <w:p w14:paraId="09DA85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精细碎设备</w:t>
                  </w:r>
                </w:p>
              </w:tc>
              <w:tc>
                <w:tcPr>
                  <w:tcW w:w="1271" w:type="dxa"/>
                  <w:noWrap w:val="0"/>
                  <w:vAlign w:val="center"/>
                </w:tcPr>
                <w:p w14:paraId="7B8E37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w:t>
                  </w:r>
                </w:p>
              </w:tc>
              <w:tc>
                <w:tcPr>
                  <w:tcW w:w="1701" w:type="dxa"/>
                  <w:noWrap w:val="0"/>
                  <w:vAlign w:val="center"/>
                </w:tcPr>
                <w:p w14:paraId="67DF24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400</w:t>
                  </w:r>
                </w:p>
              </w:tc>
              <w:tc>
                <w:tcPr>
                  <w:tcW w:w="2387" w:type="dxa"/>
                  <w:noWrap w:val="0"/>
                  <w:vAlign w:val="center"/>
                </w:tcPr>
                <w:p w14:paraId="204CDB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3600</w:t>
                  </w:r>
                </w:p>
              </w:tc>
            </w:tr>
          </w:tbl>
          <w:p w14:paraId="7F496EAD">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注：经查阅《产业结构调整指导目录（2024 年本）》工程所用生产设备均不属于限制类或淘汰类。</w:t>
            </w:r>
          </w:p>
          <w:p w14:paraId="75BCF7FF">
            <w:pPr>
              <w:pStyle w:val="28"/>
              <w:spacing w:line="520" w:lineRule="exact"/>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5、主要原辅材料及能源消耗</w:t>
            </w:r>
          </w:p>
          <w:p w14:paraId="09B7B544">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en-US" w:eastAsia="zh-CN"/>
              </w:rPr>
              <w:t>本</w:t>
            </w:r>
            <w:r>
              <w:rPr>
                <w:rFonts w:hint="eastAsia" w:ascii="Times New Roman" w:hAnsi="Times New Roman" w:eastAsia="宋体"/>
                <w:color w:val="000000"/>
                <w:lang w:val="zh-CN"/>
              </w:rPr>
              <w:t>项目主要原铺材料及能源消耗情况见表</w:t>
            </w:r>
            <w:r>
              <w:rPr>
                <w:rFonts w:hint="eastAsia" w:ascii="Times New Roman" w:hAnsi="Times New Roman" w:eastAsia="宋体"/>
                <w:color w:val="000000"/>
                <w:lang w:val="en-US" w:eastAsia="zh-CN"/>
              </w:rPr>
              <w:t>2-4</w:t>
            </w:r>
            <w:r>
              <w:rPr>
                <w:rFonts w:hint="eastAsia" w:ascii="Times New Roman" w:hAnsi="Times New Roman" w:eastAsia="宋体"/>
                <w:color w:val="000000"/>
                <w:lang w:val="zh-CN"/>
              </w:rPr>
              <w:t>。</w:t>
            </w:r>
          </w:p>
          <w:p w14:paraId="33DABB72">
            <w:pPr>
              <w:spacing w:line="360" w:lineRule="auto"/>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表2-4 主要原辅材料用量及能源消耗一览表</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1826"/>
              <w:gridCol w:w="1087"/>
              <w:gridCol w:w="1118"/>
              <w:gridCol w:w="2947"/>
            </w:tblGrid>
            <w:tr w14:paraId="344C4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4" w:type="pct"/>
                  <w:noWrap w:val="0"/>
                  <w:vAlign w:val="center"/>
                </w:tcPr>
                <w:p w14:paraId="374E4D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序号</w:t>
                  </w:r>
                </w:p>
              </w:tc>
              <w:tc>
                <w:tcPr>
                  <w:tcW w:w="1158" w:type="pct"/>
                  <w:noWrap w:val="0"/>
                  <w:vAlign w:val="center"/>
                </w:tcPr>
                <w:p w14:paraId="4614D3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原料名称</w:t>
                  </w:r>
                </w:p>
              </w:tc>
              <w:tc>
                <w:tcPr>
                  <w:tcW w:w="689" w:type="pct"/>
                  <w:noWrap w:val="0"/>
                  <w:vAlign w:val="center"/>
                </w:tcPr>
                <w:p w14:paraId="507213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单位</w:t>
                  </w:r>
                </w:p>
              </w:tc>
              <w:tc>
                <w:tcPr>
                  <w:tcW w:w="709" w:type="pct"/>
                  <w:noWrap w:val="0"/>
                  <w:vAlign w:val="center"/>
                </w:tcPr>
                <w:p w14:paraId="22F2A1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年用量</w:t>
                  </w:r>
                </w:p>
              </w:tc>
              <w:tc>
                <w:tcPr>
                  <w:tcW w:w="1869" w:type="pct"/>
                  <w:noWrap w:val="0"/>
                  <w:vAlign w:val="center"/>
                </w:tcPr>
                <w:p w14:paraId="1DD113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备注</w:t>
                  </w:r>
                </w:p>
              </w:tc>
            </w:tr>
            <w:tr w14:paraId="4C3D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4" w:type="pct"/>
                  <w:noWrap w:val="0"/>
                  <w:vAlign w:val="center"/>
                </w:tcPr>
                <w:p w14:paraId="214BE7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158" w:type="pct"/>
                  <w:noWrap w:val="0"/>
                  <w:vAlign w:val="center"/>
                </w:tcPr>
                <w:p w14:paraId="3C22D6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废旧全钢子午胎</w:t>
                  </w:r>
                </w:p>
              </w:tc>
              <w:tc>
                <w:tcPr>
                  <w:tcW w:w="689" w:type="pct"/>
                  <w:noWrap w:val="0"/>
                  <w:vAlign w:val="center"/>
                </w:tcPr>
                <w:p w14:paraId="13D1E9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t/a</w:t>
                  </w:r>
                </w:p>
              </w:tc>
              <w:tc>
                <w:tcPr>
                  <w:tcW w:w="709" w:type="pct"/>
                  <w:noWrap w:val="0"/>
                  <w:vAlign w:val="center"/>
                </w:tcPr>
                <w:p w14:paraId="1F2CD9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160000</w:t>
                  </w:r>
                </w:p>
              </w:tc>
              <w:tc>
                <w:tcPr>
                  <w:tcW w:w="1869" w:type="pct"/>
                  <w:noWrap w:val="0"/>
                  <w:vAlign w:val="center"/>
                </w:tcPr>
                <w:p w14:paraId="468D3F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外购</w:t>
                  </w:r>
                </w:p>
              </w:tc>
            </w:tr>
            <w:tr w14:paraId="2825C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4" w:type="pct"/>
                  <w:noWrap w:val="0"/>
                  <w:vAlign w:val="center"/>
                </w:tcPr>
                <w:p w14:paraId="63C221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158" w:type="pct"/>
                  <w:noWrap w:val="0"/>
                  <w:vAlign w:val="center"/>
                </w:tcPr>
                <w:p w14:paraId="166BFE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液氮</w:t>
                  </w:r>
                </w:p>
              </w:tc>
              <w:tc>
                <w:tcPr>
                  <w:tcW w:w="689" w:type="pct"/>
                  <w:noWrap w:val="0"/>
                  <w:vAlign w:val="center"/>
                </w:tcPr>
                <w:p w14:paraId="705178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t/a</w:t>
                  </w:r>
                </w:p>
              </w:tc>
              <w:tc>
                <w:tcPr>
                  <w:tcW w:w="709" w:type="pct"/>
                  <w:noWrap w:val="0"/>
                  <w:vAlign w:val="center"/>
                </w:tcPr>
                <w:p w14:paraId="407240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92000</w:t>
                  </w:r>
                </w:p>
              </w:tc>
              <w:tc>
                <w:tcPr>
                  <w:tcW w:w="1869" w:type="pct"/>
                  <w:noWrap w:val="0"/>
                  <w:vAlign w:val="center"/>
                </w:tcPr>
                <w:p w14:paraId="268079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外购</w:t>
                  </w:r>
                </w:p>
              </w:tc>
            </w:tr>
            <w:tr w14:paraId="7D1B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4" w:type="pct"/>
                  <w:noWrap w:val="0"/>
                  <w:vAlign w:val="center"/>
                </w:tcPr>
                <w:p w14:paraId="3305A0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1158" w:type="pct"/>
                  <w:noWrap w:val="0"/>
                  <w:vAlign w:val="center"/>
                </w:tcPr>
                <w:p w14:paraId="4CDF40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编织袋</w:t>
                  </w:r>
                </w:p>
              </w:tc>
              <w:tc>
                <w:tcPr>
                  <w:tcW w:w="689" w:type="pct"/>
                  <w:noWrap w:val="0"/>
                  <w:vAlign w:val="center"/>
                </w:tcPr>
                <w:p w14:paraId="6A42D7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t/a</w:t>
                  </w:r>
                </w:p>
              </w:tc>
              <w:tc>
                <w:tcPr>
                  <w:tcW w:w="709" w:type="pct"/>
                  <w:noWrap w:val="0"/>
                  <w:vAlign w:val="center"/>
                </w:tcPr>
                <w:p w14:paraId="1E074B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10.7</w:t>
                  </w:r>
                </w:p>
              </w:tc>
              <w:tc>
                <w:tcPr>
                  <w:tcW w:w="1869" w:type="pct"/>
                  <w:noWrap w:val="0"/>
                  <w:vAlign w:val="center"/>
                </w:tcPr>
                <w:p w14:paraId="03EA91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外购，用于盛放成品</w:t>
                  </w:r>
                </w:p>
              </w:tc>
            </w:tr>
            <w:tr w14:paraId="1A834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4" w:type="pct"/>
                  <w:noWrap w:val="0"/>
                  <w:vAlign w:val="center"/>
                </w:tcPr>
                <w:p w14:paraId="0C7E2C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c>
                <w:tcPr>
                  <w:tcW w:w="1158" w:type="pct"/>
                  <w:noWrap w:val="0"/>
                  <w:vAlign w:val="center"/>
                </w:tcPr>
                <w:p w14:paraId="0BD1B4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电</w:t>
                  </w:r>
                </w:p>
              </w:tc>
              <w:tc>
                <w:tcPr>
                  <w:tcW w:w="689" w:type="pct"/>
                  <w:noWrap w:val="0"/>
                  <w:vAlign w:val="center"/>
                </w:tcPr>
                <w:p w14:paraId="477211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万kWh</w:t>
                  </w:r>
                </w:p>
              </w:tc>
              <w:tc>
                <w:tcPr>
                  <w:tcW w:w="709" w:type="pct"/>
                  <w:noWrap w:val="0"/>
                  <w:vAlign w:val="center"/>
                </w:tcPr>
                <w:p w14:paraId="01C982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7520</w:t>
                  </w:r>
                </w:p>
              </w:tc>
              <w:tc>
                <w:tcPr>
                  <w:tcW w:w="1869" w:type="pct"/>
                  <w:noWrap w:val="0"/>
                  <w:vAlign w:val="center"/>
                </w:tcPr>
                <w:p w14:paraId="3DD80A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产业集聚区市政供电</w:t>
                  </w:r>
                </w:p>
              </w:tc>
            </w:tr>
            <w:tr w14:paraId="1F839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74" w:type="pct"/>
                  <w:noWrap w:val="0"/>
                  <w:vAlign w:val="center"/>
                </w:tcPr>
                <w:p w14:paraId="01C075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w:t>
                  </w:r>
                </w:p>
              </w:tc>
              <w:tc>
                <w:tcPr>
                  <w:tcW w:w="1158" w:type="pct"/>
                  <w:noWrap w:val="0"/>
                  <w:vAlign w:val="center"/>
                </w:tcPr>
                <w:p w14:paraId="10BF6A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水</w:t>
                  </w:r>
                </w:p>
              </w:tc>
              <w:tc>
                <w:tcPr>
                  <w:tcW w:w="689" w:type="pct"/>
                  <w:noWrap w:val="0"/>
                  <w:vAlign w:val="center"/>
                </w:tcPr>
                <w:p w14:paraId="7898EC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m3</w:t>
                  </w:r>
                </w:p>
              </w:tc>
              <w:tc>
                <w:tcPr>
                  <w:tcW w:w="709" w:type="pct"/>
                  <w:noWrap w:val="0"/>
                  <w:vAlign w:val="center"/>
                </w:tcPr>
                <w:p w14:paraId="45859E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48705.6</w:t>
                  </w:r>
                </w:p>
              </w:tc>
              <w:tc>
                <w:tcPr>
                  <w:tcW w:w="1869" w:type="pct"/>
                  <w:noWrap w:val="0"/>
                  <w:vAlign w:val="center"/>
                </w:tcPr>
                <w:p w14:paraId="108CD5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产业集聚区市政供水</w:t>
                  </w:r>
                </w:p>
              </w:tc>
            </w:tr>
          </w:tbl>
          <w:p w14:paraId="5C410E30">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5.1废旧轮胎组成：</w:t>
            </w:r>
          </w:p>
          <w:p w14:paraId="32D6DD55">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轮胎通常由外胎、内胎、垫带3部分组成。也有不需要内胎的，其胎体内层有气密性好的橡胶层，且需配专用的轮辋。世界各国轮胎的结构，都向无内胎、子午线结构、平（轮胎断面高与宽的比值小）和轻量化的方向发展。</w:t>
            </w:r>
          </w:p>
          <w:p w14:paraId="00E62AB7">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外胎是由胎体、缓冲层（或称带束层）、胎面、胎侧和胎圈组成。外胎断面可分成几个单独的区域：胎冠区、胎肩区（胎面斜坡）、屈挠区（胎侧区）、加强区和胎圈区。</w:t>
            </w:r>
          </w:p>
          <w:p w14:paraId="0E50B5EB">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（1）胎体：</w:t>
            </w:r>
          </w:p>
          <w:p w14:paraId="5A36B808">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又称胎身。通常指由一层或数层帘布层（具有强度、柔软性和弹性）与胎圈组成整体的（作为）充气轮胎的受力结构。</w:t>
            </w:r>
          </w:p>
          <w:p w14:paraId="3F02B23F">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帘布层：是胎体中由并列挂胶帘子线组成的布层，是轮胎的受力骨架层，用以保证轮胎具有必要的强度及尺寸稳定性。</w:t>
            </w:r>
          </w:p>
          <w:p w14:paraId="236E2EED">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胎圈：轮胎安装在轮辋上的部分，由胎圈芯，帘布层包边和胎圈包布等组成。它能承受</w:t>
            </w:r>
          </w:p>
          <w:p w14:paraId="139CDBA5">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因内压而产生的伸张力，同时还能克服轮胎在拐弯行驶中所受的横向力作用，使外胎不致脱出轮辋。</w:t>
            </w:r>
          </w:p>
          <w:p w14:paraId="5E3845BC">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（2）缓冲层（或称带束层）</w:t>
            </w:r>
          </w:p>
          <w:p w14:paraId="79F5EC71">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斜交轮胎胎面与胎体之间的胶帘布层或胶层，不延伸到胎圈的中间材料层。用于缓冲外部冲击力，保护胎体，增进胎面与帘布层之间的粘合。子午线结构轮胎的缓冲层由于其作用不同，一般称为带束层。子午线轮胎胎面基部下，没胎冠中心线圆周方向箍紧胎体的材料层。</w:t>
            </w:r>
          </w:p>
          <w:p w14:paraId="758DB745">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（3）胎面</w:t>
            </w:r>
          </w:p>
          <w:p w14:paraId="42DB7FFB">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外胎最外面与路面接触的橡胶层（通常，把外胎胎冠、胎肩：胎冠两侧的边缘部分、胎侧、加强区部位最外层的橡胶统称为胎面胶）。</w:t>
            </w:r>
          </w:p>
          <w:p w14:paraId="1EA023AF">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轮胎胎面用来防止胎体受机械损伤和早期磨损，向路面传递汽车的牵引力和制动力，增加外胎与路面（土壤）的抓着力，以及吸收轮胎在运行时的振荡。</w:t>
            </w:r>
          </w:p>
          <w:p w14:paraId="199D0F27">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④胎侧是轮胎侧部帘布层外层的胶层，用于保护胎体，又有弹性。</w:t>
            </w:r>
          </w:p>
          <w:p w14:paraId="458ADB72">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⑤胎圈是轮胎安装在轮辋上的部分，由胎圈芯和胎圈包布组成，起固定轮胎作用。</w:t>
            </w:r>
          </w:p>
          <w:p w14:paraId="07920BA9">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5.2理化性质</w:t>
            </w:r>
          </w:p>
          <w:p w14:paraId="4D204E5B">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废旧轮胎主要有橡胶等组成，弹性大、定伸强度高、抗撕裂性和电绝缘性良好，耐磨性和耐旱性良好。缺点耐氧和耐臭性差，容易老化变质；耐油和耐溶剂性不好，抵抗酸碱的腐蚀能力低；耐热性不高。使用温度范围约-60℃~+80℃。但废旧轮胎制作成橡胶粉用于沥青材料中，可更好的提高沥青材料的拉伸长度、强度、耐老化性、冷柔性、光稳定性、抗渗透能力，提高沥青材料的表面光滑度等各方面性能指标。</w:t>
            </w:r>
          </w:p>
          <w:p w14:paraId="4682E75E">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本项目原料主要为废旧轮胎，结合企业前期也可直接外购胶块。</w:t>
            </w:r>
          </w:p>
          <w:p w14:paraId="50A1B1AB">
            <w:pPr>
              <w:spacing w:line="520" w:lineRule="exact"/>
              <w:ind w:firstLine="480" w:firstLineChars="200"/>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本项目物料平衡见下图1。</w:t>
            </w:r>
          </w:p>
          <w:p w14:paraId="325F10BF">
            <w:pPr>
              <w:pStyle w:val="4"/>
            </w:pPr>
            <w:r>
              <w:drawing>
                <wp:inline distT="0" distB="0" distL="114300" distR="114300">
                  <wp:extent cx="3917315" cy="1489075"/>
                  <wp:effectExtent l="0" t="0" r="6985" b="1587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2"/>
                          <a:stretch>
                            <a:fillRect/>
                          </a:stretch>
                        </pic:blipFill>
                        <pic:spPr>
                          <a:xfrm>
                            <a:off x="0" y="0"/>
                            <a:ext cx="3917315" cy="1489075"/>
                          </a:xfrm>
                          <a:prstGeom prst="rect">
                            <a:avLst/>
                          </a:prstGeom>
                          <a:noFill/>
                          <a:ln>
                            <a:noFill/>
                          </a:ln>
                        </pic:spPr>
                      </pic:pic>
                    </a:graphicData>
                  </a:graphic>
                </wp:inline>
              </w:drawing>
            </w:r>
          </w:p>
          <w:p w14:paraId="67DAFDBB">
            <w:pPr>
              <w:jc w:val="center"/>
              <w:rPr>
                <w:rFonts w:hint="eastAsia"/>
                <w:highlight w:val="none"/>
                <w:lang w:val="en-US" w:eastAsia="zh-CN"/>
              </w:rPr>
            </w:pPr>
            <w:r>
              <w:rPr>
                <w:rFonts w:hint="eastAsia" w:ascii="Times New Roman" w:hAnsi="Times New Roman" w:eastAsia="宋体" w:cs="Times New Roman"/>
                <w:b/>
                <w:bCs/>
                <w:sz w:val="21"/>
                <w:szCs w:val="21"/>
                <w:lang w:val="en-US" w:eastAsia="zh-CN"/>
              </w:rPr>
              <w:t>图 1物料平衡图</w:t>
            </w:r>
            <w:r>
              <w:rPr>
                <w:rFonts w:hint="eastAsia"/>
                <w:highlight w:val="none"/>
                <w:lang w:val="en-US" w:eastAsia="zh-CN"/>
              </w:rPr>
              <w:t xml:space="preserve"> </w:t>
            </w:r>
          </w:p>
          <w:p w14:paraId="1BE96649">
            <w:pPr>
              <w:pStyle w:val="28"/>
              <w:spacing w:line="520" w:lineRule="exact"/>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6、公用及辅助工程</w:t>
            </w:r>
          </w:p>
          <w:p w14:paraId="5CA726F7">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cs="Times New Roman"/>
                <w:b/>
                <w:bCs/>
                <w:color w:val="000000"/>
                <w:lang w:val="en-US" w:eastAsia="zh-CN" w:bidi="zh-CN"/>
              </w:rPr>
              <w:t>6</w:t>
            </w:r>
            <w:r>
              <w:rPr>
                <w:rFonts w:hint="eastAsia" w:ascii="Times New Roman" w:hAnsi="Times New Roman" w:eastAsia="宋体" w:cs="Times New Roman"/>
                <w:b/>
                <w:bCs/>
                <w:color w:val="000000"/>
                <w:lang w:val="en-US" w:eastAsia="zh-CN" w:bidi="zh-CN"/>
              </w:rPr>
              <w:t>.1供配电</w:t>
            </w:r>
          </w:p>
          <w:p w14:paraId="64CF7CE8">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eastAsia="zh-CN"/>
              </w:rPr>
              <w:t>项目</w:t>
            </w:r>
            <w:r>
              <w:rPr>
                <w:rFonts w:hint="eastAsia" w:ascii="Times New Roman" w:hAnsi="Times New Roman" w:eastAsia="宋体"/>
                <w:color w:val="000000"/>
                <w:lang w:val="zh-CN"/>
              </w:rPr>
              <w:t>用电由</w:t>
            </w:r>
            <w:r>
              <w:rPr>
                <w:rFonts w:hint="eastAsia" w:ascii="Times New Roman" w:hAnsi="Times New Roman" w:eastAsia="宋体"/>
                <w:color w:val="000000"/>
                <w:lang w:val="zh-CN" w:eastAsia="zh-CN"/>
              </w:rPr>
              <w:t>濮阳市南乐县产业集聚区市政供电</w:t>
            </w:r>
            <w:r>
              <w:rPr>
                <w:rFonts w:hint="eastAsia" w:ascii="Times New Roman" w:hAnsi="Times New Roman" w:eastAsia="宋体"/>
                <w:color w:val="000000"/>
                <w:lang w:val="zh-CN"/>
              </w:rPr>
              <w:t>。</w:t>
            </w:r>
          </w:p>
          <w:p w14:paraId="116490BA">
            <w:pPr>
              <w:pStyle w:val="28"/>
              <w:spacing w:line="520" w:lineRule="exact"/>
              <w:ind w:firstLine="482" w:firstLineChars="200"/>
              <w:jc w:val="left"/>
              <w:rPr>
                <w:rFonts w:hint="eastAsia" w:ascii="Times New Roman" w:hAnsi="Times New Roman" w:eastAsia="宋体" w:cs="Times New Roman"/>
                <w:b/>
                <w:bCs/>
                <w:color w:val="000000"/>
                <w:highlight w:val="none"/>
                <w:lang w:val="en-US" w:eastAsia="zh-CN" w:bidi="zh-CN"/>
              </w:rPr>
            </w:pPr>
            <w:r>
              <w:rPr>
                <w:rFonts w:hint="eastAsia" w:ascii="Times New Roman" w:hAnsi="Times New Roman" w:cs="Times New Roman"/>
                <w:b/>
                <w:bCs/>
                <w:color w:val="000000"/>
                <w:highlight w:val="none"/>
                <w:lang w:val="en-US" w:eastAsia="zh-CN" w:bidi="zh-CN"/>
              </w:rPr>
              <w:t>6</w:t>
            </w:r>
            <w:r>
              <w:rPr>
                <w:rFonts w:hint="eastAsia" w:ascii="Times New Roman" w:hAnsi="Times New Roman" w:eastAsia="宋体" w:cs="Times New Roman"/>
                <w:b/>
                <w:bCs/>
                <w:color w:val="000000"/>
                <w:highlight w:val="none"/>
                <w:lang w:val="en-US" w:eastAsia="zh-CN" w:bidi="zh-CN"/>
              </w:rPr>
              <w:t>.2给排水工程</w:t>
            </w:r>
          </w:p>
          <w:p w14:paraId="1EF1E583">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rPr>
              <w:t>（1）给水系统</w:t>
            </w:r>
          </w:p>
          <w:p w14:paraId="7A04133A">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本项目用水由濮阳市南乐县产业集聚区市政供水供给，能够满足项目用水需求。本项目用水主要为生产过程中循环冷却水、绿化用水及生活用水。</w:t>
            </w:r>
          </w:p>
          <w:p w14:paraId="08450B4D">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①循环冷却水</w:t>
            </w:r>
          </w:p>
          <w:p w14:paraId="0DE6747D">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本项目生产过程磨粉工序由于物料摩擦产生热量，使设备温度升高，需要对其进行冷却。</w:t>
            </w:r>
            <w:r>
              <w:rPr>
                <w:rFonts w:hint="eastAsia" w:ascii="Times New Roman" w:hAnsi="Times New Roman" w:eastAsia="宋体"/>
                <w:color w:val="000000"/>
                <w:lang w:val="en-US" w:eastAsia="zh-CN"/>
              </w:rPr>
              <w:t>循环热水返回值冷却塔上经过冷却，再由冷水泵通过管道送往厂房内破碎机进行冷却</w:t>
            </w:r>
            <w:r>
              <w:rPr>
                <w:rFonts w:hint="eastAsia" w:ascii="Times New Roman" w:hAnsi="Times New Roman" w:eastAsia="宋体"/>
                <w:color w:val="000000"/>
                <w:lang w:val="zh-CN" w:eastAsia="zh-CN"/>
              </w:rPr>
              <w:t>，冷却循环水量为4m</w:t>
            </w:r>
            <w:r>
              <w:rPr>
                <w:rFonts w:hint="eastAsia" w:ascii="Times New Roman" w:hAnsi="Times New Roman" w:eastAsia="宋体"/>
                <w:color w:val="000000"/>
                <w:vertAlign w:val="superscript"/>
                <w:lang w:val="zh-CN" w:eastAsia="zh-CN"/>
              </w:rPr>
              <w:t>3</w:t>
            </w:r>
            <w:r>
              <w:rPr>
                <w:rFonts w:hint="eastAsia" w:ascii="Times New Roman" w:hAnsi="Times New Roman" w:eastAsia="宋体"/>
                <w:color w:val="000000"/>
                <w:lang w:val="zh-CN" w:eastAsia="zh-CN"/>
              </w:rPr>
              <w:t>/h，年工作</w:t>
            </w:r>
            <w:r>
              <w:rPr>
                <w:rFonts w:hint="eastAsia"/>
                <w:color w:val="000000"/>
                <w:lang w:val="en-US" w:eastAsia="zh-CN"/>
              </w:rPr>
              <w:t>300</w:t>
            </w:r>
            <w:r>
              <w:rPr>
                <w:rFonts w:hint="eastAsia" w:ascii="Times New Roman" w:hAnsi="Times New Roman" w:eastAsia="宋体"/>
                <w:color w:val="000000"/>
                <w:lang w:val="zh-CN" w:eastAsia="zh-CN"/>
              </w:rPr>
              <w:t>0天，每天工作</w:t>
            </w:r>
            <w:r>
              <w:rPr>
                <w:rFonts w:hint="eastAsia"/>
                <w:color w:val="000000"/>
                <w:lang w:val="en-US" w:eastAsia="zh-CN"/>
              </w:rPr>
              <w:t>24</w:t>
            </w:r>
            <w:r>
              <w:rPr>
                <w:rFonts w:hint="eastAsia" w:ascii="Times New Roman" w:hAnsi="Times New Roman" w:eastAsia="宋体"/>
                <w:color w:val="000000"/>
                <w:lang w:val="zh-CN" w:eastAsia="zh-CN"/>
              </w:rPr>
              <w:t>小时</w:t>
            </w:r>
            <w:r>
              <w:rPr>
                <w:rFonts w:hint="eastAsia"/>
                <w:color w:val="000000"/>
                <w:lang w:val="zh-CN" w:eastAsia="zh-CN"/>
              </w:rPr>
              <w:t>，</w:t>
            </w:r>
            <w:r>
              <w:rPr>
                <w:rFonts w:hint="eastAsia"/>
                <w:color w:val="000000"/>
                <w:lang w:val="en-US" w:eastAsia="zh-CN"/>
              </w:rPr>
              <w:t>每天循环水量96</w:t>
            </w:r>
            <w:r>
              <w:rPr>
                <w:rFonts w:hint="eastAsia" w:ascii="Times New Roman" w:hAnsi="Times New Roman" w:eastAsia="宋体"/>
                <w:color w:val="000000"/>
                <w:lang w:val="zh-CN" w:eastAsia="zh-CN"/>
              </w:rPr>
              <w:t>m</w:t>
            </w:r>
            <w:r>
              <w:rPr>
                <w:rFonts w:hint="eastAsia" w:ascii="Times New Roman" w:hAnsi="Times New Roman" w:eastAsia="宋体"/>
                <w:color w:val="000000"/>
                <w:vertAlign w:val="superscript"/>
                <w:lang w:val="zh-CN" w:eastAsia="zh-CN"/>
              </w:rPr>
              <w:t>3</w:t>
            </w:r>
            <w:r>
              <w:rPr>
                <w:rFonts w:hint="eastAsia" w:ascii="Times New Roman" w:hAnsi="Times New Roman" w:eastAsia="宋体"/>
                <w:color w:val="000000"/>
                <w:lang w:val="zh-CN" w:eastAsia="zh-CN"/>
              </w:rPr>
              <w:t>/</w:t>
            </w:r>
            <w:r>
              <w:rPr>
                <w:rFonts w:hint="eastAsia"/>
                <w:color w:val="000000"/>
                <w:lang w:val="en-US" w:eastAsia="zh-CN"/>
              </w:rPr>
              <w:t>d</w:t>
            </w:r>
            <w:r>
              <w:rPr>
                <w:rFonts w:hint="eastAsia"/>
                <w:color w:val="000000"/>
                <w:lang w:val="zh-CN" w:eastAsia="zh-CN"/>
              </w:rPr>
              <w:t>；</w:t>
            </w:r>
            <w:r>
              <w:rPr>
                <w:rFonts w:hint="eastAsia" w:ascii="Times New Roman" w:hAnsi="Times New Roman" w:eastAsia="宋体"/>
                <w:color w:val="000000"/>
                <w:highlight w:val="none"/>
                <w:lang w:val="zh-CN" w:eastAsia="zh-CN"/>
              </w:rPr>
              <w:t>这部分水损耗主要为蒸发损耗</w:t>
            </w:r>
            <w:r>
              <w:rPr>
                <w:rFonts w:hint="eastAsia"/>
                <w:color w:val="000000"/>
                <w:highlight w:val="none"/>
                <w:lang w:val="zh-CN" w:eastAsia="zh-CN"/>
              </w:rPr>
              <w:t>，</w:t>
            </w:r>
            <w:r>
              <w:rPr>
                <w:rFonts w:hint="eastAsia"/>
                <w:color w:val="000000"/>
                <w:highlight w:val="none"/>
                <w:lang w:val="en-US" w:eastAsia="zh-CN"/>
              </w:rPr>
              <w:t>损耗量为0.5</w:t>
            </w:r>
            <w:r>
              <w:rPr>
                <w:rFonts w:hint="eastAsia" w:ascii="Times New Roman" w:hAnsi="Times New Roman" w:eastAsia="宋体"/>
                <w:color w:val="000000"/>
                <w:highlight w:val="none"/>
                <w:lang w:val="en-US" w:eastAsia="zh-CN"/>
              </w:rPr>
              <w:t>m³</w:t>
            </w:r>
            <w:r>
              <w:rPr>
                <w:rFonts w:hint="eastAsia" w:ascii="Times New Roman" w:hAnsi="Times New Roman" w:eastAsia="宋体"/>
                <w:color w:val="000000"/>
                <w:highlight w:val="none"/>
                <w:lang w:val="zh-CN" w:eastAsia="zh-CN"/>
              </w:rPr>
              <w:t>/d。</w:t>
            </w:r>
          </w:p>
          <w:p w14:paraId="3237F694">
            <w:pPr>
              <w:spacing w:line="520" w:lineRule="exact"/>
              <w:ind w:firstLine="480" w:firstLineChars="200"/>
              <w:rPr>
                <w:rFonts w:hint="eastAsia" w:ascii="Times New Roman" w:hAnsi="Times New Roman" w:eastAsia="宋体"/>
                <w:color w:val="000000"/>
                <w:highlight w:val="none"/>
                <w:lang w:val="zh-CN" w:eastAsia="zh-CN"/>
              </w:rPr>
            </w:pPr>
            <w:r>
              <w:rPr>
                <w:rFonts w:hint="eastAsia" w:ascii="Times New Roman" w:hAnsi="Times New Roman" w:eastAsia="宋体"/>
                <w:color w:val="000000"/>
                <w:highlight w:val="none"/>
                <w:lang w:val="zh-CN" w:eastAsia="zh-CN"/>
              </w:rPr>
              <w:t>②绿化用水</w:t>
            </w:r>
          </w:p>
          <w:p w14:paraId="72E3C284">
            <w:pPr>
              <w:spacing w:line="520" w:lineRule="exact"/>
              <w:ind w:firstLine="480" w:firstLineChars="200"/>
              <w:rPr>
                <w:rFonts w:hint="eastAsia" w:ascii="Times New Roman" w:hAnsi="Times New Roman" w:eastAsia="宋体"/>
                <w:color w:val="000000"/>
                <w:highlight w:val="none"/>
                <w:lang w:val="zh-CN" w:eastAsia="zh-CN"/>
              </w:rPr>
            </w:pPr>
            <w:r>
              <w:rPr>
                <w:rFonts w:hint="eastAsia" w:ascii="Times New Roman" w:hAnsi="Times New Roman" w:eastAsia="宋体"/>
                <w:color w:val="000000"/>
                <w:highlight w:val="none"/>
                <w:lang w:val="zh-CN" w:eastAsia="zh-CN"/>
              </w:rPr>
              <w:t>根据“河南省市场监督管理局”发布的 《工业与城镇生活用水定额》（DB41/T385-2020）可知，绿化用水量按0.81</w:t>
            </w:r>
            <w:r>
              <w:rPr>
                <w:rFonts w:hint="eastAsia" w:ascii="Times New Roman" w:hAnsi="Times New Roman" w:eastAsia="宋体"/>
                <w:color w:val="000000"/>
                <w:highlight w:val="none"/>
                <w:lang w:val="en-US" w:eastAsia="zh-CN"/>
              </w:rPr>
              <w:t>m³</w:t>
            </w:r>
            <w:r>
              <w:rPr>
                <w:rFonts w:hint="eastAsia" w:ascii="Times New Roman" w:hAnsi="Times New Roman" w:eastAsia="宋体"/>
                <w:color w:val="000000"/>
                <w:highlight w:val="none"/>
                <w:lang w:val="zh-CN" w:eastAsia="zh-CN"/>
              </w:rPr>
              <w:t>/</w:t>
            </w:r>
            <w:r>
              <w:rPr>
                <w:rFonts w:hint="eastAsia" w:ascii="Times New Roman" w:hAnsi="Times New Roman" w:eastAsia="宋体"/>
                <w:color w:val="000000"/>
                <w:highlight w:val="none"/>
                <w:lang w:val="en-US" w:eastAsia="zh-CN"/>
              </w:rPr>
              <w:t>㎡</w:t>
            </w:r>
            <w:r>
              <w:rPr>
                <w:rFonts w:hint="eastAsia" w:ascii="Times New Roman" w:hAnsi="Times New Roman" w:eastAsia="宋体"/>
                <w:color w:val="000000"/>
                <w:highlight w:val="none"/>
                <w:lang w:val="zh-CN" w:eastAsia="zh-CN"/>
              </w:rPr>
              <w:t>·a计算，本项目绿化面积约为</w:t>
            </w:r>
            <w:r>
              <w:rPr>
                <w:rFonts w:hint="eastAsia" w:ascii="Times New Roman" w:hAnsi="Times New Roman" w:eastAsia="宋体"/>
                <w:color w:val="000000"/>
                <w:highlight w:val="none"/>
                <w:lang w:val="en-US" w:eastAsia="zh-CN"/>
              </w:rPr>
              <w:t>2722㎡</w:t>
            </w:r>
            <w:r>
              <w:rPr>
                <w:rFonts w:hint="eastAsia" w:ascii="Times New Roman" w:hAnsi="Times New Roman" w:eastAsia="宋体"/>
                <w:color w:val="000000"/>
                <w:highlight w:val="none"/>
                <w:lang w:val="zh-CN" w:eastAsia="zh-CN"/>
              </w:rPr>
              <w:t>，绿化用水量为</w:t>
            </w:r>
            <w:r>
              <w:rPr>
                <w:rFonts w:hint="eastAsia" w:ascii="Times New Roman" w:hAnsi="Times New Roman" w:eastAsia="宋体"/>
                <w:color w:val="000000"/>
                <w:highlight w:val="none"/>
                <w:lang w:val="en-US" w:eastAsia="zh-CN"/>
              </w:rPr>
              <w:t>2204.8m³</w:t>
            </w:r>
            <w:r>
              <w:rPr>
                <w:rFonts w:hint="eastAsia" w:ascii="Times New Roman" w:hAnsi="Times New Roman" w:eastAsia="宋体"/>
                <w:color w:val="000000"/>
                <w:highlight w:val="none"/>
                <w:lang w:val="zh-CN" w:eastAsia="zh-CN"/>
              </w:rPr>
              <w:t>/a</w:t>
            </w:r>
            <w:r>
              <w:rPr>
                <w:rFonts w:hint="eastAsia"/>
                <w:color w:val="000000"/>
                <w:highlight w:val="none"/>
                <w:lang w:val="zh-CN" w:eastAsia="zh-CN"/>
              </w:rPr>
              <w:t>，</w:t>
            </w:r>
            <w:r>
              <w:rPr>
                <w:rFonts w:hint="eastAsia"/>
                <w:color w:val="000000"/>
                <w:highlight w:val="none"/>
                <w:lang w:val="en-US" w:eastAsia="zh-CN"/>
              </w:rPr>
              <w:t>7.3</w:t>
            </w:r>
            <w:r>
              <w:rPr>
                <w:rFonts w:hint="eastAsia" w:ascii="Times New Roman" w:hAnsi="Times New Roman" w:eastAsia="宋体"/>
                <w:color w:val="000000"/>
                <w:highlight w:val="none"/>
                <w:lang w:val="en-US" w:eastAsia="zh-CN"/>
              </w:rPr>
              <w:t>m³</w:t>
            </w:r>
            <w:r>
              <w:rPr>
                <w:rFonts w:hint="eastAsia" w:ascii="Times New Roman" w:hAnsi="Times New Roman" w:eastAsia="宋体"/>
                <w:color w:val="000000"/>
                <w:highlight w:val="none"/>
                <w:lang w:val="zh-CN" w:eastAsia="zh-CN"/>
              </w:rPr>
              <w:t>/</w:t>
            </w:r>
            <w:r>
              <w:rPr>
                <w:rFonts w:hint="eastAsia"/>
                <w:color w:val="000000"/>
                <w:highlight w:val="none"/>
                <w:lang w:val="en-US" w:eastAsia="zh-CN"/>
              </w:rPr>
              <w:t>d</w:t>
            </w:r>
            <w:r>
              <w:rPr>
                <w:rFonts w:hint="eastAsia" w:ascii="Times New Roman" w:hAnsi="Times New Roman" w:eastAsia="宋体"/>
                <w:color w:val="000000"/>
                <w:highlight w:val="none"/>
                <w:lang w:val="zh-CN" w:eastAsia="zh-CN"/>
              </w:rPr>
              <w:t>。</w:t>
            </w:r>
          </w:p>
          <w:p w14:paraId="3D811F8B">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绿化用水在浇洒到绿地上后，全部因植物吸收或蒸发，无废水产生。</w:t>
            </w:r>
          </w:p>
          <w:p w14:paraId="2CDA07E6">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③生活用水</w:t>
            </w:r>
          </w:p>
          <w:p w14:paraId="2F10586A">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本项目主要为员工生活用水，劳动定员20</w:t>
            </w:r>
            <w:r>
              <w:rPr>
                <w:rFonts w:hint="eastAsia" w:ascii="Times New Roman" w:hAnsi="Times New Roman" w:eastAsia="宋体"/>
                <w:color w:val="000000"/>
                <w:lang w:val="en-US" w:eastAsia="zh-CN"/>
              </w:rPr>
              <w:t>0</w:t>
            </w:r>
            <w:r>
              <w:rPr>
                <w:rFonts w:hint="eastAsia" w:ascii="Times New Roman" w:hAnsi="Times New Roman" w:eastAsia="宋体"/>
                <w:color w:val="000000"/>
                <w:lang w:val="zh-CN" w:eastAsia="zh-CN"/>
              </w:rPr>
              <w:t>人，均不在厂区食宿，参考河南省地方标准《工业与城镇生活用水定额》（DB41/T385-2020），用水量按</w:t>
            </w:r>
            <w:r>
              <w:rPr>
                <w:rFonts w:hint="eastAsia"/>
                <w:color w:val="000000"/>
                <w:lang w:val="en-US" w:eastAsia="zh-CN"/>
              </w:rPr>
              <w:t>40</w:t>
            </w:r>
            <w:r>
              <w:rPr>
                <w:rFonts w:hint="eastAsia" w:ascii="Times New Roman" w:hAnsi="Times New Roman" w:eastAsia="宋体"/>
                <w:color w:val="000000"/>
                <w:lang w:val="zh-CN" w:eastAsia="zh-CN"/>
              </w:rPr>
              <w:t>L/人·d计，则生活用水量为</w:t>
            </w:r>
            <w:r>
              <w:rPr>
                <w:rFonts w:hint="eastAsia"/>
                <w:color w:val="000000"/>
                <w:lang w:val="en-US" w:eastAsia="zh-CN"/>
              </w:rPr>
              <w:t>8.0</w:t>
            </w:r>
            <w:r>
              <w:rPr>
                <w:rFonts w:hint="eastAsia" w:ascii="Times New Roman" w:hAnsi="Times New Roman" w:eastAsia="宋体"/>
                <w:color w:val="000000"/>
                <w:lang w:val="en-US" w:eastAsia="zh-CN"/>
              </w:rPr>
              <w:t>m³</w:t>
            </w:r>
            <w:r>
              <w:rPr>
                <w:rFonts w:hint="eastAsia" w:ascii="Times New Roman" w:hAnsi="Times New Roman" w:eastAsia="宋体"/>
                <w:color w:val="000000"/>
                <w:lang w:val="zh-CN" w:eastAsia="zh-CN"/>
              </w:rPr>
              <w:t>/d，</w:t>
            </w:r>
            <w:r>
              <w:rPr>
                <w:rFonts w:hint="eastAsia"/>
                <w:color w:val="000000"/>
                <w:lang w:val="en-US" w:eastAsia="zh-CN"/>
              </w:rPr>
              <w:t>2400</w:t>
            </w:r>
            <w:r>
              <w:rPr>
                <w:rFonts w:hint="eastAsia" w:ascii="Times New Roman" w:hAnsi="Times New Roman" w:eastAsia="宋体"/>
                <w:color w:val="000000"/>
                <w:lang w:val="en-US" w:eastAsia="zh-CN"/>
              </w:rPr>
              <w:t>m³</w:t>
            </w:r>
            <w:r>
              <w:rPr>
                <w:rFonts w:hint="eastAsia" w:ascii="Times New Roman" w:hAnsi="Times New Roman" w:eastAsia="宋体"/>
                <w:color w:val="000000"/>
                <w:lang w:val="zh-CN" w:eastAsia="zh-CN"/>
              </w:rPr>
              <w:t>/a。</w:t>
            </w:r>
          </w:p>
          <w:p w14:paraId="34AEFE51">
            <w:pPr>
              <w:spacing w:line="520" w:lineRule="exact"/>
              <w:ind w:firstLine="480" w:firstLineChars="200"/>
              <w:rPr>
                <w:rFonts w:hint="default" w:ascii="Times New Roman" w:hAnsi="Times New Roman" w:eastAsia="宋体"/>
                <w:color w:val="000000"/>
                <w:lang w:val="en-US" w:eastAsia="zh-CN"/>
              </w:rPr>
            </w:pPr>
            <w:r>
              <w:rPr>
                <w:rFonts w:hint="eastAsia" w:ascii="Times New Roman" w:hAnsi="Times New Roman" w:eastAsia="宋体"/>
                <w:color w:val="000000"/>
                <w:lang w:val="zh-CN" w:eastAsia="zh-CN"/>
              </w:rPr>
              <w:t>则本项目总水量为</w:t>
            </w:r>
            <w:r>
              <w:rPr>
                <w:rFonts w:hint="eastAsia"/>
                <w:color w:val="000000"/>
                <w:lang w:val="en-US" w:eastAsia="zh-CN"/>
              </w:rPr>
              <w:t>15.8</w:t>
            </w:r>
            <w:r>
              <w:rPr>
                <w:rFonts w:hint="eastAsia" w:ascii="Times New Roman" w:hAnsi="Times New Roman" w:eastAsia="宋体"/>
                <w:color w:val="000000"/>
                <w:lang w:val="en-US" w:eastAsia="zh-CN"/>
              </w:rPr>
              <w:t>m³</w:t>
            </w:r>
            <w:r>
              <w:rPr>
                <w:rFonts w:hint="eastAsia" w:ascii="Times New Roman" w:hAnsi="Times New Roman" w:eastAsia="宋体"/>
                <w:color w:val="000000"/>
                <w:lang w:val="zh-CN" w:eastAsia="zh-CN"/>
              </w:rPr>
              <w:t>/d。</w:t>
            </w:r>
          </w:p>
          <w:p w14:paraId="3B8FB22D">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zh-CN"/>
              </w:rPr>
              <w:t>（2）排水工程</w:t>
            </w:r>
            <w:r>
              <w:rPr>
                <w:rFonts w:hint="eastAsia" w:ascii="Times New Roman" w:hAnsi="Times New Roman" w:eastAsia="宋体"/>
                <w:color w:val="000000"/>
                <w:lang w:val="en-US" w:eastAsia="zh-CN"/>
              </w:rPr>
              <w:t xml:space="preserve"> </w:t>
            </w:r>
          </w:p>
          <w:p w14:paraId="4F78DD00">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本项目排水采用雨污分流、清污分流制。项目污水主要为生活污水，生活污水产污系数按用水量0.8计，生活污水产生量为1.28m³/d，345.6m³/a，生活污水经化粪池处理后排至生活污水管网，最后排入厂区外的排水系统内。本项目水平衡见下图2。</w:t>
            </w:r>
          </w:p>
          <w:p w14:paraId="352273BE">
            <w:pPr>
              <w:spacing w:line="240" w:lineRule="auto"/>
              <w:jc w:val="center"/>
              <w:rPr>
                <w:rFonts w:hint="eastAsia" w:ascii="Times New Roman" w:hAnsi="Times New Roman" w:eastAsia="宋体" w:cs="Times New Roman"/>
                <w:highlight w:val="yellow"/>
                <w:lang w:val="en-US" w:eastAsia="zh-CN"/>
              </w:rPr>
            </w:pPr>
            <w:r>
              <w:drawing>
                <wp:inline distT="0" distB="0" distL="114300" distR="114300">
                  <wp:extent cx="5009515" cy="2095500"/>
                  <wp:effectExtent l="0" t="0" r="635" b="0"/>
                  <wp:docPr id="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
                          <pic:cNvPicPr>
                            <a:picLocks noChangeAspect="1"/>
                          </pic:cNvPicPr>
                        </pic:nvPicPr>
                        <pic:blipFill>
                          <a:blip r:embed="rId13"/>
                          <a:stretch>
                            <a:fillRect/>
                          </a:stretch>
                        </pic:blipFill>
                        <pic:spPr>
                          <a:xfrm>
                            <a:off x="0" y="0"/>
                            <a:ext cx="5009515" cy="2095500"/>
                          </a:xfrm>
                          <a:prstGeom prst="rect">
                            <a:avLst/>
                          </a:prstGeom>
                          <a:noFill/>
                          <a:ln>
                            <a:noFill/>
                          </a:ln>
                        </pic:spPr>
                      </pic:pic>
                    </a:graphicData>
                  </a:graphic>
                </wp:inline>
              </w:drawing>
            </w:r>
          </w:p>
          <w:p w14:paraId="58768ED3">
            <w:pPr>
              <w:spacing w:line="360" w:lineRule="auto"/>
              <w:jc w:val="center"/>
              <w:rPr>
                <w:rFonts w:hint="default" w:ascii="Times New Roman" w:hAnsi="Times New Roman" w:eastAsia="宋体" w:cs="Times New Roman"/>
                <w:b/>
                <w:bCs/>
                <w:sz w:val="21"/>
                <w:szCs w:val="21"/>
                <w:highlight w:val="none"/>
                <w:lang w:val="en-US" w:eastAsia="zh-CN"/>
              </w:rPr>
            </w:pPr>
            <w:r>
              <w:rPr>
                <w:rFonts w:hint="eastAsia" w:ascii="Times New Roman" w:hAnsi="Times New Roman" w:eastAsia="宋体" w:cs="Times New Roman"/>
                <w:b/>
                <w:bCs/>
                <w:sz w:val="21"/>
                <w:szCs w:val="21"/>
                <w:highlight w:val="none"/>
                <w:lang w:val="en-US" w:eastAsia="zh-CN"/>
              </w:rPr>
              <w:t>图 2水平衡图</w:t>
            </w:r>
            <w:r>
              <w:rPr>
                <w:rFonts w:hint="eastAsia" w:cs="Times New Roman"/>
                <w:b/>
                <w:bCs/>
                <w:sz w:val="21"/>
                <w:szCs w:val="21"/>
                <w:highlight w:val="none"/>
                <w:lang w:val="en-US" w:eastAsia="zh-CN"/>
              </w:rPr>
              <w:t xml:space="preserve">  单位：t/d</w:t>
            </w:r>
          </w:p>
          <w:p w14:paraId="1D65BD92">
            <w:pPr>
              <w:spacing w:line="520" w:lineRule="exact"/>
              <w:ind w:firstLine="480" w:firstLineChars="200"/>
              <w:rPr>
                <w:rFonts w:hint="default" w:ascii="Times New Roman" w:hAnsi="Times New Roman" w:eastAsia="宋体"/>
                <w:color w:val="000000"/>
                <w:lang w:val="en-US" w:eastAsia="zh-CN"/>
              </w:rPr>
            </w:pPr>
            <w:r>
              <w:rPr>
                <w:rFonts w:hint="eastAsia" w:ascii="Times New Roman" w:hAnsi="Times New Roman" w:eastAsia="宋体"/>
                <w:color w:val="000000"/>
                <w:lang w:val="zh-CN"/>
              </w:rPr>
              <w:t>（</w:t>
            </w:r>
            <w:r>
              <w:rPr>
                <w:rFonts w:hint="eastAsia" w:ascii="Times New Roman" w:hAnsi="Times New Roman" w:eastAsia="宋体"/>
                <w:color w:val="000000"/>
                <w:lang w:val="en-US" w:eastAsia="zh-CN"/>
              </w:rPr>
              <w:t>3</w:t>
            </w:r>
            <w:r>
              <w:rPr>
                <w:rFonts w:hint="eastAsia" w:ascii="Times New Roman" w:hAnsi="Times New Roman" w:eastAsia="宋体"/>
                <w:color w:val="000000"/>
                <w:lang w:val="zh-CN"/>
              </w:rPr>
              <w:t>）</w:t>
            </w:r>
            <w:r>
              <w:rPr>
                <w:rFonts w:hint="eastAsia" w:ascii="Times New Roman" w:hAnsi="Times New Roman" w:eastAsia="宋体"/>
                <w:color w:val="000000"/>
                <w:lang w:val="en-US" w:eastAsia="zh-CN"/>
              </w:rPr>
              <w:t>供暖工程</w:t>
            </w:r>
          </w:p>
          <w:p w14:paraId="7D0B5DBA">
            <w:pPr>
              <w:spacing w:line="520" w:lineRule="exact"/>
              <w:ind w:firstLine="480" w:firstLineChars="200"/>
              <w:rPr>
                <w:rFonts w:hint="eastAsia"/>
                <w:lang w:val="en-US" w:eastAsia="zh-CN"/>
              </w:rPr>
            </w:pPr>
            <w:r>
              <w:rPr>
                <w:rFonts w:hint="eastAsia" w:ascii="Times New Roman" w:hAnsi="Times New Roman" w:eastAsia="宋体"/>
                <w:color w:val="000000"/>
                <w:lang w:val="en-US" w:eastAsia="zh-CN"/>
              </w:rPr>
              <w:t>本项目无集中供暖设施，采用壁挂式单体空调解决供暖需求。</w:t>
            </w:r>
          </w:p>
          <w:p w14:paraId="7ABA515E">
            <w:pPr>
              <w:spacing w:line="520" w:lineRule="exact"/>
              <w:ind w:firstLine="480" w:firstLineChars="200"/>
              <w:rPr>
                <w:rFonts w:hint="default" w:ascii="Times New Roman" w:hAnsi="Times New Roman" w:eastAsia="宋体"/>
                <w:color w:val="000000"/>
                <w:lang w:val="en-US" w:eastAsia="zh-CN"/>
              </w:rPr>
            </w:pPr>
            <w:r>
              <w:rPr>
                <w:rFonts w:hint="eastAsia" w:ascii="Times New Roman" w:hAnsi="Times New Roman" w:eastAsia="宋体"/>
                <w:color w:val="000000"/>
                <w:lang w:val="zh-CN"/>
              </w:rPr>
              <w:t>（</w:t>
            </w:r>
            <w:r>
              <w:rPr>
                <w:rFonts w:hint="eastAsia" w:ascii="Times New Roman" w:hAnsi="Times New Roman" w:eastAsia="宋体"/>
                <w:color w:val="000000"/>
                <w:lang w:val="en-US" w:eastAsia="zh-CN"/>
              </w:rPr>
              <w:t>4</w:t>
            </w:r>
            <w:r>
              <w:rPr>
                <w:rFonts w:hint="eastAsia" w:ascii="Times New Roman" w:hAnsi="Times New Roman" w:eastAsia="宋体"/>
                <w:color w:val="000000"/>
                <w:lang w:val="zh-CN"/>
              </w:rPr>
              <w:t>）</w:t>
            </w:r>
            <w:r>
              <w:rPr>
                <w:rFonts w:hint="eastAsia" w:ascii="Times New Roman" w:hAnsi="Times New Roman" w:eastAsia="宋体"/>
                <w:color w:val="000000"/>
                <w:lang w:val="en-US" w:eastAsia="zh-CN"/>
              </w:rPr>
              <w:t>消防工程</w:t>
            </w:r>
          </w:p>
          <w:p w14:paraId="460DC801">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根据《建筑设计防火规范》GB 50016-2014（2018 年版）规定，同一时间内火灾次数按一次计，消防用水量最大区域，轮胎破碎厂房的消火栓火灾延续时间 3 小时，消防用水量为 60L/s（216m³/h），喷淋的火灾延续时间 2 小时，消防水量为 95L/s（342m³/h）。</w:t>
            </w:r>
          </w:p>
          <w:p w14:paraId="42B51BE4">
            <w:pPr>
              <w:spacing w:line="480" w:lineRule="exact"/>
              <w:rPr>
                <w:rFonts w:hint="eastAsia" w:ascii="Times New Roman" w:hAnsi="Times New Roman" w:eastAsia="宋体" w:cs="Times New Roman"/>
                <w:b/>
                <w:bCs/>
                <w:color w:val="000000"/>
                <w:kern w:val="2"/>
                <w:sz w:val="24"/>
                <w:szCs w:val="24"/>
                <w:highlight w:val="none"/>
                <w:lang w:val="en-US" w:eastAsia="zh-CN" w:bidi="zh-CN"/>
              </w:rPr>
            </w:pPr>
            <w:r>
              <w:rPr>
                <w:rFonts w:hint="eastAsia" w:ascii="Times New Roman" w:hAnsi="Times New Roman" w:eastAsia="宋体" w:cs="Times New Roman"/>
                <w:b/>
                <w:bCs/>
                <w:color w:val="000000"/>
                <w:kern w:val="2"/>
                <w:sz w:val="24"/>
                <w:szCs w:val="24"/>
                <w:highlight w:val="none"/>
                <w:lang w:val="en-US" w:eastAsia="zh-CN" w:bidi="zh-CN"/>
              </w:rPr>
              <w:t>7、劳动定员及工作制度</w:t>
            </w:r>
          </w:p>
          <w:p w14:paraId="05310EC7">
            <w:pPr>
              <w:spacing w:line="520" w:lineRule="exact"/>
              <w:ind w:firstLine="480" w:firstLineChars="200"/>
              <w:rPr>
                <w:rFonts w:hint="eastAsia" w:ascii="Times New Roman" w:hAnsi="Times New Roman" w:eastAsia="宋体"/>
                <w:color w:val="000000"/>
                <w:highlight w:val="none"/>
                <w:lang w:val="zh-CN" w:eastAsia="zh-CN"/>
              </w:rPr>
            </w:pPr>
            <w:r>
              <w:rPr>
                <w:rFonts w:hint="eastAsia" w:ascii="Times New Roman" w:hAnsi="Times New Roman" w:eastAsia="宋体"/>
                <w:color w:val="000000"/>
                <w:highlight w:val="none"/>
                <w:lang w:val="zh-CN"/>
              </w:rPr>
              <w:t>本项目主要工艺岗位有胎圈分离、上料破碎、钢丝收集、</w:t>
            </w:r>
            <w:r>
              <w:rPr>
                <w:rFonts w:hint="eastAsia" w:ascii="Times New Roman" w:hAnsi="Times New Roman" w:eastAsia="宋体"/>
                <w:color w:val="000000"/>
                <w:highlight w:val="none"/>
                <w:lang w:val="en-US" w:eastAsia="zh-CN"/>
              </w:rPr>
              <w:t>纤维收集、</w:t>
            </w:r>
            <w:r>
              <w:rPr>
                <w:rFonts w:hint="eastAsia" w:ascii="Times New Roman" w:hAnsi="Times New Roman" w:eastAsia="宋体"/>
                <w:color w:val="000000"/>
                <w:highlight w:val="none"/>
                <w:lang w:val="zh-CN"/>
              </w:rPr>
              <w:t>成品包装等，装置定员每班</w:t>
            </w:r>
            <w:r>
              <w:rPr>
                <w:rFonts w:hint="eastAsia" w:ascii="Times New Roman" w:hAnsi="Times New Roman" w:eastAsia="宋体"/>
                <w:color w:val="000000"/>
                <w:highlight w:val="none"/>
                <w:lang w:val="en-US" w:eastAsia="zh-CN"/>
              </w:rPr>
              <w:t>50</w:t>
            </w:r>
            <w:r>
              <w:rPr>
                <w:rFonts w:hint="eastAsia" w:ascii="Times New Roman" w:hAnsi="Times New Roman" w:eastAsia="宋体"/>
                <w:color w:val="000000"/>
                <w:highlight w:val="none"/>
                <w:lang w:val="zh-CN"/>
              </w:rPr>
              <w:t xml:space="preserve"> 人，实行四班三运转制，总定员需要 </w:t>
            </w:r>
            <w:r>
              <w:rPr>
                <w:rFonts w:hint="eastAsia" w:ascii="Times New Roman" w:hAnsi="Times New Roman" w:eastAsia="宋体"/>
                <w:color w:val="000000"/>
                <w:highlight w:val="none"/>
                <w:lang w:val="en-US" w:eastAsia="zh-CN"/>
              </w:rPr>
              <w:t>200</w:t>
            </w:r>
            <w:r>
              <w:rPr>
                <w:rFonts w:hint="eastAsia" w:ascii="Times New Roman" w:hAnsi="Times New Roman" w:eastAsia="宋体"/>
                <w:color w:val="000000"/>
                <w:highlight w:val="none"/>
                <w:lang w:val="zh-CN"/>
              </w:rPr>
              <w:t xml:space="preserve"> 人。</w:t>
            </w:r>
          </w:p>
          <w:p w14:paraId="672A0474">
            <w:pPr>
              <w:pStyle w:val="28"/>
              <w:spacing w:line="520" w:lineRule="exact"/>
              <w:jc w:val="left"/>
              <w:rPr>
                <w:rFonts w:hint="eastAsia" w:ascii="Times New Roman" w:hAnsi="Times New Roman" w:eastAsia="宋体" w:cs="Times New Roman"/>
                <w:b/>
                <w:bCs/>
                <w:color w:val="000000"/>
                <w:highlight w:val="none"/>
                <w:lang w:val="en-US" w:eastAsia="zh-CN" w:bidi="zh-CN"/>
              </w:rPr>
            </w:pPr>
            <w:r>
              <w:rPr>
                <w:rFonts w:hint="eastAsia" w:ascii="Times New Roman" w:hAnsi="Times New Roman" w:cs="Times New Roman"/>
                <w:b/>
                <w:bCs/>
                <w:color w:val="000000"/>
                <w:highlight w:val="none"/>
                <w:lang w:val="en-US" w:eastAsia="zh-CN" w:bidi="zh-CN"/>
              </w:rPr>
              <w:t>8</w:t>
            </w:r>
            <w:r>
              <w:rPr>
                <w:rFonts w:hint="eastAsia" w:ascii="Times New Roman" w:hAnsi="Times New Roman" w:eastAsia="宋体" w:cs="Times New Roman"/>
                <w:b/>
                <w:bCs/>
                <w:color w:val="000000"/>
                <w:highlight w:val="none"/>
                <w:lang w:val="en-US" w:eastAsia="zh-CN" w:bidi="zh-CN"/>
              </w:rPr>
              <w:t>、平面布局</w:t>
            </w:r>
          </w:p>
          <w:p w14:paraId="45BAD8CA">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highlight w:val="none"/>
                <w:lang w:val="zh-CN" w:eastAsia="zh-CN"/>
              </w:rPr>
              <w:t>由本项目平面布置图</w:t>
            </w:r>
            <w:r>
              <w:rPr>
                <w:rFonts w:hint="eastAsia"/>
                <w:color w:val="000000"/>
                <w:highlight w:val="none"/>
                <w:lang w:val="zh-CN" w:eastAsia="zh-CN"/>
              </w:rPr>
              <w:t>（</w:t>
            </w:r>
            <w:r>
              <w:rPr>
                <w:rFonts w:hint="eastAsia"/>
                <w:color w:val="000000"/>
                <w:highlight w:val="none"/>
                <w:lang w:val="en-US" w:eastAsia="zh-CN"/>
              </w:rPr>
              <w:t>详见附图4</w:t>
            </w:r>
            <w:r>
              <w:rPr>
                <w:rFonts w:hint="eastAsia"/>
                <w:color w:val="000000"/>
                <w:highlight w:val="none"/>
                <w:lang w:val="zh-CN" w:eastAsia="zh-CN"/>
              </w:rPr>
              <w:t>）</w:t>
            </w:r>
            <w:r>
              <w:rPr>
                <w:rFonts w:hint="eastAsia" w:ascii="Times New Roman" w:hAnsi="Times New Roman" w:eastAsia="宋体"/>
                <w:color w:val="000000"/>
                <w:highlight w:val="none"/>
                <w:lang w:val="zh-CN" w:eastAsia="zh-CN"/>
              </w:rPr>
              <w:t>可知</w:t>
            </w:r>
            <w:r>
              <w:rPr>
                <w:rFonts w:hint="eastAsia" w:ascii="Times New Roman" w:hAnsi="Times New Roman" w:eastAsia="宋体"/>
                <w:color w:val="000000"/>
                <w:lang w:val="zh-CN" w:eastAsia="zh-CN"/>
              </w:rPr>
              <w:t>，厂区划分为 4 个功能分区，分别为：生产区、办公区、公用工程区、储运区。办公区在厂区的西侧，生产区在厂区中部包含粗碎和细碎厂房，</w:t>
            </w:r>
          </w:p>
          <w:p w14:paraId="42B29F1E">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公用工程区在厂区南侧，储运区在厂区东侧。</w:t>
            </w:r>
          </w:p>
          <w:p w14:paraId="57B7F3BD">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办公区主要由办公楼、门卫、停车场组成，布置在厂区西侧，办公楼下西侧目前为闲置空地。</w:t>
            </w:r>
          </w:p>
          <w:p w14:paraId="7A599F11">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生产区布置在厂区的中部，主要运输道路旁边，成品库和原料库临近厂区南北侧道路，东侧为产品及原料运输大门。</w:t>
            </w:r>
          </w:p>
          <w:p w14:paraId="4FC8C34B">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全场消防水池、事故水池、等公用工程布置在厂区的西南侧。</w:t>
            </w:r>
          </w:p>
          <w:p w14:paraId="3879BC0C">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厂区北侧开有两个厂门，其中东侧门供货车进出，配有一台地中衡，为主大门，配有一个门卫室。东北侧有辅助消防通道预留大门。</w:t>
            </w:r>
          </w:p>
          <w:p w14:paraId="6042C368">
            <w:pPr>
              <w:spacing w:line="520" w:lineRule="exact"/>
              <w:ind w:firstLine="480" w:firstLineChars="200"/>
              <w:rPr>
                <w:rFonts w:hint="eastAsia" w:ascii="Times New Roman" w:hAnsi="Times New Roman" w:eastAsia="宋体"/>
                <w:color w:val="000000"/>
                <w:lang w:val="zh-CN" w:eastAsia="zh-CN"/>
              </w:rPr>
            </w:pPr>
            <w:r>
              <w:rPr>
                <w:rFonts w:hint="eastAsia" w:ascii="Times New Roman" w:hAnsi="Times New Roman" w:eastAsia="宋体"/>
                <w:color w:val="000000"/>
                <w:lang w:val="zh-CN" w:eastAsia="zh-CN"/>
              </w:rPr>
              <w:t>厂区西北侧为主要人流入口，及厂前区，设门卫室。</w:t>
            </w:r>
          </w:p>
          <w:p w14:paraId="1E20F86E">
            <w:pPr>
              <w:spacing w:line="520" w:lineRule="exact"/>
              <w:ind w:firstLine="480" w:firstLineChars="200"/>
              <w:rPr>
                <w:rFonts w:hint="eastAsia"/>
                <w:lang w:eastAsia="zh-CN"/>
              </w:rPr>
            </w:pPr>
            <w:r>
              <w:rPr>
                <w:rFonts w:hint="eastAsia" w:ascii="Times New Roman" w:hAnsi="Times New Roman" w:eastAsia="宋体"/>
                <w:color w:val="000000"/>
                <w:lang w:val="zh-CN" w:eastAsia="zh-CN"/>
              </w:rPr>
              <w:t>以上布置综合考虑</w:t>
            </w:r>
            <w:r>
              <w:rPr>
                <w:rFonts w:hint="eastAsia" w:ascii="Times New Roman" w:hAnsi="Times New Roman" w:eastAsia="宋体"/>
                <w:color w:val="000000"/>
                <w:lang w:val="en-US" w:eastAsia="zh-CN"/>
              </w:rPr>
              <w:t>了</w:t>
            </w:r>
            <w:r>
              <w:rPr>
                <w:rFonts w:hint="eastAsia" w:ascii="Times New Roman" w:hAnsi="Times New Roman" w:eastAsia="宋体"/>
                <w:color w:val="000000"/>
                <w:lang w:val="zh-CN" w:eastAsia="zh-CN"/>
              </w:rPr>
              <w:t>各装置的前后衔接关系，力争做到工艺顺畅、线路短捷、运输顺畅。同时满足检修、安全、通风、管线敷设以及绿化的要求。</w:t>
            </w:r>
          </w:p>
          <w:p w14:paraId="4EFE8517">
            <w:pPr>
              <w:pStyle w:val="28"/>
              <w:spacing w:line="520" w:lineRule="exact"/>
              <w:jc w:val="left"/>
              <w:rPr>
                <w:rFonts w:hint="eastAsia" w:ascii="Times New Roman" w:hAnsi="Times New Roman" w:eastAsia="宋体" w:cs="Times New Roman"/>
                <w:b/>
                <w:bCs/>
                <w:color w:val="000000"/>
                <w:highlight w:val="none"/>
                <w:lang w:val="en-US" w:eastAsia="zh-CN" w:bidi="zh-CN"/>
              </w:rPr>
            </w:pPr>
            <w:r>
              <w:rPr>
                <w:rFonts w:hint="eastAsia" w:ascii="Times New Roman" w:hAnsi="Times New Roman" w:cs="Times New Roman"/>
                <w:b/>
                <w:bCs/>
                <w:color w:val="000000"/>
                <w:highlight w:val="none"/>
                <w:lang w:val="en-US" w:eastAsia="zh-CN" w:bidi="zh-CN"/>
              </w:rPr>
              <w:t>9</w:t>
            </w:r>
            <w:r>
              <w:rPr>
                <w:rFonts w:hint="eastAsia" w:ascii="Times New Roman" w:hAnsi="Times New Roman" w:eastAsia="宋体" w:cs="Times New Roman"/>
                <w:b/>
                <w:bCs/>
                <w:color w:val="000000"/>
                <w:highlight w:val="none"/>
                <w:lang w:val="en-US" w:eastAsia="zh-CN" w:bidi="zh-CN"/>
              </w:rPr>
              <w:t>、环境保护投资</w:t>
            </w:r>
          </w:p>
          <w:p w14:paraId="30F990FC">
            <w:pPr>
              <w:spacing w:line="520" w:lineRule="exact"/>
              <w:ind w:firstLine="480" w:firstLineChars="200"/>
              <w:rPr>
                <w:rFonts w:hint="eastAsia"/>
                <w:lang w:eastAsia="zh-CN"/>
              </w:rPr>
            </w:pPr>
            <w:r>
              <w:rPr>
                <w:rFonts w:hint="eastAsia" w:ascii="Times New Roman" w:hAnsi="Times New Roman" w:eastAsia="宋体"/>
                <w:color w:val="000000"/>
                <w:highlight w:val="none"/>
                <w:lang w:val="zh-CN" w:eastAsia="zh-CN"/>
              </w:rPr>
              <w:t xml:space="preserve">本工程环境保护费包括废水预处理、污水收集系统及排水系统、噪声治理及绿化等费用，这些费用已包含在给排水专业，工艺及建筑专业，总图专业费用估算中。综合以上各种费用本工程环保投资约 </w:t>
            </w:r>
            <w:r>
              <w:rPr>
                <w:rFonts w:hint="eastAsia"/>
                <w:color w:val="000000"/>
                <w:highlight w:val="none"/>
                <w:lang w:val="en-US" w:eastAsia="zh-CN"/>
              </w:rPr>
              <w:t>99</w:t>
            </w:r>
            <w:r>
              <w:rPr>
                <w:rFonts w:hint="eastAsia" w:ascii="Times New Roman" w:hAnsi="Times New Roman" w:eastAsia="宋体"/>
                <w:color w:val="000000"/>
                <w:highlight w:val="none"/>
                <w:lang w:val="zh-CN" w:eastAsia="zh-CN"/>
              </w:rPr>
              <w:t xml:space="preserve"> 万元人民币，占工程总投资的 </w:t>
            </w:r>
            <w:r>
              <w:rPr>
                <w:rFonts w:hint="eastAsia"/>
                <w:color w:val="000000"/>
                <w:highlight w:val="none"/>
                <w:lang w:val="en-US" w:eastAsia="zh-CN"/>
              </w:rPr>
              <w:t>0.16</w:t>
            </w:r>
            <w:r>
              <w:rPr>
                <w:rFonts w:hint="eastAsia" w:ascii="Times New Roman" w:hAnsi="Times New Roman" w:eastAsia="宋体"/>
                <w:color w:val="000000"/>
                <w:highlight w:val="none"/>
                <w:lang w:val="zh-CN" w:eastAsia="zh-CN"/>
              </w:rPr>
              <w:t>%。</w:t>
            </w:r>
          </w:p>
        </w:tc>
      </w:tr>
      <w:tr w14:paraId="6EA1D5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948" w:type="dxa"/>
            <w:noWrap w:val="0"/>
            <w:vAlign w:val="center"/>
          </w:tcPr>
          <w:p w14:paraId="076D9B49">
            <w:pPr>
              <w:pStyle w:val="14"/>
              <w:adjustRightInd w:val="0"/>
              <w:snapToGrid w:val="0"/>
              <w:spacing w:before="0" w:beforeAutospacing="0" w:after="0" w:afterAutospacing="0"/>
              <w:jc w:val="center"/>
              <w:rPr>
                <w:rFonts w:hint="eastAsia" w:cs="宋体"/>
                <w:sz w:val="21"/>
                <w:szCs w:val="21"/>
              </w:rPr>
            </w:pPr>
            <w:r>
              <w:rPr>
                <w:rFonts w:hint="eastAsia" w:cs="宋体"/>
                <w:sz w:val="21"/>
                <w:szCs w:val="21"/>
              </w:rPr>
              <w:t>工艺流程和产排污环节</w:t>
            </w:r>
          </w:p>
        </w:tc>
        <w:tc>
          <w:tcPr>
            <w:tcW w:w="8112" w:type="dxa"/>
            <w:noWrap w:val="0"/>
            <w:vAlign w:val="top"/>
          </w:tcPr>
          <w:p w14:paraId="6F1B937B">
            <w:pPr>
              <w:pStyle w:val="28"/>
              <w:spacing w:line="520" w:lineRule="exact"/>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1、施工期</w:t>
            </w:r>
          </w:p>
          <w:p w14:paraId="52916BCC">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本项目施工期，其工艺流程及产污节点见图3</w:t>
            </w:r>
          </w:p>
          <w:p w14:paraId="24727ED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lang w:val="en-US" w:eastAsia="zh-CN"/>
              </w:rPr>
            </w:pPr>
            <w:r>
              <w:drawing>
                <wp:inline distT="0" distB="0" distL="114300" distR="114300">
                  <wp:extent cx="3756025" cy="1369695"/>
                  <wp:effectExtent l="0" t="0" r="15875" b="1905"/>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4"/>
                          <a:stretch>
                            <a:fillRect/>
                          </a:stretch>
                        </pic:blipFill>
                        <pic:spPr>
                          <a:xfrm>
                            <a:off x="0" y="0"/>
                            <a:ext cx="3756025" cy="1369695"/>
                          </a:xfrm>
                          <a:prstGeom prst="rect">
                            <a:avLst/>
                          </a:prstGeom>
                          <a:noFill/>
                          <a:ln>
                            <a:noFill/>
                          </a:ln>
                        </pic:spPr>
                      </pic:pic>
                    </a:graphicData>
                  </a:graphic>
                </wp:inline>
              </w:drawing>
            </w:r>
          </w:p>
          <w:p w14:paraId="14980D1F">
            <w:pPr>
              <w:pStyle w:val="4"/>
              <w:rPr>
                <w:rFonts w:hint="default"/>
                <w:lang w:val="en-US" w:eastAsia="zh-CN"/>
              </w:rPr>
            </w:pPr>
            <w:r>
              <w:rPr>
                <w:rFonts w:hint="eastAsia" w:ascii="Times New Roman" w:hAnsi="Times New Roman" w:eastAsia="宋体" w:cs="Times New Roman"/>
                <w:b/>
                <w:bCs/>
                <w:kern w:val="2"/>
                <w:sz w:val="21"/>
                <w:szCs w:val="21"/>
                <w:lang w:val="en-US" w:eastAsia="zh-CN" w:bidi="ar-SA"/>
              </w:rPr>
              <w:t>图3  施工流程及产污节点图</w:t>
            </w:r>
          </w:p>
        </w:tc>
      </w:tr>
      <w:tr w14:paraId="62BEDB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8" w:type="dxa"/>
            <w:noWrap w:val="0"/>
            <w:vAlign w:val="center"/>
          </w:tcPr>
          <w:p w14:paraId="2E379CFA">
            <w:pPr>
              <w:pStyle w:val="14"/>
              <w:adjustRightInd w:val="0"/>
              <w:snapToGrid w:val="0"/>
              <w:spacing w:before="0" w:beforeAutospacing="0" w:after="0" w:afterAutospacing="0"/>
              <w:jc w:val="center"/>
              <w:rPr>
                <w:rFonts w:hint="eastAsia" w:cs="宋体"/>
                <w:sz w:val="21"/>
                <w:szCs w:val="21"/>
              </w:rPr>
            </w:pPr>
            <w:r>
              <w:rPr>
                <w:rFonts w:hint="eastAsia" w:cs="宋体"/>
                <w:sz w:val="21"/>
                <w:szCs w:val="21"/>
              </w:rPr>
              <w:t>工艺流程和产排污环节</w:t>
            </w:r>
          </w:p>
        </w:tc>
        <w:tc>
          <w:tcPr>
            <w:tcW w:w="8112" w:type="dxa"/>
            <w:noWrap w:val="0"/>
            <w:vAlign w:val="top"/>
          </w:tcPr>
          <w:p w14:paraId="5CE578A3">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2、营运期</w:t>
            </w:r>
          </w:p>
          <w:p w14:paraId="5DBAD9A7">
            <w:pPr>
              <w:spacing w:line="520" w:lineRule="exact"/>
              <w:ind w:firstLine="482" w:firstLineChars="200"/>
              <w:rPr>
                <w:rFonts w:hint="eastAsia" w:ascii="Times New Roman" w:hAnsi="Times New Roman" w:eastAsia="宋体" w:cs="Times New Roman"/>
                <w:b/>
                <w:bCs/>
                <w:color w:val="000000"/>
                <w:u w:val="single"/>
                <w:lang w:val="zh-CN" w:eastAsia="zh-CN"/>
              </w:rPr>
            </w:pPr>
            <w:r>
              <w:rPr>
                <w:rFonts w:hint="eastAsia" w:cs="Times New Roman"/>
                <w:b/>
                <w:bCs/>
                <w:color w:val="000000"/>
                <w:u w:val="single"/>
                <w:lang w:val="en-US" w:eastAsia="zh-CN"/>
              </w:rPr>
              <w:t>本项目的</w:t>
            </w:r>
            <w:r>
              <w:rPr>
                <w:rFonts w:hint="eastAsia" w:ascii="Times New Roman" w:hAnsi="Times New Roman" w:eastAsia="宋体" w:cs="Times New Roman"/>
                <w:b/>
                <w:bCs/>
                <w:color w:val="000000"/>
                <w:u w:val="single"/>
                <w:lang w:val="zh-CN" w:eastAsia="zh-CN"/>
              </w:rPr>
              <w:t>废旧轮胎由汽修厂、4S店等采购，要求轮胎未经燃烧、无油污、无泥土、表面干净等。本项目废旧轮胎进厂后不需要用水进行清洗，暂存</w:t>
            </w:r>
            <w:r>
              <w:rPr>
                <w:rFonts w:hint="eastAsia" w:cs="Times New Roman"/>
                <w:b/>
                <w:bCs/>
                <w:color w:val="000000"/>
                <w:u w:val="single"/>
                <w:lang w:val="en-US" w:eastAsia="zh-CN"/>
              </w:rPr>
              <w:t>原料库房</w:t>
            </w:r>
            <w:r>
              <w:rPr>
                <w:rFonts w:hint="eastAsia" w:ascii="Times New Roman" w:hAnsi="Times New Roman" w:eastAsia="宋体" w:cs="Times New Roman"/>
                <w:b/>
                <w:bCs/>
                <w:color w:val="000000"/>
                <w:u w:val="single"/>
                <w:lang w:val="zh-CN" w:eastAsia="zh-CN"/>
              </w:rPr>
              <w:t>。</w:t>
            </w:r>
          </w:p>
          <w:p w14:paraId="520E69B5">
            <w:pPr>
              <w:spacing w:line="520" w:lineRule="exact"/>
              <w:ind w:firstLine="482"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b/>
                <w:bCs/>
                <w:color w:val="000000"/>
                <w:u w:val="single"/>
                <w:lang w:val="zh-CN" w:eastAsia="zh-CN"/>
              </w:rPr>
              <w:t>本项目采用常温-低温联合破碎工艺，在常温段生产</w:t>
            </w:r>
            <w:r>
              <w:rPr>
                <w:rFonts w:hint="eastAsia" w:ascii="Times New Roman" w:hAnsi="Times New Roman" w:eastAsia="宋体" w:cs="Times New Roman"/>
                <w:b/>
                <w:bCs/>
                <w:color w:val="000000"/>
                <w:u w:val="single"/>
                <w:lang w:val="en-US" w:eastAsia="zh-CN"/>
              </w:rPr>
              <w:t>80-100</w:t>
            </w:r>
            <w:r>
              <w:rPr>
                <w:rFonts w:hint="eastAsia" w:ascii="Times New Roman" w:hAnsi="Times New Roman" w:eastAsia="宋体" w:cs="Times New Roman"/>
                <w:b/>
                <w:bCs/>
                <w:color w:val="000000"/>
                <w:u w:val="single"/>
                <w:lang w:val="zh-CN" w:eastAsia="zh-CN"/>
              </w:rPr>
              <w:t>目胶粉，低温段生产</w:t>
            </w:r>
            <w:r>
              <w:rPr>
                <w:rFonts w:hint="eastAsia" w:cs="Times New Roman"/>
                <w:b/>
                <w:bCs/>
                <w:color w:val="000000"/>
                <w:u w:val="single"/>
                <w:lang w:val="en-US" w:eastAsia="zh-CN"/>
              </w:rPr>
              <w:t>80-</w:t>
            </w:r>
            <w:r>
              <w:rPr>
                <w:rFonts w:hint="eastAsia" w:ascii="Times New Roman" w:hAnsi="Times New Roman" w:eastAsia="宋体" w:cs="Times New Roman"/>
                <w:b/>
                <w:bCs/>
                <w:color w:val="000000"/>
                <w:u w:val="single"/>
                <w:lang w:val="en-US" w:eastAsia="zh-CN"/>
              </w:rPr>
              <w:t>120目胶粉。</w:t>
            </w:r>
            <w:r>
              <w:rPr>
                <w:rFonts w:hint="eastAsia" w:ascii="Times New Roman" w:hAnsi="Times New Roman" w:eastAsia="宋体" w:cs="Times New Roman"/>
                <w:color w:val="000000"/>
                <w:lang w:val="en-US" w:eastAsia="zh-CN"/>
              </w:rPr>
              <w:t>工艺分为常温胶粉生产和低温脆化胶粉生产。工艺流程及产污节点见图4</w:t>
            </w:r>
          </w:p>
          <w:p w14:paraId="6249BBCF">
            <w:pPr>
              <w:pStyle w:val="4"/>
              <w:rPr>
                <w:rFonts w:hint="eastAsia"/>
                <w:lang w:val="en-US" w:eastAsia="zh-CN"/>
              </w:rPr>
            </w:pPr>
            <w:r>
              <w:drawing>
                <wp:inline distT="0" distB="0" distL="114300" distR="114300">
                  <wp:extent cx="5006975" cy="2334895"/>
                  <wp:effectExtent l="0" t="0" r="6985" b="1206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15"/>
                          <a:stretch>
                            <a:fillRect/>
                          </a:stretch>
                        </pic:blipFill>
                        <pic:spPr>
                          <a:xfrm>
                            <a:off x="0" y="0"/>
                            <a:ext cx="5006975" cy="2334895"/>
                          </a:xfrm>
                          <a:prstGeom prst="rect">
                            <a:avLst/>
                          </a:prstGeom>
                          <a:noFill/>
                          <a:ln>
                            <a:noFill/>
                          </a:ln>
                        </pic:spPr>
                      </pic:pic>
                    </a:graphicData>
                  </a:graphic>
                </wp:inline>
              </w:drawing>
            </w:r>
          </w:p>
          <w:p w14:paraId="22470731">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jc w:val="center"/>
              <w:textAlignment w:val="auto"/>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图4  工艺流程图</w:t>
            </w:r>
          </w:p>
          <w:p w14:paraId="33430897">
            <w:pPr>
              <w:pStyle w:val="28"/>
              <w:spacing w:line="520" w:lineRule="exact"/>
              <w:ind w:firstLine="482" w:firstLineChars="200"/>
              <w:jc w:val="left"/>
              <w:rPr>
                <w:rFonts w:hint="eastAsia" w:ascii="Times New Roman" w:hAnsi="Times New Roman" w:eastAsia="宋体" w:cs="Times New Roman"/>
                <w:b/>
                <w:bCs/>
                <w:color w:val="000000"/>
                <w:u w:val="single"/>
                <w:lang w:val="en-US" w:eastAsia="zh-CN" w:bidi="zh-CN"/>
              </w:rPr>
            </w:pPr>
            <w:r>
              <w:rPr>
                <w:rFonts w:hint="eastAsia" w:ascii="Times New Roman" w:hAnsi="Times New Roman" w:cs="Times New Roman"/>
                <w:b/>
                <w:bCs/>
                <w:color w:val="000000"/>
                <w:highlight w:val="none"/>
                <w:u w:val="single"/>
                <w:lang w:val="en-US" w:eastAsia="zh-CN" w:bidi="zh-CN"/>
              </w:rPr>
              <w:t>2</w:t>
            </w:r>
            <w:r>
              <w:rPr>
                <w:rFonts w:hint="eastAsia" w:ascii="Times New Roman" w:hAnsi="Times New Roman" w:eastAsia="宋体" w:cs="Times New Roman"/>
                <w:b/>
                <w:bCs/>
                <w:color w:val="000000"/>
                <w:highlight w:val="none"/>
                <w:u w:val="single"/>
                <w:lang w:val="en-US" w:eastAsia="zh-CN" w:bidi="zh-CN"/>
              </w:rPr>
              <w:t>.1 常温胶</w:t>
            </w:r>
            <w:r>
              <w:rPr>
                <w:rFonts w:hint="eastAsia" w:ascii="Times New Roman" w:hAnsi="Times New Roman" w:eastAsia="宋体" w:cs="Times New Roman"/>
                <w:b/>
                <w:bCs/>
                <w:color w:val="000000"/>
                <w:u w:val="single"/>
                <w:lang w:val="en-US" w:eastAsia="zh-CN" w:bidi="zh-CN"/>
              </w:rPr>
              <w:t>粉生产</w:t>
            </w:r>
          </w:p>
          <w:p w14:paraId="5F3E51CA">
            <w:pPr>
              <w:spacing w:line="520" w:lineRule="exact"/>
              <w:ind w:firstLine="482" w:firstLineChars="200"/>
              <w:rPr>
                <w:rFonts w:hint="eastAsia" w:ascii="Times New Roman" w:hAnsi="Times New Roman" w:eastAsia="宋体" w:cs="Times New Roman"/>
                <w:b/>
                <w:bCs/>
                <w:color w:val="000000"/>
                <w:u w:val="single"/>
                <w:lang w:val="zh-CN" w:eastAsia="zh-CN"/>
              </w:rPr>
            </w:pPr>
            <w:r>
              <w:rPr>
                <w:rFonts w:hint="eastAsia" w:ascii="Times New Roman" w:hAnsi="Times New Roman" w:eastAsia="宋体" w:cs="Times New Roman"/>
                <w:b/>
                <w:bCs/>
                <w:color w:val="000000"/>
                <w:u w:val="single"/>
                <w:lang w:val="zh-CN" w:eastAsia="zh-CN"/>
              </w:rPr>
              <w:t>（1）胎圈分离：将废轮胎含有钢丝的胎圈分离切割，胎圈单独进行钢丝分离，得到钢丝和胎圈胶块</w:t>
            </w:r>
            <w:r>
              <w:rPr>
                <w:rFonts w:hint="eastAsia" w:cs="Times New Roman"/>
                <w:b/>
                <w:bCs/>
                <w:color w:val="000000"/>
                <w:u w:val="single"/>
                <w:lang w:val="zh-CN" w:eastAsia="zh-CN"/>
              </w:rPr>
              <w:t>。</w:t>
            </w:r>
            <w:r>
              <w:rPr>
                <w:rFonts w:hint="eastAsia" w:ascii="Times New Roman" w:hAnsi="Times New Roman" w:eastAsia="宋体" w:cs="Times New Roman"/>
                <w:b/>
                <w:bCs/>
                <w:color w:val="000000"/>
                <w:u w:val="single"/>
                <w:lang w:val="zh-CN" w:eastAsia="zh-CN"/>
              </w:rPr>
              <w:t>主要污染物为噪声。</w:t>
            </w:r>
          </w:p>
          <w:p w14:paraId="15FF44D4">
            <w:pPr>
              <w:spacing w:line="520" w:lineRule="exact"/>
              <w:ind w:firstLine="482" w:firstLineChars="200"/>
              <w:rPr>
                <w:rFonts w:hint="eastAsia" w:ascii="Times New Roman" w:hAnsi="Times New Roman" w:eastAsia="宋体" w:cs="Times New Roman"/>
                <w:b/>
                <w:bCs/>
                <w:color w:val="000000"/>
                <w:u w:val="single"/>
                <w:lang w:val="zh-CN" w:eastAsia="zh-CN"/>
              </w:rPr>
            </w:pPr>
            <w:r>
              <w:rPr>
                <w:rFonts w:hint="eastAsia" w:ascii="Times New Roman" w:hAnsi="Times New Roman" w:eastAsia="宋体" w:cs="Times New Roman"/>
                <w:b/>
                <w:bCs/>
                <w:color w:val="000000"/>
                <w:u w:val="single"/>
                <w:lang w:val="zh-CN" w:eastAsia="zh-CN"/>
              </w:rPr>
              <w:t>（2）</w:t>
            </w:r>
            <w:r>
              <w:rPr>
                <w:rFonts w:hint="eastAsia" w:cs="Times New Roman"/>
                <w:b/>
                <w:bCs/>
                <w:color w:val="000000"/>
                <w:u w:val="single"/>
                <w:lang w:val="en-US" w:eastAsia="zh-CN"/>
              </w:rPr>
              <w:t>破碎</w:t>
            </w:r>
            <w:r>
              <w:rPr>
                <w:rFonts w:hint="eastAsia" w:ascii="Times New Roman" w:hAnsi="Times New Roman" w:eastAsia="宋体" w:cs="Times New Roman"/>
                <w:b/>
                <w:bCs/>
                <w:color w:val="000000"/>
                <w:u w:val="single"/>
                <w:lang w:val="zh-CN" w:eastAsia="zh-CN"/>
              </w:rPr>
              <w:t>：将分离胎圈的废轮胎切割成为适合破碎的块状。主要污染物为噪声、</w:t>
            </w:r>
            <w:r>
              <w:rPr>
                <w:rFonts w:hint="eastAsia" w:cs="Times New Roman"/>
                <w:b/>
                <w:bCs/>
                <w:color w:val="000000"/>
                <w:u w:val="single"/>
                <w:lang w:val="en-US" w:eastAsia="zh-CN"/>
              </w:rPr>
              <w:t>粉尘、固废</w:t>
            </w:r>
            <w:r>
              <w:rPr>
                <w:rFonts w:hint="eastAsia" w:ascii="Times New Roman" w:hAnsi="Times New Roman" w:eastAsia="宋体" w:cs="Times New Roman"/>
                <w:b/>
                <w:bCs/>
                <w:color w:val="000000"/>
                <w:u w:val="single"/>
                <w:lang w:val="zh-CN" w:eastAsia="zh-CN"/>
              </w:rPr>
              <w:t>。</w:t>
            </w:r>
          </w:p>
          <w:p w14:paraId="36E2C6B6">
            <w:pPr>
              <w:spacing w:line="520" w:lineRule="exact"/>
              <w:ind w:firstLine="482" w:firstLineChars="200"/>
              <w:rPr>
                <w:rFonts w:hint="eastAsia" w:ascii="Times New Roman" w:hAnsi="Times New Roman" w:eastAsia="宋体" w:cs="Times New Roman"/>
                <w:b/>
                <w:bCs/>
                <w:color w:val="000000"/>
                <w:u w:val="single"/>
                <w:lang w:val="zh-CN" w:eastAsia="zh-CN"/>
              </w:rPr>
            </w:pPr>
            <w:r>
              <w:rPr>
                <w:rFonts w:hint="eastAsia" w:ascii="Times New Roman" w:hAnsi="Times New Roman" w:eastAsia="宋体" w:cs="Times New Roman"/>
                <w:b/>
                <w:bCs/>
                <w:color w:val="000000"/>
                <w:u w:val="single"/>
                <w:lang w:val="zh-CN" w:eastAsia="zh-CN"/>
              </w:rPr>
              <w:t>（3）中碎：将胶块进一步破碎成为 12 目左右的粗胶粉便于纤维和钢丝的分离。主要污染物为噪声、</w:t>
            </w:r>
            <w:r>
              <w:rPr>
                <w:rFonts w:hint="eastAsia" w:cs="Times New Roman"/>
                <w:b/>
                <w:bCs/>
                <w:color w:val="000000"/>
                <w:u w:val="single"/>
                <w:lang w:val="en-US" w:eastAsia="zh-CN"/>
              </w:rPr>
              <w:t>粉尘、固废</w:t>
            </w:r>
            <w:r>
              <w:rPr>
                <w:rFonts w:hint="eastAsia" w:ascii="Times New Roman" w:hAnsi="Times New Roman" w:eastAsia="宋体" w:cs="Times New Roman"/>
                <w:b/>
                <w:bCs/>
                <w:color w:val="000000"/>
                <w:u w:val="single"/>
                <w:lang w:val="zh-CN" w:eastAsia="zh-CN"/>
              </w:rPr>
              <w:t>。</w:t>
            </w:r>
          </w:p>
          <w:p w14:paraId="2FB3AAC0">
            <w:pPr>
              <w:spacing w:line="520" w:lineRule="exact"/>
              <w:ind w:firstLine="482" w:firstLineChars="200"/>
              <w:rPr>
                <w:rFonts w:hint="eastAsia" w:ascii="Times New Roman" w:hAnsi="Times New Roman" w:eastAsia="宋体" w:cs="Times New Roman"/>
                <w:b/>
                <w:bCs/>
                <w:color w:val="000000"/>
                <w:u w:val="single"/>
                <w:lang w:val="zh-CN" w:eastAsia="zh-CN"/>
              </w:rPr>
            </w:pPr>
            <w:r>
              <w:rPr>
                <w:rFonts w:hint="eastAsia" w:ascii="Times New Roman" w:hAnsi="Times New Roman" w:eastAsia="宋体" w:cs="Times New Roman"/>
                <w:b/>
                <w:bCs/>
                <w:color w:val="000000"/>
                <w:u w:val="single"/>
                <w:lang w:val="zh-CN" w:eastAsia="zh-CN"/>
              </w:rPr>
              <w:t>（4）磁选：中碎后的粗胶粉进入磁选机，将钢丝分离出来。主要污染物为噪声</w:t>
            </w:r>
            <w:r>
              <w:rPr>
                <w:rFonts w:hint="eastAsia" w:cs="Times New Roman"/>
                <w:b/>
                <w:bCs/>
                <w:color w:val="000000"/>
                <w:u w:val="single"/>
                <w:lang w:val="zh-CN" w:eastAsia="zh-CN"/>
              </w:rPr>
              <w:t>。</w:t>
            </w:r>
          </w:p>
          <w:p w14:paraId="65942018">
            <w:pPr>
              <w:spacing w:line="520" w:lineRule="exact"/>
              <w:ind w:firstLine="482" w:firstLineChars="200"/>
              <w:rPr>
                <w:rFonts w:hint="eastAsia" w:ascii="Times New Roman" w:hAnsi="Times New Roman" w:eastAsia="宋体" w:cs="Times New Roman"/>
                <w:b/>
                <w:bCs/>
                <w:color w:val="000000"/>
                <w:u w:val="single"/>
                <w:lang w:val="zh-CN" w:eastAsia="zh-CN"/>
              </w:rPr>
            </w:pPr>
            <w:r>
              <w:rPr>
                <w:rFonts w:hint="eastAsia" w:ascii="Times New Roman" w:hAnsi="Times New Roman" w:eastAsia="宋体" w:cs="Times New Roman"/>
                <w:b/>
                <w:bCs/>
                <w:color w:val="000000"/>
                <w:u w:val="single"/>
                <w:lang w:val="zh-CN" w:eastAsia="zh-CN"/>
              </w:rPr>
              <w:t>（5）粗筛分：将磁选后的粗胶粉进一步筛分，使其中的纤维被分离出来。主要污染物为噪声、</w:t>
            </w:r>
            <w:r>
              <w:rPr>
                <w:rFonts w:hint="eastAsia" w:cs="Times New Roman"/>
                <w:b/>
                <w:bCs/>
                <w:color w:val="000000"/>
                <w:u w:val="single"/>
                <w:lang w:val="en-US" w:eastAsia="zh-CN"/>
              </w:rPr>
              <w:t>粉尘</w:t>
            </w:r>
            <w:r>
              <w:rPr>
                <w:rFonts w:hint="eastAsia" w:ascii="Times New Roman" w:hAnsi="Times New Roman" w:eastAsia="宋体" w:cs="Times New Roman"/>
                <w:b/>
                <w:bCs/>
                <w:color w:val="000000"/>
                <w:u w:val="single"/>
                <w:lang w:val="zh-CN" w:eastAsia="zh-CN"/>
              </w:rPr>
              <w:t>。</w:t>
            </w:r>
          </w:p>
          <w:p w14:paraId="4755113D">
            <w:pPr>
              <w:spacing w:line="520" w:lineRule="exact"/>
              <w:ind w:firstLine="482" w:firstLineChars="200"/>
              <w:rPr>
                <w:rFonts w:hint="eastAsia" w:ascii="Times New Roman" w:hAnsi="Times New Roman" w:eastAsia="宋体" w:cs="Times New Roman"/>
                <w:b/>
                <w:bCs/>
                <w:color w:val="000000"/>
                <w:u w:val="single"/>
                <w:lang w:val="zh-CN" w:eastAsia="zh-CN"/>
              </w:rPr>
            </w:pPr>
            <w:r>
              <w:rPr>
                <w:rFonts w:hint="eastAsia" w:ascii="Times New Roman" w:hAnsi="Times New Roman" w:eastAsia="宋体" w:cs="Times New Roman"/>
                <w:b/>
                <w:bCs/>
                <w:color w:val="000000"/>
                <w:u w:val="single"/>
                <w:lang w:val="zh-CN" w:eastAsia="zh-CN"/>
              </w:rPr>
              <w:t xml:space="preserve">（6）细碎：分离完钢丝和纤维的粗胶粉进入到细碎机中进一步破碎成为 </w:t>
            </w:r>
            <w:r>
              <w:rPr>
                <w:rFonts w:hint="eastAsia" w:ascii="Times New Roman" w:hAnsi="Times New Roman" w:eastAsia="宋体" w:cs="Times New Roman"/>
                <w:b/>
                <w:bCs/>
                <w:color w:val="000000"/>
                <w:u w:val="single"/>
                <w:lang w:val="en-US" w:eastAsia="zh-CN"/>
              </w:rPr>
              <w:t>80</w:t>
            </w:r>
            <w:r>
              <w:rPr>
                <w:rFonts w:hint="eastAsia" w:ascii="Times New Roman" w:hAnsi="Times New Roman" w:eastAsia="宋体" w:cs="Times New Roman"/>
                <w:b/>
                <w:bCs/>
                <w:color w:val="000000"/>
                <w:u w:val="single"/>
                <w:lang w:val="zh-CN" w:eastAsia="zh-CN"/>
              </w:rPr>
              <w:t>-</w:t>
            </w:r>
            <w:r>
              <w:rPr>
                <w:rFonts w:hint="eastAsia" w:ascii="Times New Roman" w:hAnsi="Times New Roman" w:eastAsia="宋体" w:cs="Times New Roman"/>
                <w:b/>
                <w:bCs/>
                <w:color w:val="000000"/>
                <w:u w:val="single"/>
                <w:lang w:val="en-US" w:eastAsia="zh-CN"/>
              </w:rPr>
              <w:t>100</w:t>
            </w:r>
            <w:r>
              <w:rPr>
                <w:rFonts w:hint="eastAsia" w:ascii="Times New Roman" w:hAnsi="Times New Roman" w:eastAsia="宋体" w:cs="Times New Roman"/>
                <w:b/>
                <w:bCs/>
                <w:color w:val="000000"/>
                <w:u w:val="single"/>
                <w:lang w:val="zh-CN" w:eastAsia="zh-CN"/>
              </w:rPr>
              <w:t xml:space="preserve"> 目的细胶粉。主要污染物为噪声、</w:t>
            </w:r>
            <w:r>
              <w:rPr>
                <w:rFonts w:hint="eastAsia" w:cs="Times New Roman"/>
                <w:b/>
                <w:bCs/>
                <w:color w:val="000000"/>
                <w:u w:val="single"/>
                <w:lang w:val="en-US" w:eastAsia="zh-CN"/>
              </w:rPr>
              <w:t>粉尘、固废</w:t>
            </w:r>
            <w:r>
              <w:rPr>
                <w:rFonts w:hint="eastAsia" w:ascii="Times New Roman" w:hAnsi="Times New Roman" w:eastAsia="宋体" w:cs="Times New Roman"/>
                <w:b/>
                <w:bCs/>
                <w:color w:val="000000"/>
                <w:u w:val="single"/>
                <w:lang w:val="zh-CN" w:eastAsia="zh-CN"/>
              </w:rPr>
              <w:t>。</w:t>
            </w:r>
          </w:p>
          <w:p w14:paraId="23EF67D2">
            <w:pPr>
              <w:spacing w:line="520" w:lineRule="exact"/>
              <w:ind w:firstLine="482" w:firstLineChars="200"/>
              <w:rPr>
                <w:rFonts w:hint="eastAsia" w:ascii="Times New Roman" w:hAnsi="Times New Roman" w:eastAsia="宋体" w:cs="Times New Roman"/>
                <w:b/>
                <w:bCs/>
                <w:color w:val="000000"/>
                <w:u w:val="single"/>
                <w:lang w:val="zh-CN" w:eastAsia="zh-CN"/>
              </w:rPr>
            </w:pPr>
            <w:r>
              <w:rPr>
                <w:rFonts w:hint="eastAsia" w:ascii="Times New Roman" w:hAnsi="Times New Roman" w:eastAsia="宋体" w:cs="Times New Roman"/>
                <w:b/>
                <w:bCs/>
                <w:color w:val="000000"/>
                <w:u w:val="single"/>
                <w:lang w:val="zh-CN" w:eastAsia="zh-CN"/>
              </w:rPr>
              <w:t>（7）细筛分：将细碎后的胶粉进行筛分，</w:t>
            </w:r>
            <w:r>
              <w:rPr>
                <w:rFonts w:hint="eastAsia" w:ascii="Times New Roman" w:hAnsi="Times New Roman" w:eastAsia="宋体" w:cs="Times New Roman"/>
                <w:b/>
                <w:bCs/>
                <w:color w:val="000000"/>
                <w:u w:val="single"/>
                <w:lang w:val="en-US" w:eastAsia="zh-CN"/>
              </w:rPr>
              <w:t>80-100目细胶粉作为产品进行打包</w:t>
            </w:r>
            <w:r>
              <w:rPr>
                <w:rFonts w:hint="eastAsia" w:ascii="Times New Roman" w:hAnsi="Times New Roman" w:eastAsia="宋体" w:cs="Times New Roman"/>
                <w:b/>
                <w:bCs/>
                <w:color w:val="000000"/>
                <w:u w:val="single"/>
                <w:lang w:val="zh-CN" w:eastAsia="zh-CN"/>
              </w:rPr>
              <w:t>。主要污染物为噪声、</w:t>
            </w:r>
            <w:r>
              <w:rPr>
                <w:rFonts w:hint="eastAsia" w:cs="Times New Roman"/>
                <w:b/>
                <w:bCs/>
                <w:color w:val="000000"/>
                <w:u w:val="single"/>
                <w:lang w:val="en-US" w:eastAsia="zh-CN"/>
              </w:rPr>
              <w:t>粉尘、固废</w:t>
            </w:r>
            <w:r>
              <w:rPr>
                <w:rFonts w:hint="eastAsia" w:ascii="Times New Roman" w:hAnsi="Times New Roman" w:eastAsia="宋体" w:cs="Times New Roman"/>
                <w:b/>
                <w:bCs/>
                <w:color w:val="000000"/>
                <w:u w:val="single"/>
                <w:lang w:val="zh-CN" w:eastAsia="zh-CN"/>
              </w:rPr>
              <w:t>。</w:t>
            </w:r>
            <w:r>
              <w:rPr>
                <w:rFonts w:hint="eastAsia" w:ascii="Times New Roman" w:hAnsi="Times New Roman" w:eastAsia="宋体" w:cs="Times New Roman"/>
                <w:b/>
                <w:bCs/>
                <w:color w:val="000000"/>
                <w:u w:val="single"/>
                <w:lang w:val="en-US" w:eastAsia="zh-CN"/>
              </w:rPr>
              <w:t>80</w:t>
            </w:r>
            <w:r>
              <w:rPr>
                <w:rFonts w:hint="eastAsia" w:ascii="Times New Roman" w:hAnsi="Times New Roman" w:eastAsia="宋体" w:cs="Times New Roman"/>
                <w:b/>
                <w:bCs/>
                <w:color w:val="000000"/>
                <w:u w:val="single"/>
                <w:lang w:val="zh-CN" w:eastAsia="zh-CN"/>
              </w:rPr>
              <w:t xml:space="preserve"> 目以上胶粉进入到低温粉碎系统处理。</w:t>
            </w:r>
          </w:p>
          <w:p w14:paraId="3E8F68CC">
            <w:pPr>
              <w:spacing w:line="520" w:lineRule="exact"/>
              <w:ind w:firstLine="482" w:firstLineChars="200"/>
              <w:rPr>
                <w:rFonts w:hint="eastAsia" w:ascii="Times New Roman" w:hAnsi="Times New Roman" w:eastAsia="宋体" w:cs="Times New Roman"/>
                <w:b/>
                <w:bCs/>
                <w:color w:val="000000"/>
                <w:u w:val="single"/>
                <w:lang w:val="zh-CN" w:eastAsia="zh-CN"/>
              </w:rPr>
            </w:pPr>
            <w:r>
              <w:rPr>
                <w:rFonts w:hint="eastAsia" w:ascii="Times New Roman" w:hAnsi="Times New Roman" w:eastAsia="宋体" w:cs="Times New Roman"/>
                <w:b/>
                <w:bCs/>
                <w:color w:val="000000"/>
                <w:highlight w:val="none"/>
                <w:u w:val="single"/>
                <w:lang w:val="zh-CN" w:eastAsia="zh-CN"/>
              </w:rPr>
              <w:t>在</w:t>
            </w:r>
            <w:r>
              <w:rPr>
                <w:rFonts w:hint="eastAsia" w:cs="Times New Roman"/>
                <w:b/>
                <w:bCs/>
                <w:color w:val="000000"/>
                <w:highlight w:val="none"/>
                <w:u w:val="single"/>
                <w:lang w:val="en-US" w:eastAsia="zh-CN"/>
              </w:rPr>
              <w:t>研磨细碎</w:t>
            </w:r>
            <w:r>
              <w:rPr>
                <w:rFonts w:hint="eastAsia" w:ascii="Times New Roman" w:hAnsi="Times New Roman" w:eastAsia="宋体" w:cs="Times New Roman"/>
                <w:b/>
                <w:bCs/>
                <w:color w:val="000000"/>
                <w:highlight w:val="none"/>
                <w:u w:val="single"/>
                <w:lang w:val="zh-CN" w:eastAsia="zh-CN"/>
              </w:rPr>
              <w:t>过程中，</w:t>
            </w:r>
            <w:r>
              <w:rPr>
                <w:rFonts w:hint="eastAsia" w:cs="Times New Roman"/>
                <w:b/>
                <w:bCs/>
                <w:color w:val="000000"/>
                <w:highlight w:val="none"/>
                <w:u w:val="single"/>
                <w:lang w:val="en-US" w:eastAsia="zh-CN"/>
              </w:rPr>
              <w:t>由于速度较慢、强度较低</w:t>
            </w:r>
            <w:r>
              <w:rPr>
                <w:rFonts w:hint="eastAsia" w:ascii="Times New Roman" w:hAnsi="Times New Roman" w:eastAsia="宋体" w:cs="Times New Roman"/>
                <w:b/>
                <w:bCs/>
                <w:color w:val="000000"/>
                <w:highlight w:val="none"/>
                <w:u w:val="single"/>
                <w:lang w:val="zh-CN" w:eastAsia="zh-CN"/>
              </w:rPr>
              <w:t>，胎圈胶块在挤压磨擦</w:t>
            </w:r>
            <w:r>
              <w:rPr>
                <w:rFonts w:hint="eastAsia" w:cs="Times New Roman"/>
                <w:b/>
                <w:bCs/>
                <w:color w:val="000000"/>
                <w:highlight w:val="none"/>
                <w:u w:val="single"/>
                <w:lang w:val="en-US" w:eastAsia="zh-CN"/>
              </w:rPr>
              <w:t>产生的</w:t>
            </w:r>
            <w:r>
              <w:rPr>
                <w:rFonts w:hint="eastAsia" w:ascii="Times New Roman" w:hAnsi="Times New Roman" w:eastAsia="宋体" w:cs="Times New Roman"/>
                <w:b/>
                <w:bCs/>
                <w:color w:val="000000"/>
                <w:highlight w:val="none"/>
                <w:u w:val="single"/>
                <w:lang w:val="zh-CN" w:eastAsia="zh-CN"/>
              </w:rPr>
              <w:t>热，</w:t>
            </w:r>
            <w:r>
              <w:rPr>
                <w:rFonts w:hint="eastAsia" w:cs="Times New Roman"/>
                <w:b/>
                <w:bCs/>
                <w:color w:val="000000"/>
                <w:highlight w:val="none"/>
                <w:u w:val="single"/>
                <w:lang w:val="en-US" w:eastAsia="zh-CN"/>
              </w:rPr>
              <w:t>并不能使</w:t>
            </w:r>
            <w:r>
              <w:rPr>
                <w:rFonts w:hint="eastAsia" w:ascii="Times New Roman" w:hAnsi="Times New Roman" w:eastAsia="宋体" w:cs="Times New Roman"/>
                <w:b/>
                <w:bCs/>
                <w:color w:val="000000"/>
                <w:highlight w:val="none"/>
                <w:u w:val="single"/>
                <w:lang w:val="zh-CN" w:eastAsia="zh-CN"/>
              </w:rPr>
              <w:t>胶</w:t>
            </w:r>
            <w:r>
              <w:rPr>
                <w:rFonts w:hint="eastAsia" w:cs="Times New Roman"/>
                <w:b/>
                <w:bCs/>
                <w:color w:val="000000"/>
                <w:highlight w:val="none"/>
                <w:u w:val="single"/>
                <w:lang w:val="en-US" w:eastAsia="zh-CN"/>
              </w:rPr>
              <w:t>圈</w:t>
            </w:r>
            <w:r>
              <w:rPr>
                <w:rFonts w:hint="eastAsia" w:ascii="Times New Roman" w:hAnsi="Times New Roman" w:eastAsia="宋体" w:cs="Times New Roman"/>
                <w:b/>
                <w:bCs/>
                <w:color w:val="000000"/>
                <w:highlight w:val="none"/>
                <w:u w:val="single"/>
                <w:lang w:val="zh-CN" w:eastAsia="zh-CN"/>
              </w:rPr>
              <w:t>达到 200℃</w:t>
            </w:r>
            <w:r>
              <w:rPr>
                <w:rFonts w:hint="eastAsia" w:cs="Times New Roman"/>
                <w:b/>
                <w:bCs/>
                <w:color w:val="000000"/>
                <w:highlight w:val="none"/>
                <w:u w:val="single"/>
                <w:lang w:val="en-US" w:eastAsia="zh-CN"/>
              </w:rPr>
              <w:t>的</w:t>
            </w:r>
            <w:r>
              <w:rPr>
                <w:rFonts w:hint="eastAsia" w:ascii="Times New Roman" w:hAnsi="Times New Roman" w:eastAsia="宋体" w:cs="Times New Roman"/>
                <w:b/>
                <w:bCs/>
                <w:color w:val="000000"/>
                <w:highlight w:val="none"/>
                <w:u w:val="single"/>
                <w:lang w:val="zh-CN" w:eastAsia="zh-CN"/>
              </w:rPr>
              <w:t>分解温度，</w:t>
            </w:r>
            <w:r>
              <w:rPr>
                <w:rFonts w:hint="eastAsia" w:cs="Times New Roman"/>
                <w:b/>
                <w:bCs/>
                <w:color w:val="000000"/>
                <w:highlight w:val="none"/>
                <w:u w:val="single"/>
                <w:lang w:val="en-US" w:eastAsia="zh-CN"/>
              </w:rPr>
              <w:t>因</w:t>
            </w:r>
            <w:r>
              <w:rPr>
                <w:rFonts w:hint="eastAsia" w:cs="Times New Roman"/>
                <w:b/>
                <w:bCs/>
                <w:color w:val="000000"/>
                <w:u w:val="single"/>
                <w:lang w:val="en-US" w:eastAsia="zh-CN"/>
              </w:rPr>
              <w:t>此</w:t>
            </w:r>
            <w:r>
              <w:rPr>
                <w:rFonts w:hint="eastAsia" w:ascii="Times New Roman" w:hAnsi="Times New Roman" w:eastAsia="宋体" w:cs="Times New Roman"/>
                <w:b/>
                <w:bCs/>
                <w:color w:val="000000"/>
                <w:u w:val="single"/>
                <w:lang w:val="zh-CN" w:eastAsia="zh-CN"/>
              </w:rPr>
              <w:t>生产过程橡胶只发生物理变化，不产生化学反应。由于此过程工作时产生热量，使设备温度升高，需要对其进行冷却，采用循环冷却水进行间接冷却，设备设有循环水池，定期补充，无生产废水排放。主要污染物为噪声、颗粒物以及少量异味。</w:t>
            </w:r>
          </w:p>
          <w:p w14:paraId="7C4C87AA">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cs="Times New Roman"/>
                <w:b/>
                <w:bCs/>
                <w:color w:val="000000"/>
                <w:highlight w:val="none"/>
                <w:lang w:val="en-US" w:eastAsia="zh-CN" w:bidi="zh-CN"/>
              </w:rPr>
              <w:t>2</w:t>
            </w:r>
            <w:r>
              <w:rPr>
                <w:rFonts w:hint="eastAsia" w:ascii="Times New Roman" w:hAnsi="Times New Roman" w:eastAsia="宋体" w:cs="Times New Roman"/>
                <w:b/>
                <w:bCs/>
                <w:color w:val="000000"/>
                <w:highlight w:val="none"/>
                <w:lang w:val="en-US" w:eastAsia="zh-CN" w:bidi="zh-CN"/>
              </w:rPr>
              <w:t>.2低温胶</w:t>
            </w:r>
            <w:r>
              <w:rPr>
                <w:rFonts w:hint="eastAsia" w:ascii="Times New Roman" w:hAnsi="Times New Roman" w:eastAsia="宋体" w:cs="Times New Roman"/>
                <w:b/>
                <w:bCs/>
                <w:color w:val="000000"/>
                <w:lang w:val="en-US" w:eastAsia="zh-CN" w:bidi="zh-CN"/>
              </w:rPr>
              <w:t>粉生产</w:t>
            </w:r>
          </w:p>
          <w:p w14:paraId="4C53DD1E">
            <w:pPr>
              <w:numPr>
                <w:ilvl w:val="0"/>
                <w:numId w:val="4"/>
              </w:numPr>
              <w:spacing w:line="520" w:lineRule="exact"/>
              <w:ind w:firstLine="480" w:firstLineChars="200"/>
              <w:rPr>
                <w:rFonts w:hint="eastAsia" w:cs="Times New Roman"/>
                <w:color w:val="000000"/>
                <w:lang w:val="zh-CN" w:eastAsia="zh-CN"/>
              </w:rPr>
            </w:pPr>
            <w:r>
              <w:rPr>
                <w:rFonts w:hint="eastAsia" w:ascii="Times New Roman" w:hAnsi="Times New Roman" w:eastAsia="宋体" w:cs="Times New Roman"/>
                <w:color w:val="000000"/>
                <w:lang w:val="zh-CN" w:eastAsia="zh-CN"/>
              </w:rPr>
              <w:t xml:space="preserve">胶粉冷冻：将 </w:t>
            </w:r>
            <w:r>
              <w:rPr>
                <w:rFonts w:hint="eastAsia" w:cs="Times New Roman"/>
                <w:color w:val="000000"/>
                <w:lang w:val="en-US" w:eastAsia="zh-CN"/>
              </w:rPr>
              <w:t>80</w:t>
            </w:r>
            <w:r>
              <w:rPr>
                <w:rFonts w:hint="eastAsia" w:ascii="Times New Roman" w:hAnsi="Times New Roman" w:eastAsia="宋体" w:cs="Times New Roman"/>
                <w:color w:val="000000"/>
                <w:lang w:val="zh-CN" w:eastAsia="zh-CN"/>
              </w:rPr>
              <w:t xml:space="preserve"> 目以上胶粉加入冷冻仓与液氮混合，使胶粉温度下降到-160℃，胶粉脆化</w:t>
            </w:r>
            <w:r>
              <w:rPr>
                <w:rFonts w:hint="eastAsia" w:cs="Times New Roman"/>
                <w:color w:val="000000"/>
                <w:lang w:val="zh-CN" w:eastAsia="zh-CN"/>
              </w:rPr>
              <w:t>。</w:t>
            </w:r>
          </w:p>
          <w:p w14:paraId="1F06FCCB">
            <w:pPr>
              <w:numPr>
                <w:ilvl w:val="0"/>
                <w:numId w:val="0"/>
              </w:numPr>
              <w:spacing w:line="520" w:lineRule="exact"/>
              <w:rPr>
                <w:rFonts w:hint="eastAsia" w:ascii="Times New Roman" w:hAnsi="Times New Roman" w:eastAsia="宋体" w:cs="Times New Roman"/>
                <w:color w:val="000000"/>
                <w:lang w:val="zh-CN" w:eastAsia="zh-CN"/>
              </w:rPr>
            </w:pPr>
            <w:r>
              <w:rPr>
                <w:rFonts w:hint="eastAsia" w:cs="Times New Roman"/>
                <w:color w:val="000000"/>
                <w:lang w:val="en-US" w:eastAsia="zh-CN"/>
              </w:rPr>
              <w:t xml:space="preserve">    </w:t>
            </w:r>
            <w:r>
              <w:rPr>
                <w:rFonts w:hint="eastAsia" w:ascii="Times New Roman" w:hAnsi="Times New Roman" w:eastAsia="宋体" w:cs="Times New Roman"/>
                <w:color w:val="000000"/>
                <w:lang w:val="zh-CN" w:eastAsia="zh-CN"/>
              </w:rPr>
              <w:t>（2）胶粉破碎：将低温胶粉破碎至 80 目以下</w:t>
            </w:r>
            <w:r>
              <w:rPr>
                <w:rFonts w:hint="eastAsia" w:cs="Times New Roman"/>
                <w:color w:val="000000"/>
                <w:lang w:val="zh-CN" w:eastAsia="zh-CN"/>
              </w:rPr>
              <w:t>。</w:t>
            </w:r>
          </w:p>
          <w:p w14:paraId="0DE0987B">
            <w:pPr>
              <w:spacing w:line="520" w:lineRule="exact"/>
              <w:ind w:firstLine="480" w:firstLineChars="200"/>
              <w:rPr>
                <w:rFonts w:hint="eastAsia"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（3）分级：利用气体分级机将胶粉进行两次分级，将胶粉分成</w:t>
            </w:r>
            <w:r>
              <w:rPr>
                <w:rFonts w:hint="eastAsia" w:ascii="Times New Roman" w:hAnsi="Times New Roman" w:eastAsia="宋体" w:cs="Times New Roman"/>
                <w:color w:val="000000"/>
                <w:lang w:val="en-US" w:eastAsia="zh-CN"/>
              </w:rPr>
              <w:t>8</w:t>
            </w:r>
            <w:r>
              <w:rPr>
                <w:rFonts w:hint="eastAsia" w:ascii="Times New Roman" w:hAnsi="Times New Roman" w:eastAsia="宋体" w:cs="Times New Roman"/>
                <w:color w:val="000000"/>
                <w:lang w:val="zh-CN" w:eastAsia="zh-CN"/>
              </w:rPr>
              <w:t>0-1</w:t>
            </w:r>
            <w:r>
              <w:rPr>
                <w:rFonts w:hint="eastAsia" w:ascii="Times New Roman" w:hAnsi="Times New Roman" w:eastAsia="宋体" w:cs="Times New Roman"/>
                <w:color w:val="000000"/>
                <w:lang w:val="en-US" w:eastAsia="zh-CN"/>
              </w:rPr>
              <w:t>0</w:t>
            </w:r>
            <w:r>
              <w:rPr>
                <w:rFonts w:hint="eastAsia" w:ascii="Times New Roman" w:hAnsi="Times New Roman" w:eastAsia="宋体" w:cs="Times New Roman"/>
                <w:color w:val="000000"/>
                <w:lang w:val="zh-CN" w:eastAsia="zh-CN"/>
              </w:rPr>
              <w:t>0 目、</w:t>
            </w:r>
            <w:r>
              <w:rPr>
                <w:rFonts w:hint="eastAsia" w:ascii="Times New Roman" w:hAnsi="Times New Roman" w:eastAsia="宋体" w:cs="Times New Roman"/>
                <w:color w:val="000000"/>
                <w:lang w:val="en-US" w:eastAsia="zh-CN"/>
              </w:rPr>
              <w:t>10</w:t>
            </w:r>
            <w:r>
              <w:rPr>
                <w:rFonts w:hint="eastAsia" w:ascii="Times New Roman" w:hAnsi="Times New Roman" w:eastAsia="宋体" w:cs="Times New Roman"/>
                <w:color w:val="000000"/>
                <w:lang w:val="zh-CN" w:eastAsia="zh-CN"/>
              </w:rPr>
              <w:t>0</w:t>
            </w:r>
            <w:r>
              <w:rPr>
                <w:rFonts w:hint="eastAsia" w:ascii="Times New Roman" w:hAnsi="Times New Roman" w:eastAsia="宋体" w:cs="Times New Roman"/>
                <w:color w:val="000000"/>
                <w:lang w:val="en-US" w:eastAsia="zh-CN"/>
              </w:rPr>
              <w:t>-120</w:t>
            </w:r>
            <w:r>
              <w:rPr>
                <w:rFonts w:hint="eastAsia" w:ascii="Times New Roman" w:hAnsi="Times New Roman" w:eastAsia="宋体" w:cs="Times New Roman"/>
                <w:color w:val="000000"/>
                <w:lang w:val="zh-CN" w:eastAsia="zh-CN"/>
              </w:rPr>
              <w:t>目</w:t>
            </w:r>
            <w:r>
              <w:rPr>
                <w:rFonts w:hint="eastAsia" w:ascii="Times New Roman" w:hAnsi="Times New Roman" w:eastAsia="宋体" w:cs="Times New Roman"/>
                <w:color w:val="000000"/>
                <w:lang w:val="en-US" w:eastAsia="zh-CN"/>
              </w:rPr>
              <w:t>两</w:t>
            </w:r>
            <w:r>
              <w:rPr>
                <w:rFonts w:hint="eastAsia" w:ascii="Times New Roman" w:hAnsi="Times New Roman" w:eastAsia="宋体" w:cs="Times New Roman"/>
                <w:color w:val="000000"/>
                <w:lang w:val="zh-CN" w:eastAsia="zh-CN"/>
              </w:rPr>
              <w:t>个粒度等级产品。</w:t>
            </w:r>
          </w:p>
          <w:p w14:paraId="0D6877EE">
            <w:pPr>
              <w:spacing w:line="520" w:lineRule="exact"/>
              <w:ind w:firstLine="482" w:firstLineChars="200"/>
              <w:rPr>
                <w:rFonts w:hint="default"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zh-CN" w:eastAsia="zh-CN"/>
              </w:rPr>
              <w:t>低温胶粉生产</w:t>
            </w:r>
            <w:r>
              <w:rPr>
                <w:rFonts w:hint="eastAsia" w:cs="Times New Roman"/>
                <w:b/>
                <w:bCs/>
                <w:color w:val="000000"/>
                <w:u w:val="single"/>
                <w:lang w:val="en-US" w:eastAsia="zh-CN"/>
              </w:rPr>
              <w:t>过程中的污染主要为噪声。</w:t>
            </w:r>
          </w:p>
          <w:p w14:paraId="14F82D11">
            <w:pPr>
              <w:pStyle w:val="28"/>
              <w:spacing w:line="520" w:lineRule="exact"/>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3、产排污环节</w:t>
            </w:r>
          </w:p>
          <w:p w14:paraId="53994414">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项目运营期排污环节见表</w:t>
            </w:r>
            <w:r>
              <w:rPr>
                <w:rFonts w:hint="eastAsia" w:ascii="Times New Roman" w:hAnsi="Times New Roman" w:eastAsia="宋体" w:cs="Times New Roman"/>
                <w:color w:val="000000"/>
                <w:lang w:val="en-US" w:eastAsia="zh-CN"/>
              </w:rPr>
              <w:t>2-5</w:t>
            </w:r>
            <w:r>
              <w:rPr>
                <w:rFonts w:hint="default" w:ascii="Times New Roman" w:hAnsi="Times New Roman" w:eastAsia="宋体" w:cs="Times New Roman"/>
                <w:color w:val="000000"/>
                <w:lang w:val="en-US" w:eastAsia="zh-CN"/>
              </w:rPr>
              <w:t>。</w:t>
            </w:r>
          </w:p>
          <w:p w14:paraId="0632FBA0">
            <w:pPr>
              <w:pStyle w:val="4"/>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eastAsia" w:ascii="Times New Roman" w:hAnsi="Times New Roman" w:eastAsia="宋体" w:cs="Times New Roman"/>
                <w:b/>
                <w:bCs/>
                <w:kern w:val="2"/>
                <w:sz w:val="21"/>
                <w:szCs w:val="21"/>
                <w:lang w:val="en-US" w:eastAsia="zh-CN" w:bidi="ar-SA"/>
              </w:rPr>
              <w:t>2-5</w:t>
            </w:r>
            <w:r>
              <w:rPr>
                <w:rFonts w:hint="default" w:ascii="Times New Roman" w:hAnsi="Times New Roman" w:eastAsia="宋体" w:cs="Times New Roman"/>
                <w:b/>
                <w:bCs/>
                <w:kern w:val="2"/>
                <w:sz w:val="21"/>
                <w:szCs w:val="21"/>
                <w:lang w:val="en-US" w:eastAsia="zh-CN" w:bidi="ar-SA"/>
              </w:rPr>
              <w:t xml:space="preserve"> 项目运营期排污节点一览表</w:t>
            </w:r>
          </w:p>
          <w:tbl>
            <w:tblPr>
              <w:tblStyle w:val="17"/>
              <w:tblW w:w="7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15"/>
              <w:gridCol w:w="1818"/>
              <w:gridCol w:w="1350"/>
              <w:gridCol w:w="3189"/>
            </w:tblGrid>
            <w:tr w14:paraId="03BFE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7B5B73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类别</w:t>
                  </w:r>
                </w:p>
              </w:tc>
              <w:tc>
                <w:tcPr>
                  <w:tcW w:w="815" w:type="dxa"/>
                  <w:vAlign w:val="center"/>
                </w:tcPr>
                <w:p w14:paraId="36A566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序号</w:t>
                  </w:r>
                </w:p>
              </w:tc>
              <w:tc>
                <w:tcPr>
                  <w:tcW w:w="1818" w:type="dxa"/>
                  <w:vAlign w:val="center"/>
                </w:tcPr>
                <w:p w14:paraId="769433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产生工序</w:t>
                  </w:r>
                </w:p>
              </w:tc>
              <w:tc>
                <w:tcPr>
                  <w:tcW w:w="1350" w:type="dxa"/>
                  <w:vAlign w:val="center"/>
                </w:tcPr>
                <w:p w14:paraId="5BE2C5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主要污染物</w:t>
                  </w:r>
                </w:p>
              </w:tc>
              <w:tc>
                <w:tcPr>
                  <w:tcW w:w="3189" w:type="dxa"/>
                  <w:vAlign w:val="center"/>
                </w:tcPr>
                <w:p w14:paraId="7D4B19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拟采取措施</w:t>
                  </w:r>
                </w:p>
              </w:tc>
            </w:tr>
            <w:tr w14:paraId="34FB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restart"/>
                  <w:vAlign w:val="center"/>
                </w:tcPr>
                <w:p w14:paraId="1CFE35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废气</w:t>
                  </w:r>
                </w:p>
              </w:tc>
              <w:tc>
                <w:tcPr>
                  <w:tcW w:w="815" w:type="dxa"/>
                  <w:vAlign w:val="center"/>
                </w:tcPr>
                <w:p w14:paraId="0F4154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G1</w:t>
                  </w:r>
                </w:p>
              </w:tc>
              <w:tc>
                <w:tcPr>
                  <w:tcW w:w="1818" w:type="dxa"/>
                  <w:vAlign w:val="center"/>
                </w:tcPr>
                <w:p w14:paraId="234BE2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破碎</w:t>
                  </w:r>
                </w:p>
              </w:tc>
              <w:tc>
                <w:tcPr>
                  <w:tcW w:w="1350" w:type="dxa"/>
                  <w:vAlign w:val="center"/>
                </w:tcPr>
                <w:p w14:paraId="742A6A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颗粒物</w:t>
                  </w:r>
                </w:p>
              </w:tc>
              <w:tc>
                <w:tcPr>
                  <w:tcW w:w="3189" w:type="dxa"/>
                  <w:vMerge w:val="restart"/>
                  <w:vAlign w:val="center"/>
                </w:tcPr>
                <w:p w14:paraId="3F0DA0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布袋除尘器+二级活性炭吸附+15m高排气筒</w:t>
                  </w:r>
                </w:p>
              </w:tc>
            </w:tr>
            <w:tr w14:paraId="10C9D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5E38C3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815" w:type="dxa"/>
                  <w:vAlign w:val="center"/>
                </w:tcPr>
                <w:p w14:paraId="2A6311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G2</w:t>
                  </w:r>
                </w:p>
              </w:tc>
              <w:tc>
                <w:tcPr>
                  <w:tcW w:w="1818" w:type="dxa"/>
                  <w:vMerge w:val="restart"/>
                  <w:vAlign w:val="center"/>
                </w:tcPr>
                <w:p w14:paraId="49B55C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中碎</w:t>
                  </w:r>
                </w:p>
              </w:tc>
              <w:tc>
                <w:tcPr>
                  <w:tcW w:w="1350" w:type="dxa"/>
                  <w:vAlign w:val="center"/>
                </w:tcPr>
                <w:p w14:paraId="2F5833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颗粒物</w:t>
                  </w:r>
                </w:p>
              </w:tc>
              <w:tc>
                <w:tcPr>
                  <w:tcW w:w="3189" w:type="dxa"/>
                  <w:vMerge w:val="continue"/>
                  <w:vAlign w:val="center"/>
                </w:tcPr>
                <w:p w14:paraId="1D4A2E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14:paraId="593B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32D0268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815" w:type="dxa"/>
                  <w:vAlign w:val="center"/>
                </w:tcPr>
                <w:p w14:paraId="32EDFA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G3</w:t>
                  </w:r>
                </w:p>
              </w:tc>
              <w:tc>
                <w:tcPr>
                  <w:tcW w:w="1818" w:type="dxa"/>
                  <w:vMerge w:val="continue"/>
                  <w:vAlign w:val="center"/>
                </w:tcPr>
                <w:p w14:paraId="7F9C0A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350" w:type="dxa"/>
                  <w:vAlign w:val="center"/>
                </w:tcPr>
                <w:p w14:paraId="638852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臭气</w:t>
                  </w:r>
                </w:p>
              </w:tc>
              <w:tc>
                <w:tcPr>
                  <w:tcW w:w="3189" w:type="dxa"/>
                  <w:vMerge w:val="continue"/>
                  <w:vAlign w:val="center"/>
                </w:tcPr>
                <w:p w14:paraId="4EB1AB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14:paraId="4555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2E65BD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815" w:type="dxa"/>
                  <w:vAlign w:val="center"/>
                </w:tcPr>
                <w:p w14:paraId="59BE1A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G4</w:t>
                  </w:r>
                </w:p>
              </w:tc>
              <w:tc>
                <w:tcPr>
                  <w:tcW w:w="1818" w:type="dxa"/>
                  <w:vAlign w:val="center"/>
                </w:tcPr>
                <w:p w14:paraId="507652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粗筛分</w:t>
                  </w:r>
                </w:p>
              </w:tc>
              <w:tc>
                <w:tcPr>
                  <w:tcW w:w="1350" w:type="dxa"/>
                  <w:vAlign w:val="center"/>
                </w:tcPr>
                <w:p w14:paraId="348967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颗粒物</w:t>
                  </w:r>
                </w:p>
              </w:tc>
              <w:tc>
                <w:tcPr>
                  <w:tcW w:w="3189" w:type="dxa"/>
                  <w:vMerge w:val="continue"/>
                  <w:vAlign w:val="center"/>
                </w:tcPr>
                <w:p w14:paraId="1E633C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14:paraId="46D92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3389C0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815" w:type="dxa"/>
                  <w:vAlign w:val="center"/>
                </w:tcPr>
                <w:p w14:paraId="2D8092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G5</w:t>
                  </w:r>
                </w:p>
              </w:tc>
              <w:tc>
                <w:tcPr>
                  <w:tcW w:w="1818" w:type="dxa"/>
                  <w:vMerge w:val="restart"/>
                  <w:vAlign w:val="center"/>
                </w:tcPr>
                <w:p w14:paraId="5043799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细碎</w:t>
                  </w:r>
                </w:p>
              </w:tc>
              <w:tc>
                <w:tcPr>
                  <w:tcW w:w="1350" w:type="dxa"/>
                  <w:vAlign w:val="center"/>
                </w:tcPr>
                <w:p w14:paraId="0E20CE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颗粒物</w:t>
                  </w:r>
                </w:p>
              </w:tc>
              <w:tc>
                <w:tcPr>
                  <w:tcW w:w="3189" w:type="dxa"/>
                  <w:vMerge w:val="continue"/>
                  <w:vAlign w:val="center"/>
                </w:tcPr>
                <w:p w14:paraId="081910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14:paraId="76331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645983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815" w:type="dxa"/>
                  <w:vAlign w:val="center"/>
                </w:tcPr>
                <w:p w14:paraId="0E2A8C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G6</w:t>
                  </w:r>
                </w:p>
              </w:tc>
              <w:tc>
                <w:tcPr>
                  <w:tcW w:w="1818" w:type="dxa"/>
                  <w:vMerge w:val="continue"/>
                  <w:vAlign w:val="center"/>
                </w:tcPr>
                <w:p w14:paraId="644505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350" w:type="dxa"/>
                  <w:vAlign w:val="center"/>
                </w:tcPr>
                <w:p w14:paraId="3697EE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臭气</w:t>
                  </w:r>
                </w:p>
              </w:tc>
              <w:tc>
                <w:tcPr>
                  <w:tcW w:w="3189" w:type="dxa"/>
                  <w:vMerge w:val="continue"/>
                  <w:vAlign w:val="center"/>
                </w:tcPr>
                <w:p w14:paraId="31B0F4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14:paraId="700B3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0E3CC8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815" w:type="dxa"/>
                  <w:vAlign w:val="center"/>
                </w:tcPr>
                <w:p w14:paraId="723B36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G7</w:t>
                  </w:r>
                </w:p>
              </w:tc>
              <w:tc>
                <w:tcPr>
                  <w:tcW w:w="1818" w:type="dxa"/>
                  <w:vAlign w:val="center"/>
                </w:tcPr>
                <w:p w14:paraId="4A4172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细筛分</w:t>
                  </w:r>
                </w:p>
              </w:tc>
              <w:tc>
                <w:tcPr>
                  <w:tcW w:w="1350" w:type="dxa"/>
                  <w:vAlign w:val="center"/>
                </w:tcPr>
                <w:p w14:paraId="3449B4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颗粒物</w:t>
                  </w:r>
                </w:p>
              </w:tc>
              <w:tc>
                <w:tcPr>
                  <w:tcW w:w="3189" w:type="dxa"/>
                  <w:vMerge w:val="continue"/>
                  <w:vAlign w:val="center"/>
                </w:tcPr>
                <w:p w14:paraId="44BC73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14:paraId="1339D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2DA156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815" w:type="dxa"/>
                  <w:vAlign w:val="center"/>
                </w:tcPr>
                <w:p w14:paraId="49376F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G8</w:t>
                  </w:r>
                </w:p>
              </w:tc>
              <w:tc>
                <w:tcPr>
                  <w:tcW w:w="1818" w:type="dxa"/>
                  <w:vAlign w:val="center"/>
                </w:tcPr>
                <w:p w14:paraId="5E38E7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食堂油烟</w:t>
                  </w:r>
                </w:p>
              </w:tc>
              <w:tc>
                <w:tcPr>
                  <w:tcW w:w="1350" w:type="dxa"/>
                  <w:vAlign w:val="center"/>
                </w:tcPr>
                <w:p w14:paraId="1A79C1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油烟</w:t>
                  </w:r>
                </w:p>
              </w:tc>
              <w:tc>
                <w:tcPr>
                  <w:tcW w:w="3189" w:type="dxa"/>
                  <w:vAlign w:val="center"/>
                </w:tcPr>
                <w:p w14:paraId="7EC898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安装高效油烟净化器装置处理后屋顶高空排放</w:t>
                  </w:r>
                </w:p>
              </w:tc>
            </w:tr>
            <w:tr w14:paraId="0C2E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restart"/>
                  <w:vAlign w:val="center"/>
                </w:tcPr>
                <w:p w14:paraId="743D03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废水</w:t>
                  </w:r>
                </w:p>
              </w:tc>
              <w:tc>
                <w:tcPr>
                  <w:tcW w:w="815" w:type="dxa"/>
                  <w:vAlign w:val="center"/>
                </w:tcPr>
                <w:p w14:paraId="46DED4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818" w:type="dxa"/>
                  <w:vAlign w:val="center"/>
                </w:tcPr>
                <w:p w14:paraId="5DBEAA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生活污水</w:t>
                  </w:r>
                </w:p>
              </w:tc>
              <w:tc>
                <w:tcPr>
                  <w:tcW w:w="1350" w:type="dxa"/>
                  <w:vAlign w:val="center"/>
                </w:tcPr>
                <w:p w14:paraId="7FE798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COD、BOD5、</w:t>
                  </w:r>
                </w:p>
                <w:p w14:paraId="53592B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NH3-N、SS</w:t>
                  </w:r>
                </w:p>
              </w:tc>
              <w:tc>
                <w:tcPr>
                  <w:tcW w:w="3189" w:type="dxa"/>
                  <w:vAlign w:val="center"/>
                </w:tcPr>
                <w:p w14:paraId="52EEA1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项目生活污水经隔油池+化粪池处理，废水排入</w:t>
                  </w:r>
                  <w:r>
                    <w:rPr>
                      <w:rFonts w:hint="eastAsia" w:cs="Times New Roman"/>
                      <w:color w:val="000000"/>
                      <w:kern w:val="2"/>
                      <w:sz w:val="21"/>
                      <w:szCs w:val="21"/>
                      <w:highlight w:val="none"/>
                      <w:lang w:val="en-US" w:eastAsia="zh-CN" w:bidi="ar-SA"/>
                    </w:rPr>
                    <w:t>南乐县城污水处理厂</w:t>
                  </w:r>
                </w:p>
              </w:tc>
            </w:tr>
            <w:tr w14:paraId="3934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40B993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815" w:type="dxa"/>
                  <w:vAlign w:val="center"/>
                </w:tcPr>
                <w:p w14:paraId="0FF69D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818" w:type="dxa"/>
                  <w:vAlign w:val="center"/>
                </w:tcPr>
                <w:p w14:paraId="4B96F7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冷却循环水</w:t>
                  </w:r>
                </w:p>
              </w:tc>
              <w:tc>
                <w:tcPr>
                  <w:tcW w:w="1350" w:type="dxa"/>
                  <w:vAlign w:val="center"/>
                </w:tcPr>
                <w:p w14:paraId="77E161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w:t>
                  </w:r>
                </w:p>
              </w:tc>
              <w:tc>
                <w:tcPr>
                  <w:tcW w:w="3189" w:type="dxa"/>
                  <w:vAlign w:val="center"/>
                </w:tcPr>
                <w:p w14:paraId="19C6DD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 xml:space="preserve"> 循环使用，不外排</w:t>
                  </w:r>
                </w:p>
              </w:tc>
            </w:tr>
            <w:tr w14:paraId="5046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Align w:val="center"/>
                </w:tcPr>
                <w:p w14:paraId="1F1AC0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噪声</w:t>
                  </w:r>
                </w:p>
              </w:tc>
              <w:tc>
                <w:tcPr>
                  <w:tcW w:w="815" w:type="dxa"/>
                  <w:vAlign w:val="center"/>
                </w:tcPr>
                <w:p w14:paraId="571381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N</w:t>
                  </w:r>
                </w:p>
              </w:tc>
              <w:tc>
                <w:tcPr>
                  <w:tcW w:w="1818" w:type="dxa"/>
                  <w:vAlign w:val="center"/>
                </w:tcPr>
                <w:p w14:paraId="513F31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各类机械设备</w:t>
                  </w:r>
                </w:p>
              </w:tc>
              <w:tc>
                <w:tcPr>
                  <w:tcW w:w="1350" w:type="dxa"/>
                  <w:vAlign w:val="center"/>
                </w:tcPr>
                <w:p w14:paraId="33B18F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噪声</w:t>
                  </w:r>
                </w:p>
              </w:tc>
              <w:tc>
                <w:tcPr>
                  <w:tcW w:w="3189" w:type="dxa"/>
                  <w:vAlign w:val="center"/>
                </w:tcPr>
                <w:p w14:paraId="45B0F1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基础减震、 厂房隔声、 绿化降噪</w:t>
                  </w:r>
                </w:p>
              </w:tc>
            </w:tr>
            <w:tr w14:paraId="17494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restart"/>
                  <w:vAlign w:val="center"/>
                </w:tcPr>
                <w:p w14:paraId="748233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固废</w:t>
                  </w:r>
                </w:p>
              </w:tc>
              <w:tc>
                <w:tcPr>
                  <w:tcW w:w="815" w:type="dxa"/>
                  <w:vAlign w:val="center"/>
                </w:tcPr>
                <w:p w14:paraId="54FD29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S</w:t>
                  </w:r>
                </w:p>
              </w:tc>
              <w:tc>
                <w:tcPr>
                  <w:tcW w:w="1818" w:type="dxa"/>
                  <w:vAlign w:val="center"/>
                </w:tcPr>
                <w:p w14:paraId="143F20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布袋除尘器收集的粉尘</w:t>
                  </w:r>
                </w:p>
              </w:tc>
              <w:tc>
                <w:tcPr>
                  <w:tcW w:w="1350" w:type="dxa"/>
                  <w:vAlign w:val="center"/>
                </w:tcPr>
                <w:p w14:paraId="0638C9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颗粒物</w:t>
                  </w:r>
                </w:p>
              </w:tc>
              <w:tc>
                <w:tcPr>
                  <w:tcW w:w="3189" w:type="dxa"/>
                  <w:vAlign w:val="center"/>
                </w:tcPr>
                <w:p w14:paraId="3C7C46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回用于生产</w:t>
                  </w:r>
                </w:p>
              </w:tc>
            </w:tr>
            <w:tr w14:paraId="628EE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3365A9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815" w:type="dxa"/>
                  <w:vAlign w:val="center"/>
                </w:tcPr>
                <w:p w14:paraId="3F2C11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818" w:type="dxa"/>
                  <w:vAlign w:val="center"/>
                </w:tcPr>
                <w:p w14:paraId="098969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废活性炭</w:t>
                  </w:r>
                </w:p>
              </w:tc>
              <w:tc>
                <w:tcPr>
                  <w:tcW w:w="1350" w:type="dxa"/>
                  <w:vAlign w:val="center"/>
                </w:tcPr>
                <w:p w14:paraId="6EE30A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废活性炭</w:t>
                  </w:r>
                </w:p>
              </w:tc>
              <w:tc>
                <w:tcPr>
                  <w:tcW w:w="3189" w:type="dxa"/>
                  <w:vAlign w:val="center"/>
                </w:tcPr>
                <w:p w14:paraId="091588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废活性炭交由有资质单位处理</w:t>
                  </w:r>
                </w:p>
              </w:tc>
            </w:tr>
            <w:tr w14:paraId="2D381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4" w:type="dxa"/>
                  <w:vMerge w:val="continue"/>
                  <w:vAlign w:val="center"/>
                </w:tcPr>
                <w:p w14:paraId="4ABD0A3B">
                  <w:pPr>
                    <w:jc w:val="center"/>
                    <w:rPr>
                      <w:rFonts w:hint="eastAsia" w:asciiTheme="minorEastAsia" w:hAnsiTheme="minorEastAsia" w:eastAsiaTheme="minorEastAsia" w:cstheme="minorEastAsia"/>
                      <w:b w:val="0"/>
                      <w:bCs w:val="0"/>
                      <w:sz w:val="24"/>
                      <w:szCs w:val="24"/>
                      <w:vertAlign w:val="baseline"/>
                      <w:lang w:val="en-US" w:eastAsia="zh-CN"/>
                    </w:rPr>
                  </w:pPr>
                </w:p>
              </w:tc>
              <w:tc>
                <w:tcPr>
                  <w:tcW w:w="815" w:type="dxa"/>
                  <w:vAlign w:val="center"/>
                </w:tcPr>
                <w:p w14:paraId="5DB217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818" w:type="dxa"/>
                  <w:vAlign w:val="center"/>
                </w:tcPr>
                <w:p w14:paraId="2735CE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生活垃圾</w:t>
                  </w:r>
                </w:p>
              </w:tc>
              <w:tc>
                <w:tcPr>
                  <w:tcW w:w="1350" w:type="dxa"/>
                  <w:vAlign w:val="center"/>
                </w:tcPr>
                <w:p w14:paraId="4D62D9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生活垃圾</w:t>
                  </w:r>
                </w:p>
              </w:tc>
              <w:tc>
                <w:tcPr>
                  <w:tcW w:w="3189" w:type="dxa"/>
                  <w:vAlign w:val="center"/>
                </w:tcPr>
                <w:p w14:paraId="1C8D3E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交由环卫部门统一处理</w:t>
                  </w:r>
                </w:p>
              </w:tc>
            </w:tr>
          </w:tbl>
          <w:p w14:paraId="5D05B35E">
            <w:pPr>
              <w:rPr>
                <w:rFonts w:hint="default"/>
                <w:lang w:val="en-US" w:eastAsia="zh-CN"/>
              </w:rPr>
            </w:pPr>
          </w:p>
        </w:tc>
      </w:tr>
      <w:tr w14:paraId="52EE3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96" w:hRule="atLeast"/>
          <w:jc w:val="center"/>
        </w:trPr>
        <w:tc>
          <w:tcPr>
            <w:tcW w:w="948" w:type="dxa"/>
            <w:noWrap w:val="0"/>
            <w:vAlign w:val="center"/>
          </w:tcPr>
          <w:p w14:paraId="644BFC86">
            <w:pPr>
              <w:pStyle w:val="14"/>
              <w:adjustRightInd w:val="0"/>
              <w:snapToGrid w:val="0"/>
              <w:spacing w:before="0" w:beforeAutospacing="0" w:after="0" w:afterAutospacing="0"/>
              <w:jc w:val="center"/>
              <w:rPr>
                <w:rFonts w:cs="宋体"/>
                <w:sz w:val="21"/>
                <w:szCs w:val="21"/>
              </w:rPr>
            </w:pPr>
            <w:r>
              <w:rPr>
                <w:rFonts w:hint="eastAsia" w:cs="宋体"/>
                <w:bCs/>
                <w:kern w:val="2"/>
                <w:sz w:val="21"/>
                <w:szCs w:val="21"/>
                <w:highlight w:val="none"/>
              </w:rPr>
              <w:t>与项目有关的原有环境污染问题</w:t>
            </w:r>
          </w:p>
        </w:tc>
        <w:tc>
          <w:tcPr>
            <w:tcW w:w="8112" w:type="dxa"/>
            <w:noWrap w:val="0"/>
            <w:vAlign w:val="top"/>
          </w:tcPr>
          <w:p w14:paraId="211D8A71">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lang w:val="en-US" w:eastAsia="zh-CN"/>
              </w:rPr>
            </w:pPr>
            <w:r>
              <w:rPr>
                <w:rFonts w:hint="eastAsia" w:ascii="Times New Roman" w:hAnsi="Times New Roman" w:eastAsia="宋体" w:cs="Times New Roman"/>
                <w:color w:val="000000"/>
                <w:lang w:val="en-US" w:eastAsia="zh-CN"/>
              </w:rPr>
              <w:t>本项目为新建项目，经过现场勘察，现场为未开发的空地，不存在与本项目有关的原有污染情况及主要环境问题。</w:t>
            </w:r>
            <w:r>
              <w:rPr>
                <w:rFonts w:hint="eastAsia"/>
                <w:lang w:val="en-US" w:eastAsia="zh-CN"/>
              </w:rPr>
              <w:t xml:space="preserve"> </w:t>
            </w:r>
          </w:p>
          <w:p w14:paraId="37C0779F">
            <w:pPr>
              <w:keepNext w:val="0"/>
              <w:keepLines w:val="0"/>
              <w:pageBreakBefore w:val="0"/>
              <w:widowControl w:val="0"/>
              <w:kinsoku/>
              <w:wordWrap/>
              <w:overflowPunct/>
              <w:topLinePunct w:val="0"/>
              <w:autoSpaceDE/>
              <w:autoSpaceDN/>
              <w:bidi w:val="0"/>
              <w:adjustRightInd/>
              <w:snapToGrid/>
              <w:spacing w:line="480" w:lineRule="exact"/>
              <w:textAlignment w:val="auto"/>
              <w:rPr>
                <w:rFonts w:hint="default"/>
                <w:lang w:val="en-US" w:eastAsia="zh-CN"/>
              </w:rPr>
            </w:pPr>
          </w:p>
        </w:tc>
      </w:tr>
    </w:tbl>
    <w:p w14:paraId="6D0F41E6">
      <w:pPr>
        <w:rPr>
          <w:lang w:val="en-US" w:eastAsia="zh-CN"/>
        </w:rPr>
      </w:pPr>
      <w:r>
        <w:rPr>
          <w:lang w:val="en-US" w:eastAsia="zh-CN"/>
        </w:rPr>
        <w:br w:type="page"/>
      </w:r>
    </w:p>
    <w:p w14:paraId="043DAF55">
      <w:pPr>
        <w:pStyle w:val="4"/>
        <w:bidi w:val="0"/>
        <w:rPr>
          <w:rFonts w:hint="eastAsia" w:ascii="黑体" w:hAnsi="黑体" w:eastAsia="黑体" w:cs="黑体"/>
          <w:b/>
          <w:bCs/>
          <w:sz w:val="32"/>
          <w:szCs w:val="32"/>
        </w:rPr>
      </w:pPr>
      <w:r>
        <w:rPr>
          <w:rFonts w:hint="eastAsia" w:ascii="黑体" w:hAnsi="黑体" w:eastAsia="黑体" w:cs="黑体"/>
          <w:b/>
          <w:bCs/>
          <w:sz w:val="32"/>
          <w:szCs w:val="32"/>
        </w:rPr>
        <w:t>三、区域环境质量现状、环境保护目标及评价标准</w:t>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2"/>
        <w:gridCol w:w="8070"/>
      </w:tblGrid>
      <w:tr w14:paraId="5006E9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800" w:type="dxa"/>
            <w:noWrap w:val="0"/>
            <w:vAlign w:val="center"/>
          </w:tcPr>
          <w:p w14:paraId="27761BE5">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区域</w:t>
            </w:r>
          </w:p>
          <w:p w14:paraId="6C2CB999">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w:t>
            </w:r>
          </w:p>
          <w:p w14:paraId="43921E0B">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质量</w:t>
            </w:r>
          </w:p>
          <w:p w14:paraId="035ACC93">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现状</w:t>
            </w:r>
          </w:p>
        </w:tc>
        <w:tc>
          <w:tcPr>
            <w:tcW w:w="8190" w:type="dxa"/>
            <w:noWrap w:val="0"/>
            <w:vAlign w:val="center"/>
          </w:tcPr>
          <w:p w14:paraId="1813BE46">
            <w:pPr>
              <w:pStyle w:val="28"/>
              <w:spacing w:line="520" w:lineRule="exact"/>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1、环境空气质量现状</w:t>
            </w:r>
          </w:p>
          <w:p w14:paraId="0720FC88">
            <w:pPr>
              <w:pStyle w:val="28"/>
              <w:spacing w:line="520" w:lineRule="exact"/>
              <w:ind w:firstLine="482" w:firstLineChars="200"/>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1.1</w:t>
            </w:r>
            <w:r>
              <w:rPr>
                <w:rFonts w:hint="default" w:ascii="Times New Roman" w:hAnsi="Times New Roman" w:eastAsia="宋体" w:cs="Times New Roman"/>
                <w:b/>
                <w:bCs/>
                <w:color w:val="000000"/>
                <w:lang w:val="en-US" w:eastAsia="zh-CN" w:bidi="zh-CN"/>
              </w:rPr>
              <w:t>环境质量达标区判定</w:t>
            </w:r>
          </w:p>
          <w:p w14:paraId="203D329D">
            <w:pPr>
              <w:spacing w:line="520" w:lineRule="exact"/>
              <w:ind w:firstLine="480" w:firstLineChars="200"/>
              <w:rPr>
                <w:rFonts w:hint="default" w:ascii="Times New Roman" w:hAnsi="Times New Roman" w:eastAsia="宋体" w:cs="Times New Roman"/>
                <w:color w:val="000000"/>
                <w:lang w:val="zh-CN" w:eastAsia="zh-CN"/>
              </w:rPr>
            </w:pPr>
            <w:r>
              <w:rPr>
                <w:rFonts w:hint="default" w:ascii="Times New Roman" w:hAnsi="Times New Roman" w:eastAsia="宋体" w:cs="Times New Roman"/>
                <w:color w:val="000000"/>
                <w:lang w:val="zh-CN" w:eastAsia="zh-CN"/>
              </w:rPr>
              <w:t>本项目所在地区域为环境空气质量二类功能区，执行《环境空气质量标准》（GB3095-2012）二级标</w:t>
            </w:r>
            <w:r>
              <w:rPr>
                <w:rFonts w:hint="eastAsia" w:ascii="Times New Roman" w:hAnsi="Times New Roman" w:eastAsia="宋体" w:cs="Times New Roman"/>
                <w:color w:val="000000"/>
                <w:lang w:val="en-US" w:eastAsia="zh-CN"/>
              </w:rPr>
              <w:t xml:space="preserve"> </w:t>
            </w:r>
            <w:r>
              <w:rPr>
                <w:rFonts w:hint="default" w:ascii="Times New Roman" w:hAnsi="Times New Roman" w:eastAsia="宋体" w:cs="Times New Roman"/>
                <w:color w:val="000000"/>
                <w:lang w:val="zh-CN" w:eastAsia="zh-CN"/>
              </w:rPr>
              <w:t>准及其修改单。根据濮阳市生态环境局公布《202</w:t>
            </w:r>
            <w:r>
              <w:rPr>
                <w:rFonts w:hint="eastAsia" w:ascii="Times New Roman" w:hAnsi="Times New Roman" w:eastAsia="宋体" w:cs="Times New Roman"/>
                <w:color w:val="000000"/>
                <w:lang w:val="en-US" w:eastAsia="zh-CN"/>
              </w:rPr>
              <w:t>3</w:t>
            </w:r>
            <w:r>
              <w:rPr>
                <w:rFonts w:hint="default" w:ascii="Times New Roman" w:hAnsi="Times New Roman" w:eastAsia="宋体" w:cs="Times New Roman"/>
                <w:color w:val="000000"/>
                <w:lang w:val="zh-CN" w:eastAsia="zh-CN"/>
              </w:rPr>
              <w:t>年濮阳市环境质量月报（</w:t>
            </w:r>
            <w:r>
              <w:rPr>
                <w:rFonts w:hint="default" w:ascii="Times New Roman" w:hAnsi="Times New Roman" w:eastAsia="宋体" w:cs="Times New Roman"/>
                <w:color w:val="000000"/>
                <w:lang w:val="en-US" w:eastAsia="zh-CN"/>
              </w:rPr>
              <w:t>12期</w:t>
            </w:r>
            <w:r>
              <w:rPr>
                <w:rFonts w:hint="eastAsia" w:ascii="Times New Roman" w:hAnsi="Times New Roman" w:eastAsia="宋体" w:cs="Times New Roman"/>
                <w:color w:val="000000"/>
                <w:lang w:val="zh-CN" w:eastAsia="zh-CN"/>
              </w:rPr>
              <w:t>）</w:t>
            </w:r>
            <w:r>
              <w:rPr>
                <w:rFonts w:hint="default" w:ascii="Times New Roman" w:hAnsi="Times New Roman" w:eastAsia="宋体" w:cs="Times New Roman"/>
                <w:color w:val="000000"/>
                <w:lang w:val="zh-CN" w:eastAsia="zh-CN"/>
              </w:rPr>
              <w:t>》，濮阳市202</w:t>
            </w:r>
            <w:r>
              <w:rPr>
                <w:rFonts w:hint="eastAsia" w:ascii="Times New Roman" w:hAnsi="Times New Roman" w:eastAsia="宋体" w:cs="Times New Roman"/>
                <w:color w:val="000000"/>
                <w:lang w:val="en-US" w:eastAsia="zh-CN"/>
              </w:rPr>
              <w:t>3</w:t>
            </w:r>
            <w:r>
              <w:rPr>
                <w:rFonts w:hint="default" w:ascii="Times New Roman" w:hAnsi="Times New Roman" w:eastAsia="宋体" w:cs="Times New Roman"/>
                <w:color w:val="000000"/>
                <w:lang w:val="zh-CN" w:eastAsia="zh-CN"/>
              </w:rPr>
              <w:t>年空气质量现状情况见下表</w:t>
            </w:r>
            <w:r>
              <w:rPr>
                <w:rFonts w:hint="eastAsia" w:ascii="Times New Roman" w:hAnsi="Times New Roman" w:eastAsia="宋体" w:cs="Times New Roman"/>
                <w:color w:val="000000"/>
                <w:lang w:val="en-US" w:eastAsia="zh-CN"/>
              </w:rPr>
              <w:t>3-1</w:t>
            </w:r>
            <w:r>
              <w:rPr>
                <w:rFonts w:hint="default" w:ascii="Times New Roman" w:hAnsi="Times New Roman" w:eastAsia="宋体" w:cs="Times New Roman"/>
                <w:color w:val="000000"/>
                <w:lang w:val="zh-CN" w:eastAsia="zh-CN"/>
              </w:rPr>
              <w:t>。</w:t>
            </w:r>
          </w:p>
          <w:p w14:paraId="59548DDE">
            <w:pPr>
              <w:bidi w:val="0"/>
              <w:jc w:val="center"/>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eastAsia" w:ascii="Times New Roman" w:hAnsi="Times New Roman" w:eastAsia="宋体" w:cs="Times New Roman"/>
                <w:b/>
                <w:bCs/>
                <w:kern w:val="2"/>
                <w:sz w:val="21"/>
                <w:szCs w:val="21"/>
                <w:lang w:val="en-US" w:eastAsia="zh-CN" w:bidi="ar-SA"/>
              </w:rPr>
              <w:t>3-1</w:t>
            </w:r>
            <w:r>
              <w:rPr>
                <w:rFonts w:hint="default" w:ascii="Times New Roman" w:hAnsi="Times New Roman" w:eastAsia="宋体" w:cs="Times New Roman"/>
                <w:b/>
                <w:bCs/>
                <w:kern w:val="2"/>
                <w:sz w:val="21"/>
                <w:szCs w:val="21"/>
                <w:lang w:val="en-US" w:eastAsia="zh-CN" w:bidi="ar-SA"/>
              </w:rPr>
              <w:t xml:space="preserve">  空气质量现状评价表</w:t>
            </w:r>
          </w:p>
          <w:tbl>
            <w:tblPr>
              <w:tblStyle w:val="16"/>
              <w:tblW w:w="503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79"/>
              <w:gridCol w:w="812"/>
              <w:gridCol w:w="1985"/>
              <w:gridCol w:w="1466"/>
              <w:gridCol w:w="948"/>
              <w:gridCol w:w="907"/>
              <w:gridCol w:w="894"/>
            </w:tblGrid>
            <w:tr w14:paraId="27720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7" w:type="pct"/>
                  <w:noWrap w:val="0"/>
                  <w:vAlign w:val="center"/>
                </w:tcPr>
                <w:p w14:paraId="37A2FF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检测判定区域</w:t>
                  </w:r>
                </w:p>
              </w:tc>
              <w:tc>
                <w:tcPr>
                  <w:tcW w:w="514" w:type="pct"/>
                  <w:noWrap w:val="0"/>
                  <w:vAlign w:val="center"/>
                </w:tcPr>
                <w:p w14:paraId="1F257D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污染物</w:t>
                  </w:r>
                </w:p>
              </w:tc>
              <w:tc>
                <w:tcPr>
                  <w:tcW w:w="1257" w:type="pct"/>
                  <w:noWrap w:val="0"/>
                  <w:vAlign w:val="center"/>
                </w:tcPr>
                <w:p w14:paraId="623B53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年评价指标</w:t>
                  </w:r>
                </w:p>
              </w:tc>
              <w:tc>
                <w:tcPr>
                  <w:tcW w:w="928" w:type="pct"/>
                  <w:noWrap w:val="0"/>
                  <w:vAlign w:val="center"/>
                </w:tcPr>
                <w:p w14:paraId="4B08BC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现状浓度（μg/m³</w:t>
                  </w:r>
                  <w:r>
                    <w:rPr>
                      <w:rFonts w:hint="eastAsia" w:ascii="Times New Roman" w:hAnsi="Times New Roman" w:eastAsia="宋体" w:cs="Times New Roman"/>
                      <w:color w:val="000000"/>
                      <w:kern w:val="2"/>
                      <w:sz w:val="21"/>
                      <w:szCs w:val="21"/>
                      <w:lang w:val="en-US" w:eastAsia="zh-CN" w:bidi="ar-SA"/>
                    </w:rPr>
                    <w:t>）</w:t>
                  </w:r>
                </w:p>
              </w:tc>
              <w:tc>
                <w:tcPr>
                  <w:tcW w:w="600" w:type="pct"/>
                  <w:noWrap w:val="0"/>
                  <w:vAlign w:val="center"/>
                </w:tcPr>
                <w:p w14:paraId="28654B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标准值（μg/m³</w:t>
                  </w:r>
                  <w:r>
                    <w:rPr>
                      <w:rFonts w:hint="eastAsia" w:ascii="Times New Roman" w:hAnsi="Times New Roman" w:eastAsia="宋体" w:cs="Times New Roman"/>
                      <w:color w:val="000000"/>
                      <w:kern w:val="2"/>
                      <w:sz w:val="21"/>
                      <w:szCs w:val="21"/>
                      <w:lang w:val="en-US" w:eastAsia="zh-CN" w:bidi="ar-SA"/>
                    </w:rPr>
                    <w:t>）</w:t>
                  </w:r>
                </w:p>
              </w:tc>
              <w:tc>
                <w:tcPr>
                  <w:tcW w:w="574" w:type="pct"/>
                  <w:noWrap w:val="0"/>
                  <w:vAlign w:val="center"/>
                </w:tcPr>
                <w:p w14:paraId="32373D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占标率%</w:t>
                  </w:r>
                </w:p>
              </w:tc>
              <w:tc>
                <w:tcPr>
                  <w:tcW w:w="566" w:type="pct"/>
                  <w:noWrap w:val="0"/>
                  <w:vAlign w:val="center"/>
                </w:tcPr>
                <w:p w14:paraId="050B1B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达标情况</w:t>
                  </w:r>
                </w:p>
              </w:tc>
            </w:tr>
            <w:tr w14:paraId="2CD3E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7" w:type="pct"/>
                  <w:vMerge w:val="restart"/>
                  <w:noWrap w:val="0"/>
                  <w:vAlign w:val="center"/>
                </w:tcPr>
                <w:p w14:paraId="76DB48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濮阳市</w:t>
                  </w:r>
                </w:p>
              </w:tc>
              <w:tc>
                <w:tcPr>
                  <w:tcW w:w="514" w:type="pct"/>
                  <w:noWrap w:val="0"/>
                  <w:vAlign w:val="center"/>
                </w:tcPr>
                <w:p w14:paraId="3D80D9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PM2.5</w:t>
                  </w:r>
                </w:p>
              </w:tc>
              <w:tc>
                <w:tcPr>
                  <w:tcW w:w="1257" w:type="pct"/>
                  <w:noWrap w:val="0"/>
                  <w:vAlign w:val="center"/>
                </w:tcPr>
                <w:p w14:paraId="6752A0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年平均质量浓度</w:t>
                  </w:r>
                </w:p>
              </w:tc>
              <w:tc>
                <w:tcPr>
                  <w:tcW w:w="928" w:type="pct"/>
                  <w:noWrap w:val="0"/>
                  <w:vAlign w:val="center"/>
                </w:tcPr>
                <w:p w14:paraId="672BC7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50</w:t>
                  </w:r>
                </w:p>
              </w:tc>
              <w:tc>
                <w:tcPr>
                  <w:tcW w:w="600" w:type="pct"/>
                  <w:noWrap w:val="0"/>
                  <w:vAlign w:val="center"/>
                </w:tcPr>
                <w:p w14:paraId="7176F5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35</w:t>
                  </w:r>
                </w:p>
              </w:tc>
              <w:tc>
                <w:tcPr>
                  <w:tcW w:w="574" w:type="pct"/>
                  <w:noWrap w:val="0"/>
                  <w:vAlign w:val="center"/>
                </w:tcPr>
                <w:p w14:paraId="29F39B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14</w:t>
                  </w:r>
                  <w:r>
                    <w:rPr>
                      <w:rFonts w:hint="eastAsia" w:ascii="Times New Roman" w:hAnsi="Times New Roman" w:eastAsia="宋体" w:cs="Times New Roman"/>
                      <w:color w:val="000000"/>
                      <w:kern w:val="2"/>
                      <w:sz w:val="21"/>
                      <w:szCs w:val="21"/>
                      <w:lang w:val="en-US" w:eastAsia="zh-CN" w:bidi="ar-SA"/>
                    </w:rPr>
                    <w:t>2.9</w:t>
                  </w:r>
                </w:p>
              </w:tc>
              <w:tc>
                <w:tcPr>
                  <w:tcW w:w="566" w:type="pct"/>
                  <w:noWrap w:val="0"/>
                  <w:vAlign w:val="center"/>
                </w:tcPr>
                <w:p w14:paraId="46F042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不达标</w:t>
                  </w:r>
                </w:p>
              </w:tc>
            </w:tr>
            <w:tr w14:paraId="47F4C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7" w:type="pct"/>
                  <w:vMerge w:val="continue"/>
                  <w:noWrap w:val="0"/>
                  <w:vAlign w:val="center"/>
                </w:tcPr>
                <w:p w14:paraId="4165AA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514" w:type="pct"/>
                  <w:noWrap w:val="0"/>
                  <w:vAlign w:val="center"/>
                </w:tcPr>
                <w:p w14:paraId="3F639D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PM10</w:t>
                  </w:r>
                </w:p>
              </w:tc>
              <w:tc>
                <w:tcPr>
                  <w:tcW w:w="1257" w:type="pct"/>
                  <w:noWrap w:val="0"/>
                  <w:vAlign w:val="center"/>
                </w:tcPr>
                <w:p w14:paraId="3F44E1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年平均质量浓度</w:t>
                  </w:r>
                </w:p>
              </w:tc>
              <w:tc>
                <w:tcPr>
                  <w:tcW w:w="928" w:type="pct"/>
                  <w:noWrap w:val="0"/>
                  <w:vAlign w:val="center"/>
                </w:tcPr>
                <w:p w14:paraId="24DF64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74</w:t>
                  </w:r>
                </w:p>
              </w:tc>
              <w:tc>
                <w:tcPr>
                  <w:tcW w:w="600" w:type="pct"/>
                  <w:noWrap w:val="0"/>
                  <w:vAlign w:val="center"/>
                </w:tcPr>
                <w:p w14:paraId="250B0D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70</w:t>
                  </w:r>
                </w:p>
              </w:tc>
              <w:tc>
                <w:tcPr>
                  <w:tcW w:w="574" w:type="pct"/>
                  <w:noWrap w:val="0"/>
                  <w:vAlign w:val="center"/>
                </w:tcPr>
                <w:p w14:paraId="1DF8D8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105.7</w:t>
                  </w:r>
                </w:p>
              </w:tc>
              <w:tc>
                <w:tcPr>
                  <w:tcW w:w="566" w:type="pct"/>
                  <w:noWrap w:val="0"/>
                  <w:vAlign w:val="center"/>
                </w:tcPr>
                <w:p w14:paraId="55A64F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不达标</w:t>
                  </w:r>
                </w:p>
              </w:tc>
            </w:tr>
            <w:tr w14:paraId="2E29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7" w:type="pct"/>
                  <w:vMerge w:val="continue"/>
                  <w:noWrap w:val="0"/>
                  <w:vAlign w:val="center"/>
                </w:tcPr>
                <w:p w14:paraId="5F4D48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514" w:type="pct"/>
                  <w:noWrap w:val="0"/>
                  <w:vAlign w:val="center"/>
                </w:tcPr>
                <w:p w14:paraId="1AB1AD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SO2</w:t>
                  </w:r>
                </w:p>
              </w:tc>
              <w:tc>
                <w:tcPr>
                  <w:tcW w:w="1257" w:type="pct"/>
                  <w:noWrap w:val="0"/>
                  <w:vAlign w:val="center"/>
                </w:tcPr>
                <w:p w14:paraId="342A8A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年平均质量浓度</w:t>
                  </w:r>
                </w:p>
              </w:tc>
              <w:tc>
                <w:tcPr>
                  <w:tcW w:w="928" w:type="pct"/>
                  <w:noWrap w:val="0"/>
                  <w:vAlign w:val="center"/>
                </w:tcPr>
                <w:p w14:paraId="24243F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8</w:t>
                  </w:r>
                </w:p>
              </w:tc>
              <w:tc>
                <w:tcPr>
                  <w:tcW w:w="600" w:type="pct"/>
                  <w:noWrap w:val="0"/>
                  <w:vAlign w:val="center"/>
                </w:tcPr>
                <w:p w14:paraId="7FEB63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60</w:t>
                  </w:r>
                </w:p>
              </w:tc>
              <w:tc>
                <w:tcPr>
                  <w:tcW w:w="574" w:type="pct"/>
                  <w:noWrap w:val="0"/>
                  <w:vAlign w:val="center"/>
                </w:tcPr>
                <w:p w14:paraId="73EED2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13.3</w:t>
                  </w:r>
                </w:p>
              </w:tc>
              <w:tc>
                <w:tcPr>
                  <w:tcW w:w="566" w:type="pct"/>
                  <w:noWrap w:val="0"/>
                  <w:vAlign w:val="center"/>
                </w:tcPr>
                <w:p w14:paraId="2F45FC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12B61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7" w:type="pct"/>
                  <w:vMerge w:val="continue"/>
                  <w:noWrap w:val="0"/>
                  <w:vAlign w:val="center"/>
                </w:tcPr>
                <w:p w14:paraId="41BA77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514" w:type="pct"/>
                  <w:noWrap w:val="0"/>
                  <w:vAlign w:val="center"/>
                </w:tcPr>
                <w:p w14:paraId="5A08B4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NO2</w:t>
                  </w:r>
                </w:p>
              </w:tc>
              <w:tc>
                <w:tcPr>
                  <w:tcW w:w="1257" w:type="pct"/>
                  <w:noWrap w:val="0"/>
                  <w:vAlign w:val="center"/>
                </w:tcPr>
                <w:p w14:paraId="36EB47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年平均质量浓度</w:t>
                  </w:r>
                </w:p>
              </w:tc>
              <w:tc>
                <w:tcPr>
                  <w:tcW w:w="928" w:type="pct"/>
                  <w:noWrap w:val="0"/>
                  <w:vAlign w:val="center"/>
                </w:tcPr>
                <w:p w14:paraId="35C87A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24</w:t>
                  </w:r>
                </w:p>
              </w:tc>
              <w:tc>
                <w:tcPr>
                  <w:tcW w:w="600" w:type="pct"/>
                  <w:noWrap w:val="0"/>
                  <w:vAlign w:val="center"/>
                </w:tcPr>
                <w:p w14:paraId="5C15ED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40</w:t>
                  </w:r>
                </w:p>
              </w:tc>
              <w:tc>
                <w:tcPr>
                  <w:tcW w:w="574" w:type="pct"/>
                  <w:noWrap w:val="0"/>
                  <w:vAlign w:val="center"/>
                </w:tcPr>
                <w:p w14:paraId="13C8BD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60.0</w:t>
                  </w:r>
                </w:p>
              </w:tc>
              <w:tc>
                <w:tcPr>
                  <w:tcW w:w="566" w:type="pct"/>
                  <w:noWrap w:val="0"/>
                  <w:vAlign w:val="center"/>
                </w:tcPr>
                <w:p w14:paraId="4A0636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1D6FE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7" w:type="pct"/>
                  <w:vMerge w:val="continue"/>
                  <w:noWrap w:val="0"/>
                  <w:vAlign w:val="center"/>
                </w:tcPr>
                <w:p w14:paraId="51E99B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514" w:type="pct"/>
                  <w:noWrap w:val="0"/>
                  <w:vAlign w:val="center"/>
                </w:tcPr>
                <w:p w14:paraId="4B507C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CO</w:t>
                  </w:r>
                </w:p>
              </w:tc>
              <w:tc>
                <w:tcPr>
                  <w:tcW w:w="1257" w:type="pct"/>
                  <w:noWrap w:val="0"/>
                  <w:vAlign w:val="center"/>
                </w:tcPr>
                <w:p w14:paraId="5DC6FC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平均质量浓度</w:t>
                  </w:r>
                </w:p>
              </w:tc>
              <w:tc>
                <w:tcPr>
                  <w:tcW w:w="928" w:type="pct"/>
                  <w:noWrap w:val="0"/>
                  <w:vAlign w:val="center"/>
                </w:tcPr>
                <w:p w14:paraId="6BB0B8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1000</w:t>
                  </w:r>
                </w:p>
              </w:tc>
              <w:tc>
                <w:tcPr>
                  <w:tcW w:w="600" w:type="pct"/>
                  <w:noWrap w:val="0"/>
                  <w:vAlign w:val="center"/>
                </w:tcPr>
                <w:p w14:paraId="4E8F71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4000</w:t>
                  </w:r>
                </w:p>
              </w:tc>
              <w:tc>
                <w:tcPr>
                  <w:tcW w:w="574" w:type="pct"/>
                  <w:noWrap w:val="0"/>
                  <w:vAlign w:val="center"/>
                </w:tcPr>
                <w:p w14:paraId="20F282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25.0</w:t>
                  </w:r>
                </w:p>
              </w:tc>
              <w:tc>
                <w:tcPr>
                  <w:tcW w:w="566" w:type="pct"/>
                  <w:noWrap w:val="0"/>
                  <w:vAlign w:val="center"/>
                </w:tcPr>
                <w:p w14:paraId="7B6E96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336F1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57" w:type="pct"/>
                  <w:vMerge w:val="continue"/>
                  <w:noWrap w:val="0"/>
                  <w:vAlign w:val="center"/>
                </w:tcPr>
                <w:p w14:paraId="6BF5D5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514" w:type="pct"/>
                  <w:noWrap w:val="0"/>
                  <w:vAlign w:val="center"/>
                </w:tcPr>
                <w:p w14:paraId="3168B5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O3</w:t>
                  </w:r>
                </w:p>
              </w:tc>
              <w:tc>
                <w:tcPr>
                  <w:tcW w:w="1257" w:type="pct"/>
                  <w:noWrap w:val="0"/>
                  <w:vAlign w:val="center"/>
                </w:tcPr>
                <w:p w14:paraId="4A1212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平均质量浓度</w:t>
                  </w:r>
                </w:p>
              </w:tc>
              <w:tc>
                <w:tcPr>
                  <w:tcW w:w="928" w:type="pct"/>
                  <w:noWrap w:val="0"/>
                  <w:vAlign w:val="center"/>
                </w:tcPr>
                <w:p w14:paraId="0DFB3E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168</w:t>
                  </w:r>
                </w:p>
              </w:tc>
              <w:tc>
                <w:tcPr>
                  <w:tcW w:w="600" w:type="pct"/>
                  <w:noWrap w:val="0"/>
                  <w:vAlign w:val="center"/>
                </w:tcPr>
                <w:p w14:paraId="4C898D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160</w:t>
                  </w:r>
                </w:p>
              </w:tc>
              <w:tc>
                <w:tcPr>
                  <w:tcW w:w="574" w:type="pct"/>
                  <w:noWrap w:val="0"/>
                  <w:vAlign w:val="center"/>
                </w:tcPr>
                <w:p w14:paraId="1EB513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105.0</w:t>
                  </w:r>
                </w:p>
              </w:tc>
              <w:tc>
                <w:tcPr>
                  <w:tcW w:w="566" w:type="pct"/>
                  <w:noWrap w:val="0"/>
                  <w:vAlign w:val="center"/>
                </w:tcPr>
                <w:p w14:paraId="07C2BF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不达标</w:t>
                  </w:r>
                </w:p>
              </w:tc>
            </w:tr>
          </w:tbl>
          <w:p w14:paraId="011EC12A">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由上表可知，该区域检测点环境空气SO</w:t>
            </w:r>
            <w:r>
              <w:rPr>
                <w:rFonts w:hint="default" w:ascii="Times New Roman" w:hAnsi="Times New Roman" w:eastAsia="宋体" w:cs="Times New Roman"/>
                <w:color w:val="000000"/>
                <w:vertAlign w:val="subscript"/>
                <w:lang w:val="en-US" w:eastAsia="zh-CN"/>
              </w:rPr>
              <w:t>2</w:t>
            </w:r>
            <w:r>
              <w:rPr>
                <w:rFonts w:hint="default" w:ascii="Times New Roman" w:hAnsi="Times New Roman" w:eastAsia="宋体" w:cs="Times New Roman"/>
                <w:color w:val="000000"/>
                <w:lang w:val="en-US" w:eastAsia="zh-CN"/>
              </w:rPr>
              <w:t>、NO</w:t>
            </w:r>
            <w:r>
              <w:rPr>
                <w:rFonts w:hint="default" w:ascii="Times New Roman" w:hAnsi="Times New Roman" w:eastAsia="宋体" w:cs="Times New Roman"/>
                <w:color w:val="000000"/>
                <w:vertAlign w:val="subscript"/>
                <w:lang w:val="en-US" w:eastAsia="zh-CN"/>
              </w:rPr>
              <w:t>2</w:t>
            </w:r>
            <w:r>
              <w:rPr>
                <w:rFonts w:hint="default" w:ascii="Times New Roman" w:hAnsi="Times New Roman" w:eastAsia="宋体" w:cs="Times New Roman"/>
                <w:color w:val="000000"/>
                <w:lang w:val="en-US" w:eastAsia="zh-CN"/>
              </w:rPr>
              <w:t>、CO现状值能够满足《环境空气质量标准》</w:t>
            </w: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GB3095-2012及2018年修改单二级标准的要求，PM</w:t>
            </w:r>
            <w:r>
              <w:rPr>
                <w:rFonts w:hint="default" w:ascii="Times New Roman" w:hAnsi="Times New Roman" w:eastAsia="宋体" w:cs="Times New Roman"/>
                <w:color w:val="000000"/>
                <w:vertAlign w:val="subscript"/>
                <w:lang w:val="en-US" w:eastAsia="zh-CN"/>
              </w:rPr>
              <w:t>10</w:t>
            </w:r>
            <w:r>
              <w:rPr>
                <w:rFonts w:hint="default" w:ascii="Times New Roman" w:hAnsi="Times New Roman" w:eastAsia="宋体" w:cs="Times New Roman"/>
                <w:color w:val="000000"/>
                <w:lang w:val="en-US" w:eastAsia="zh-CN"/>
              </w:rPr>
              <w:t>、PM</w:t>
            </w:r>
            <w:r>
              <w:rPr>
                <w:rFonts w:hint="default" w:ascii="Times New Roman" w:hAnsi="Times New Roman" w:eastAsia="宋体" w:cs="Times New Roman"/>
                <w:color w:val="000000"/>
                <w:vertAlign w:val="subscript"/>
                <w:lang w:val="en-US" w:eastAsia="zh-CN"/>
              </w:rPr>
              <w:t>2.5</w:t>
            </w:r>
            <w:r>
              <w:rPr>
                <w:rFonts w:hint="default" w:ascii="Times New Roman" w:hAnsi="Times New Roman" w:eastAsia="宋体" w:cs="Times New Roman"/>
                <w:color w:val="000000"/>
                <w:lang w:val="en-US" w:eastAsia="zh-CN"/>
              </w:rPr>
              <w:t>、O</w:t>
            </w:r>
            <w:r>
              <w:rPr>
                <w:rFonts w:hint="default" w:ascii="Times New Roman" w:hAnsi="Times New Roman" w:eastAsia="宋体" w:cs="Times New Roman"/>
                <w:color w:val="000000"/>
                <w:vertAlign w:val="subscript"/>
                <w:lang w:val="en-US" w:eastAsia="zh-CN"/>
              </w:rPr>
              <w:t>3</w:t>
            </w:r>
            <w:r>
              <w:rPr>
                <w:rFonts w:hint="default" w:ascii="Times New Roman" w:hAnsi="Times New Roman" w:eastAsia="宋体" w:cs="Times New Roman"/>
                <w:color w:val="000000"/>
                <w:lang w:val="en-US" w:eastAsia="zh-CN"/>
              </w:rPr>
              <w:t>不能满足《环境空气质量标准》</w:t>
            </w: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GB3095-2012</w:t>
            </w: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二级标准的要求。故判定项目所在评价区域为不达标区。</w:t>
            </w:r>
          </w:p>
          <w:p w14:paraId="7EC3B85E">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1.2改善计划</w:t>
            </w:r>
          </w:p>
          <w:p w14:paraId="60BAF4B0">
            <w:pPr>
              <w:spacing w:line="520" w:lineRule="exact"/>
              <w:ind w:firstLine="480" w:firstLineChars="200"/>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根据《河南省2023年蓝天保卫战实施方案》，采取持续推进产业结构优化调整、深入推进能源结构调整、持续加强交通运输结构调整、强化面源污染治理、推进工业企业综合治理、加快挥发性有机物治理、强化区域联防联控、强化大气环境治理能力建设等措施后，区域环境空气质量会逐步改善。</w:t>
            </w:r>
          </w:p>
          <w:p w14:paraId="3EE2C31F">
            <w:pPr>
              <w:pStyle w:val="28"/>
              <w:spacing w:line="520" w:lineRule="exact"/>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2、地表水环境现状</w:t>
            </w:r>
          </w:p>
          <w:p w14:paraId="5FA1D17E">
            <w:pPr>
              <w:spacing w:line="520" w:lineRule="exact"/>
              <w:ind w:firstLine="480" w:firstLineChars="200"/>
              <w:rPr>
                <w:rFonts w:hint="default"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本项目</w:t>
            </w:r>
            <w:r>
              <w:rPr>
                <w:rFonts w:hint="eastAsia" w:ascii="Times New Roman" w:hAnsi="Times New Roman" w:eastAsia="宋体" w:cs="Times New Roman"/>
                <w:color w:val="000000"/>
                <w:lang w:val="en-US" w:eastAsia="zh-CN"/>
              </w:rPr>
              <w:t>北</w:t>
            </w:r>
            <w:r>
              <w:rPr>
                <w:rFonts w:hint="eastAsia" w:ascii="Times New Roman" w:hAnsi="Times New Roman" w:eastAsia="宋体" w:cs="Times New Roman"/>
                <w:color w:val="000000"/>
                <w:lang w:val="zh-CN" w:eastAsia="zh-CN"/>
              </w:rPr>
              <w:t>侧</w:t>
            </w:r>
            <w:r>
              <w:rPr>
                <w:rFonts w:hint="eastAsia" w:ascii="Times New Roman" w:hAnsi="Times New Roman" w:eastAsia="宋体" w:cs="Times New Roman"/>
                <w:color w:val="000000"/>
                <w:lang w:val="en-US" w:eastAsia="zh-CN"/>
              </w:rPr>
              <w:t>870m为马颊河。</w:t>
            </w:r>
            <w:r>
              <w:rPr>
                <w:rFonts w:hint="default" w:ascii="Times New Roman" w:hAnsi="Times New Roman" w:eastAsia="宋体" w:cs="Times New Roman"/>
                <w:color w:val="000000"/>
                <w:lang w:val="zh-CN" w:eastAsia="zh-CN"/>
              </w:rPr>
              <w:t>地表水环境质量现状数据引用濮阳市生态环境局公布的濮阳市环境质量月报20</w:t>
            </w:r>
            <w:r>
              <w:rPr>
                <w:rFonts w:hint="default" w:ascii="Times New Roman" w:hAnsi="Times New Roman" w:eastAsia="宋体" w:cs="Times New Roman"/>
                <w:color w:val="000000"/>
                <w:lang w:val="en-US" w:eastAsia="zh-CN"/>
              </w:rPr>
              <w:t>2</w:t>
            </w:r>
            <w:r>
              <w:rPr>
                <w:rFonts w:hint="eastAsia" w:ascii="Times New Roman" w:hAnsi="Times New Roman" w:eastAsia="宋体" w:cs="Times New Roman"/>
                <w:color w:val="000000"/>
                <w:lang w:val="en-US" w:eastAsia="zh-CN"/>
              </w:rPr>
              <w:t>3</w:t>
            </w:r>
            <w:r>
              <w:rPr>
                <w:rFonts w:hint="default" w:ascii="Times New Roman" w:hAnsi="Times New Roman" w:eastAsia="宋体" w:cs="Times New Roman"/>
                <w:color w:val="000000"/>
                <w:lang w:val="zh-CN" w:eastAsia="zh-CN"/>
              </w:rPr>
              <w:t>年1月-</w:t>
            </w:r>
            <w:r>
              <w:rPr>
                <w:rFonts w:hint="eastAsia" w:ascii="Times New Roman" w:hAnsi="Times New Roman" w:eastAsia="宋体" w:cs="Times New Roman"/>
                <w:color w:val="000000"/>
                <w:lang w:val="en-US" w:eastAsia="zh-CN"/>
              </w:rPr>
              <w:t>12</w:t>
            </w:r>
            <w:r>
              <w:rPr>
                <w:rFonts w:hint="default" w:ascii="Times New Roman" w:hAnsi="Times New Roman" w:eastAsia="宋体" w:cs="Times New Roman"/>
                <w:color w:val="000000"/>
                <w:lang w:val="zh-CN" w:eastAsia="zh-CN"/>
              </w:rPr>
              <w:t>月中</w:t>
            </w:r>
            <w:r>
              <w:rPr>
                <w:rFonts w:hint="eastAsia" w:ascii="Times New Roman" w:hAnsi="Times New Roman" w:eastAsia="宋体" w:cs="Times New Roman"/>
                <w:color w:val="000000"/>
                <w:lang w:val="en-US" w:eastAsia="zh-CN"/>
              </w:rPr>
              <w:t>马颊河南乐水文站</w:t>
            </w:r>
            <w:r>
              <w:rPr>
                <w:rFonts w:hint="default" w:ascii="Times New Roman" w:hAnsi="Times New Roman" w:eastAsia="宋体" w:cs="Times New Roman"/>
                <w:color w:val="000000"/>
                <w:lang w:val="en-US" w:eastAsia="zh-CN"/>
              </w:rPr>
              <w:t>断面</w:t>
            </w:r>
            <w:r>
              <w:rPr>
                <w:rFonts w:hint="default" w:ascii="Times New Roman" w:hAnsi="Times New Roman" w:eastAsia="宋体" w:cs="Times New Roman"/>
                <w:color w:val="000000"/>
                <w:lang w:val="zh-CN" w:eastAsia="zh-CN"/>
              </w:rPr>
              <w:t>监测结果，监测数据统计见</w:t>
            </w:r>
            <w:r>
              <w:rPr>
                <w:rFonts w:hint="default" w:ascii="Times New Roman" w:hAnsi="Times New Roman" w:eastAsia="宋体" w:cs="Times New Roman"/>
                <w:color w:val="000000"/>
                <w:lang w:val="en-US" w:eastAsia="zh-CN"/>
              </w:rPr>
              <w:t>下</w:t>
            </w:r>
            <w:r>
              <w:rPr>
                <w:rFonts w:hint="default" w:ascii="Times New Roman" w:hAnsi="Times New Roman" w:eastAsia="宋体" w:cs="Times New Roman"/>
                <w:color w:val="000000"/>
                <w:lang w:val="zh-CN" w:eastAsia="zh-CN"/>
              </w:rPr>
              <w:t>表</w:t>
            </w:r>
            <w:r>
              <w:rPr>
                <w:rFonts w:hint="eastAsia" w:ascii="Times New Roman" w:hAnsi="Times New Roman" w:eastAsia="宋体" w:cs="Times New Roman"/>
                <w:color w:val="000000"/>
                <w:lang w:val="en-US" w:eastAsia="zh-CN"/>
              </w:rPr>
              <w:t>3-2</w:t>
            </w:r>
            <w:r>
              <w:rPr>
                <w:rFonts w:hint="default" w:ascii="Times New Roman" w:hAnsi="Times New Roman" w:eastAsia="宋体" w:cs="Times New Roman"/>
                <w:color w:val="000000"/>
                <w:lang w:val="zh-CN" w:eastAsia="zh-CN"/>
              </w:rPr>
              <w:t>。</w:t>
            </w:r>
          </w:p>
          <w:p w14:paraId="1FDF031F">
            <w:pPr>
              <w:pStyle w:val="26"/>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20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eastAsia" w:ascii="Times New Roman" w:hAnsi="Times New Roman" w:eastAsia="宋体" w:cs="Times New Roman"/>
                <w:b/>
                <w:bCs/>
                <w:kern w:val="2"/>
                <w:sz w:val="21"/>
                <w:szCs w:val="21"/>
                <w:lang w:val="en-US" w:eastAsia="zh-CN" w:bidi="ar-SA"/>
              </w:rPr>
              <w:t>3-2</w:t>
            </w:r>
            <w:r>
              <w:rPr>
                <w:rFonts w:hint="default" w:ascii="Times New Roman" w:hAnsi="Times New Roman" w:eastAsia="宋体" w:cs="Times New Roman"/>
                <w:b/>
                <w:bCs/>
                <w:kern w:val="2"/>
                <w:sz w:val="21"/>
                <w:szCs w:val="21"/>
                <w:lang w:val="en-US" w:eastAsia="zh-CN" w:bidi="ar-SA"/>
              </w:rPr>
              <w:t xml:space="preserve">    地表水环境质量现状统计  单位：mg/L</w:t>
            </w:r>
          </w:p>
          <w:tbl>
            <w:tblPr>
              <w:tblStyle w:val="16"/>
              <w:tblW w:w="4996" w:type="pct"/>
              <w:tblInd w:w="-9"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34"/>
              <w:gridCol w:w="1441"/>
              <w:gridCol w:w="1173"/>
              <w:gridCol w:w="942"/>
              <w:gridCol w:w="656"/>
              <w:gridCol w:w="953"/>
              <w:gridCol w:w="945"/>
              <w:gridCol w:w="774"/>
            </w:tblGrid>
            <w:tr w14:paraId="5E7FD90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tcBorders>
                    <w:tl2br w:val="nil"/>
                    <w:tr2bl w:val="nil"/>
                  </w:tcBorders>
                  <w:noWrap w:val="0"/>
                  <w:vAlign w:val="center"/>
                </w:tcPr>
                <w:p w14:paraId="65A97A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断面</w:t>
                  </w:r>
                </w:p>
              </w:tc>
              <w:tc>
                <w:tcPr>
                  <w:tcW w:w="921" w:type="pct"/>
                  <w:tcBorders>
                    <w:tl2br w:val="nil"/>
                    <w:tr2bl w:val="nil"/>
                  </w:tcBorders>
                  <w:noWrap w:val="0"/>
                  <w:vAlign w:val="center"/>
                </w:tcPr>
                <w:p w14:paraId="0C084B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监测因子</w:t>
                  </w:r>
                </w:p>
              </w:tc>
              <w:tc>
                <w:tcPr>
                  <w:tcW w:w="750" w:type="pct"/>
                  <w:tcBorders>
                    <w:tl2br w:val="nil"/>
                    <w:tr2bl w:val="nil"/>
                  </w:tcBorders>
                  <w:noWrap w:val="0"/>
                  <w:vAlign w:val="center"/>
                </w:tcPr>
                <w:p w14:paraId="6A9C4B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监测时间</w:t>
                  </w:r>
                </w:p>
              </w:tc>
              <w:tc>
                <w:tcPr>
                  <w:tcW w:w="602" w:type="pct"/>
                  <w:tcBorders>
                    <w:tl2br w:val="nil"/>
                    <w:tr2bl w:val="nil"/>
                  </w:tcBorders>
                  <w:noWrap w:val="0"/>
                  <w:vAlign w:val="center"/>
                </w:tcPr>
                <w:p w14:paraId="6635F9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监测结果</w:t>
                  </w:r>
                </w:p>
              </w:tc>
              <w:tc>
                <w:tcPr>
                  <w:tcW w:w="419" w:type="pct"/>
                  <w:tcBorders>
                    <w:tl2br w:val="nil"/>
                    <w:tr2bl w:val="nil"/>
                  </w:tcBorders>
                  <w:noWrap w:val="0"/>
                  <w:vAlign w:val="center"/>
                </w:tcPr>
                <w:p w14:paraId="641B51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标准</w:t>
                  </w:r>
                </w:p>
              </w:tc>
              <w:tc>
                <w:tcPr>
                  <w:tcW w:w="609" w:type="pct"/>
                  <w:tcBorders>
                    <w:tl2br w:val="nil"/>
                    <w:tr2bl w:val="nil"/>
                  </w:tcBorders>
                  <w:noWrap w:val="0"/>
                  <w:vAlign w:val="center"/>
                </w:tcPr>
                <w:p w14:paraId="5DEE30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标准指数</w:t>
                  </w:r>
                </w:p>
              </w:tc>
              <w:tc>
                <w:tcPr>
                  <w:tcW w:w="604" w:type="pct"/>
                  <w:tcBorders>
                    <w:tl2br w:val="nil"/>
                    <w:tr2bl w:val="nil"/>
                  </w:tcBorders>
                  <w:noWrap w:val="0"/>
                  <w:vAlign w:val="center"/>
                </w:tcPr>
                <w:p w14:paraId="7C19D6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超标倍数</w:t>
                  </w:r>
                </w:p>
              </w:tc>
              <w:tc>
                <w:tcPr>
                  <w:tcW w:w="495" w:type="pct"/>
                  <w:tcBorders>
                    <w:tl2br w:val="nil"/>
                    <w:tr2bl w:val="nil"/>
                  </w:tcBorders>
                  <w:noWrap w:val="0"/>
                  <w:vAlign w:val="center"/>
                </w:tcPr>
                <w:p w14:paraId="33D7AA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3B6638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restart"/>
                  <w:tcBorders>
                    <w:tl2br w:val="nil"/>
                    <w:tr2bl w:val="nil"/>
                  </w:tcBorders>
                  <w:noWrap w:val="0"/>
                  <w:vAlign w:val="center"/>
                </w:tcPr>
                <w:p w14:paraId="595CD7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马颊河南乐水文站断面</w:t>
                  </w:r>
                </w:p>
              </w:tc>
              <w:tc>
                <w:tcPr>
                  <w:tcW w:w="921" w:type="pct"/>
                  <w:tcBorders>
                    <w:tl2br w:val="nil"/>
                    <w:tr2bl w:val="nil"/>
                  </w:tcBorders>
                  <w:noWrap w:val="0"/>
                  <w:vAlign w:val="center"/>
                </w:tcPr>
                <w:p w14:paraId="759B75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173ECF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年1月</w:t>
                  </w:r>
                </w:p>
              </w:tc>
              <w:tc>
                <w:tcPr>
                  <w:tcW w:w="602" w:type="pct"/>
                  <w:tcBorders>
                    <w:tl2br w:val="nil"/>
                    <w:tr2bl w:val="nil"/>
                  </w:tcBorders>
                  <w:noWrap w:val="0"/>
                  <w:vAlign w:val="center"/>
                </w:tcPr>
                <w:p w14:paraId="6A5B72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4.4</w:t>
                  </w:r>
                </w:p>
              </w:tc>
              <w:tc>
                <w:tcPr>
                  <w:tcW w:w="419" w:type="pct"/>
                  <w:tcBorders>
                    <w:tl2br w:val="nil"/>
                    <w:tr2bl w:val="nil"/>
                  </w:tcBorders>
                  <w:noWrap w:val="0"/>
                  <w:vAlign w:val="center"/>
                </w:tcPr>
                <w:p w14:paraId="018618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744F59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0.440</w:t>
                  </w:r>
                </w:p>
              </w:tc>
              <w:tc>
                <w:tcPr>
                  <w:tcW w:w="604" w:type="pct"/>
                  <w:tcBorders>
                    <w:tl2br w:val="nil"/>
                    <w:tr2bl w:val="nil"/>
                  </w:tcBorders>
                  <w:noWrap w:val="0"/>
                  <w:vAlign w:val="center"/>
                </w:tcPr>
                <w:p w14:paraId="6CFBAC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65ECD3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0431A3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7102F6D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566CDE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0B8DF9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45ED23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w:t>
                  </w:r>
                </w:p>
              </w:tc>
              <w:tc>
                <w:tcPr>
                  <w:tcW w:w="419" w:type="pct"/>
                  <w:tcBorders>
                    <w:tl2br w:val="nil"/>
                    <w:tr2bl w:val="nil"/>
                  </w:tcBorders>
                  <w:noWrap w:val="0"/>
                  <w:vAlign w:val="center"/>
                </w:tcPr>
                <w:p w14:paraId="7F8572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599F46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0.066</w:t>
                  </w:r>
                </w:p>
              </w:tc>
              <w:tc>
                <w:tcPr>
                  <w:tcW w:w="604" w:type="pct"/>
                  <w:tcBorders>
                    <w:tl2br w:val="nil"/>
                    <w:tr2bl w:val="nil"/>
                  </w:tcBorders>
                  <w:noWrap w:val="0"/>
                  <w:vAlign w:val="center"/>
                </w:tcPr>
                <w:p w14:paraId="1B2C19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3EB9C0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4A5C51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1003BA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138ABF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36EA8E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45C8D2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0.051</w:t>
                  </w:r>
                </w:p>
              </w:tc>
              <w:tc>
                <w:tcPr>
                  <w:tcW w:w="419" w:type="pct"/>
                  <w:tcBorders>
                    <w:tl2br w:val="nil"/>
                    <w:tr2bl w:val="nil"/>
                  </w:tcBorders>
                  <w:noWrap w:val="0"/>
                  <w:vAlign w:val="center"/>
                </w:tcPr>
                <w:p w14:paraId="16B884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4C9C79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0.170</w:t>
                  </w:r>
                </w:p>
              </w:tc>
              <w:tc>
                <w:tcPr>
                  <w:tcW w:w="604" w:type="pct"/>
                  <w:tcBorders>
                    <w:tl2br w:val="nil"/>
                    <w:tr2bl w:val="nil"/>
                  </w:tcBorders>
                  <w:noWrap w:val="0"/>
                  <w:vAlign w:val="center"/>
                </w:tcPr>
                <w:p w14:paraId="1DDEB8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7154E5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6E3656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4F6D59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2A162C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137362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年2月</w:t>
                  </w:r>
                </w:p>
              </w:tc>
              <w:tc>
                <w:tcPr>
                  <w:tcW w:w="602" w:type="pct"/>
                  <w:tcBorders>
                    <w:tl2br w:val="nil"/>
                    <w:tr2bl w:val="nil"/>
                  </w:tcBorders>
                  <w:noWrap w:val="0"/>
                  <w:vAlign w:val="center"/>
                </w:tcPr>
                <w:p w14:paraId="743FB1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5.0</w:t>
                  </w:r>
                </w:p>
              </w:tc>
              <w:tc>
                <w:tcPr>
                  <w:tcW w:w="419" w:type="pct"/>
                  <w:tcBorders>
                    <w:tl2br w:val="nil"/>
                    <w:tr2bl w:val="nil"/>
                  </w:tcBorders>
                  <w:noWrap w:val="0"/>
                  <w:vAlign w:val="center"/>
                </w:tcPr>
                <w:p w14:paraId="040303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115BD9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0.500</w:t>
                  </w:r>
                </w:p>
              </w:tc>
              <w:tc>
                <w:tcPr>
                  <w:tcW w:w="604" w:type="pct"/>
                  <w:tcBorders>
                    <w:tl2br w:val="nil"/>
                    <w:tr2bl w:val="nil"/>
                  </w:tcBorders>
                  <w:noWrap w:val="0"/>
                  <w:vAlign w:val="center"/>
                </w:tcPr>
                <w:p w14:paraId="05771C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2302E7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60416F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6A3A77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4614F5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7AF52F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1A8703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0.15</w:t>
                  </w:r>
                </w:p>
              </w:tc>
              <w:tc>
                <w:tcPr>
                  <w:tcW w:w="419" w:type="pct"/>
                  <w:tcBorders>
                    <w:tl2br w:val="nil"/>
                    <w:tr2bl w:val="nil"/>
                  </w:tcBorders>
                  <w:noWrap w:val="0"/>
                  <w:vAlign w:val="center"/>
                </w:tcPr>
                <w:p w14:paraId="16B208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3E0436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0.100</w:t>
                  </w:r>
                </w:p>
              </w:tc>
              <w:tc>
                <w:tcPr>
                  <w:tcW w:w="604" w:type="pct"/>
                  <w:tcBorders>
                    <w:tl2br w:val="nil"/>
                    <w:tr2bl w:val="nil"/>
                  </w:tcBorders>
                  <w:noWrap w:val="0"/>
                  <w:vAlign w:val="center"/>
                </w:tcPr>
                <w:p w14:paraId="7A8126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19D0D33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61FA07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1C424E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711791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673100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0491FC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0.078</w:t>
                  </w:r>
                </w:p>
              </w:tc>
              <w:tc>
                <w:tcPr>
                  <w:tcW w:w="419" w:type="pct"/>
                  <w:tcBorders>
                    <w:tl2br w:val="nil"/>
                    <w:tr2bl w:val="nil"/>
                  </w:tcBorders>
                  <w:noWrap w:val="0"/>
                  <w:vAlign w:val="center"/>
                </w:tcPr>
                <w:p w14:paraId="2A72BE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599CB6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0.260</w:t>
                  </w:r>
                </w:p>
              </w:tc>
              <w:tc>
                <w:tcPr>
                  <w:tcW w:w="604" w:type="pct"/>
                  <w:tcBorders>
                    <w:tl2br w:val="nil"/>
                    <w:tr2bl w:val="nil"/>
                  </w:tcBorders>
                  <w:noWrap w:val="0"/>
                  <w:vAlign w:val="center"/>
                </w:tcPr>
                <w:p w14:paraId="032396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18E65D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5310BE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15BF6D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374166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46A0E9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月</w:t>
                  </w:r>
                </w:p>
              </w:tc>
              <w:tc>
                <w:tcPr>
                  <w:tcW w:w="602" w:type="pct"/>
                  <w:tcBorders>
                    <w:tl2br w:val="nil"/>
                    <w:tr2bl w:val="nil"/>
                  </w:tcBorders>
                  <w:noWrap w:val="0"/>
                  <w:vAlign w:val="center"/>
                </w:tcPr>
                <w:p w14:paraId="3469B7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5.9</w:t>
                  </w:r>
                </w:p>
              </w:tc>
              <w:tc>
                <w:tcPr>
                  <w:tcW w:w="419" w:type="pct"/>
                  <w:tcBorders>
                    <w:tl2br w:val="nil"/>
                    <w:tr2bl w:val="nil"/>
                  </w:tcBorders>
                  <w:noWrap w:val="0"/>
                  <w:vAlign w:val="center"/>
                </w:tcPr>
                <w:p w14:paraId="1B6B86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6171A69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0.590</w:t>
                  </w:r>
                </w:p>
              </w:tc>
              <w:tc>
                <w:tcPr>
                  <w:tcW w:w="604" w:type="pct"/>
                  <w:tcBorders>
                    <w:tl2br w:val="nil"/>
                    <w:tr2bl w:val="nil"/>
                  </w:tcBorders>
                  <w:noWrap w:val="0"/>
                  <w:vAlign w:val="center"/>
                </w:tcPr>
                <w:p w14:paraId="24FCE7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2E813C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34E023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62E9E3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2DA1AB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399721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4634F6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0.13</w:t>
                  </w:r>
                </w:p>
              </w:tc>
              <w:tc>
                <w:tcPr>
                  <w:tcW w:w="419" w:type="pct"/>
                  <w:tcBorders>
                    <w:tl2br w:val="nil"/>
                    <w:tr2bl w:val="nil"/>
                  </w:tcBorders>
                  <w:noWrap w:val="0"/>
                  <w:vAlign w:val="center"/>
                </w:tcPr>
                <w:p w14:paraId="634122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4D8ED1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0.087</w:t>
                  </w:r>
                </w:p>
              </w:tc>
              <w:tc>
                <w:tcPr>
                  <w:tcW w:w="604" w:type="pct"/>
                  <w:tcBorders>
                    <w:tl2br w:val="nil"/>
                    <w:tr2bl w:val="nil"/>
                  </w:tcBorders>
                  <w:noWrap w:val="0"/>
                  <w:vAlign w:val="center"/>
                </w:tcPr>
                <w:p w14:paraId="109F16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4B81B9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0F2463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5FEF95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213D62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35C1CD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5D58B0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0.073</w:t>
                  </w:r>
                </w:p>
              </w:tc>
              <w:tc>
                <w:tcPr>
                  <w:tcW w:w="419" w:type="pct"/>
                  <w:tcBorders>
                    <w:tl2br w:val="nil"/>
                    <w:tr2bl w:val="nil"/>
                  </w:tcBorders>
                  <w:noWrap w:val="0"/>
                  <w:vAlign w:val="center"/>
                </w:tcPr>
                <w:p w14:paraId="110792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2D0AEC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0.243</w:t>
                  </w:r>
                </w:p>
              </w:tc>
              <w:tc>
                <w:tcPr>
                  <w:tcW w:w="604" w:type="pct"/>
                  <w:tcBorders>
                    <w:tl2br w:val="nil"/>
                    <w:tr2bl w:val="nil"/>
                  </w:tcBorders>
                  <w:noWrap w:val="0"/>
                  <w:vAlign w:val="center"/>
                </w:tcPr>
                <w:p w14:paraId="2D21B9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6BB136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228267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4CB3E8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2BF8DF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4E3A37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w:t>
                  </w:r>
                  <w:r>
                    <w:rPr>
                      <w:rFonts w:hint="eastAsia" w:ascii="Times New Roman" w:hAnsi="Times New Roman" w:eastAsia="宋体" w:cs="Times New Roman"/>
                      <w:color w:val="000000"/>
                      <w:kern w:val="2"/>
                      <w:sz w:val="21"/>
                      <w:szCs w:val="21"/>
                      <w:lang w:val="en-US" w:eastAsia="zh-CN" w:bidi="ar-SA"/>
                    </w:rPr>
                    <w:t>4</w:t>
                  </w:r>
                  <w:r>
                    <w:rPr>
                      <w:rFonts w:hint="default" w:ascii="Times New Roman" w:hAnsi="Times New Roman" w:eastAsia="宋体" w:cs="Times New Roman"/>
                      <w:color w:val="000000"/>
                      <w:kern w:val="2"/>
                      <w:sz w:val="21"/>
                      <w:szCs w:val="21"/>
                      <w:lang w:val="en-US" w:eastAsia="zh-CN" w:bidi="ar-SA"/>
                    </w:rPr>
                    <w:t>月</w:t>
                  </w:r>
                </w:p>
              </w:tc>
              <w:tc>
                <w:tcPr>
                  <w:tcW w:w="602" w:type="pct"/>
                  <w:tcBorders>
                    <w:tl2br w:val="nil"/>
                    <w:tr2bl w:val="nil"/>
                  </w:tcBorders>
                  <w:noWrap w:val="0"/>
                  <w:vAlign w:val="center"/>
                </w:tcPr>
                <w:p w14:paraId="5A9294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8.0</w:t>
                  </w:r>
                </w:p>
              </w:tc>
              <w:tc>
                <w:tcPr>
                  <w:tcW w:w="419" w:type="pct"/>
                  <w:tcBorders>
                    <w:tl2br w:val="nil"/>
                    <w:tr2bl w:val="nil"/>
                  </w:tcBorders>
                  <w:noWrap w:val="0"/>
                  <w:vAlign w:val="center"/>
                </w:tcPr>
                <w:p w14:paraId="41A183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47F430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0.800</w:t>
                  </w:r>
                </w:p>
              </w:tc>
              <w:tc>
                <w:tcPr>
                  <w:tcW w:w="604" w:type="pct"/>
                  <w:tcBorders>
                    <w:tl2br w:val="nil"/>
                    <w:tr2bl w:val="nil"/>
                  </w:tcBorders>
                  <w:noWrap w:val="0"/>
                  <w:vAlign w:val="center"/>
                </w:tcPr>
                <w:p w14:paraId="0B8500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7B7F33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102EB9B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21A78C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0704A0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5836F69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649E6B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0.12</w:t>
                  </w:r>
                </w:p>
              </w:tc>
              <w:tc>
                <w:tcPr>
                  <w:tcW w:w="419" w:type="pct"/>
                  <w:tcBorders>
                    <w:tl2br w:val="nil"/>
                    <w:tr2bl w:val="nil"/>
                  </w:tcBorders>
                  <w:noWrap w:val="0"/>
                  <w:vAlign w:val="center"/>
                </w:tcPr>
                <w:p w14:paraId="654CE4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7B3A94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0.080</w:t>
                  </w:r>
                </w:p>
              </w:tc>
              <w:tc>
                <w:tcPr>
                  <w:tcW w:w="604" w:type="pct"/>
                  <w:tcBorders>
                    <w:tl2br w:val="nil"/>
                    <w:tr2bl w:val="nil"/>
                  </w:tcBorders>
                  <w:noWrap w:val="0"/>
                  <w:vAlign w:val="center"/>
                </w:tcPr>
                <w:p w14:paraId="5C95FF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451A30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2768AF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622E16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66CAC0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2DF270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592A68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0.108</w:t>
                  </w:r>
                </w:p>
              </w:tc>
              <w:tc>
                <w:tcPr>
                  <w:tcW w:w="419" w:type="pct"/>
                  <w:tcBorders>
                    <w:tl2br w:val="nil"/>
                    <w:tr2bl w:val="nil"/>
                  </w:tcBorders>
                  <w:noWrap w:val="0"/>
                  <w:vAlign w:val="center"/>
                </w:tcPr>
                <w:p w14:paraId="2629F0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7FBAFB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0.360</w:t>
                  </w:r>
                </w:p>
              </w:tc>
              <w:tc>
                <w:tcPr>
                  <w:tcW w:w="604" w:type="pct"/>
                  <w:tcBorders>
                    <w:tl2br w:val="nil"/>
                    <w:tr2bl w:val="nil"/>
                  </w:tcBorders>
                  <w:noWrap w:val="0"/>
                  <w:vAlign w:val="center"/>
                </w:tcPr>
                <w:p w14:paraId="6D6F55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0D2321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72BE5B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4823AF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30FA48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670F4B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w:t>
                  </w:r>
                  <w:r>
                    <w:rPr>
                      <w:rFonts w:hint="eastAsia" w:ascii="Times New Roman" w:hAnsi="Times New Roman" w:eastAsia="宋体" w:cs="Times New Roman"/>
                      <w:color w:val="000000"/>
                      <w:kern w:val="2"/>
                      <w:sz w:val="21"/>
                      <w:szCs w:val="21"/>
                      <w:lang w:val="en-US" w:eastAsia="zh-CN" w:bidi="ar-SA"/>
                    </w:rPr>
                    <w:t>5</w:t>
                  </w:r>
                  <w:r>
                    <w:rPr>
                      <w:rFonts w:hint="default" w:ascii="Times New Roman" w:hAnsi="Times New Roman" w:eastAsia="宋体" w:cs="Times New Roman"/>
                      <w:color w:val="000000"/>
                      <w:kern w:val="2"/>
                      <w:sz w:val="21"/>
                      <w:szCs w:val="21"/>
                      <w:lang w:val="en-US" w:eastAsia="zh-CN" w:bidi="ar-SA"/>
                    </w:rPr>
                    <w:t>月</w:t>
                  </w:r>
                </w:p>
              </w:tc>
              <w:tc>
                <w:tcPr>
                  <w:tcW w:w="602" w:type="pct"/>
                  <w:tcBorders>
                    <w:tl2br w:val="nil"/>
                    <w:tr2bl w:val="nil"/>
                  </w:tcBorders>
                  <w:noWrap w:val="0"/>
                  <w:vAlign w:val="center"/>
                </w:tcPr>
                <w:p w14:paraId="3A1973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7.8</w:t>
                  </w:r>
                </w:p>
              </w:tc>
              <w:tc>
                <w:tcPr>
                  <w:tcW w:w="419" w:type="pct"/>
                  <w:tcBorders>
                    <w:tl2br w:val="nil"/>
                    <w:tr2bl w:val="nil"/>
                  </w:tcBorders>
                  <w:noWrap w:val="0"/>
                  <w:vAlign w:val="center"/>
                </w:tcPr>
                <w:p w14:paraId="501CF0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76FD78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0.780</w:t>
                  </w:r>
                </w:p>
              </w:tc>
              <w:tc>
                <w:tcPr>
                  <w:tcW w:w="604" w:type="pct"/>
                  <w:tcBorders>
                    <w:tl2br w:val="nil"/>
                    <w:tr2bl w:val="nil"/>
                  </w:tcBorders>
                  <w:noWrap w:val="0"/>
                  <w:vAlign w:val="center"/>
                </w:tcPr>
                <w:p w14:paraId="52CCD4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14E674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0824E9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510867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3CB052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15A255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3715BC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0.33</w:t>
                  </w:r>
                </w:p>
              </w:tc>
              <w:tc>
                <w:tcPr>
                  <w:tcW w:w="419" w:type="pct"/>
                  <w:tcBorders>
                    <w:tl2br w:val="nil"/>
                    <w:tr2bl w:val="nil"/>
                  </w:tcBorders>
                  <w:noWrap w:val="0"/>
                  <w:vAlign w:val="center"/>
                </w:tcPr>
                <w:p w14:paraId="29B9D8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51FA2C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0.220</w:t>
                  </w:r>
                </w:p>
              </w:tc>
              <w:tc>
                <w:tcPr>
                  <w:tcW w:w="604" w:type="pct"/>
                  <w:tcBorders>
                    <w:tl2br w:val="nil"/>
                    <w:tr2bl w:val="nil"/>
                  </w:tcBorders>
                  <w:noWrap w:val="0"/>
                  <w:vAlign w:val="center"/>
                </w:tcPr>
                <w:p w14:paraId="63D228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531EAEF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225D99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238065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37F6B0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45BF97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273591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0.175</w:t>
                  </w:r>
                </w:p>
              </w:tc>
              <w:tc>
                <w:tcPr>
                  <w:tcW w:w="419" w:type="pct"/>
                  <w:tcBorders>
                    <w:tl2br w:val="nil"/>
                    <w:tr2bl w:val="nil"/>
                  </w:tcBorders>
                  <w:noWrap w:val="0"/>
                  <w:vAlign w:val="center"/>
                </w:tcPr>
                <w:p w14:paraId="5AFCC0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293757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0.583</w:t>
                  </w:r>
                </w:p>
              </w:tc>
              <w:tc>
                <w:tcPr>
                  <w:tcW w:w="604" w:type="pct"/>
                  <w:tcBorders>
                    <w:tl2br w:val="nil"/>
                    <w:tr2bl w:val="nil"/>
                  </w:tcBorders>
                  <w:noWrap w:val="0"/>
                  <w:vAlign w:val="center"/>
                </w:tcPr>
                <w:p w14:paraId="70C405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390B1E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4706AD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7815BC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2A9839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7B7C09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w:t>
                  </w:r>
                  <w:r>
                    <w:rPr>
                      <w:rFonts w:hint="eastAsia" w:ascii="Times New Roman" w:hAnsi="Times New Roman" w:eastAsia="宋体" w:cs="Times New Roman"/>
                      <w:color w:val="000000"/>
                      <w:kern w:val="2"/>
                      <w:sz w:val="21"/>
                      <w:szCs w:val="21"/>
                      <w:lang w:val="en-US" w:eastAsia="zh-CN" w:bidi="ar-SA"/>
                    </w:rPr>
                    <w:t>6</w:t>
                  </w:r>
                  <w:r>
                    <w:rPr>
                      <w:rFonts w:hint="default" w:ascii="Times New Roman" w:hAnsi="Times New Roman" w:eastAsia="宋体" w:cs="Times New Roman"/>
                      <w:color w:val="000000"/>
                      <w:kern w:val="2"/>
                      <w:sz w:val="21"/>
                      <w:szCs w:val="21"/>
                      <w:lang w:val="en-US" w:eastAsia="zh-CN" w:bidi="ar-SA"/>
                    </w:rPr>
                    <w:t>月</w:t>
                  </w:r>
                </w:p>
              </w:tc>
              <w:tc>
                <w:tcPr>
                  <w:tcW w:w="602" w:type="pct"/>
                  <w:tcBorders>
                    <w:tl2br w:val="nil"/>
                    <w:tr2bl w:val="nil"/>
                  </w:tcBorders>
                  <w:noWrap w:val="0"/>
                  <w:vAlign w:val="center"/>
                </w:tcPr>
                <w:p w14:paraId="767B7F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5.8</w:t>
                  </w:r>
                </w:p>
              </w:tc>
              <w:tc>
                <w:tcPr>
                  <w:tcW w:w="419" w:type="pct"/>
                  <w:tcBorders>
                    <w:tl2br w:val="nil"/>
                    <w:tr2bl w:val="nil"/>
                  </w:tcBorders>
                  <w:noWrap w:val="0"/>
                  <w:vAlign w:val="center"/>
                </w:tcPr>
                <w:p w14:paraId="0B1957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1FB156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0.580</w:t>
                  </w:r>
                </w:p>
              </w:tc>
              <w:tc>
                <w:tcPr>
                  <w:tcW w:w="604" w:type="pct"/>
                  <w:tcBorders>
                    <w:tl2br w:val="nil"/>
                    <w:tr2bl w:val="nil"/>
                  </w:tcBorders>
                  <w:noWrap w:val="0"/>
                  <w:vAlign w:val="center"/>
                </w:tcPr>
                <w:p w14:paraId="63E6A7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124EF7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699250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5FC075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32276A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2118DC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43179F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0.34</w:t>
                  </w:r>
                </w:p>
              </w:tc>
              <w:tc>
                <w:tcPr>
                  <w:tcW w:w="419" w:type="pct"/>
                  <w:tcBorders>
                    <w:tl2br w:val="nil"/>
                    <w:tr2bl w:val="nil"/>
                  </w:tcBorders>
                  <w:noWrap w:val="0"/>
                  <w:vAlign w:val="center"/>
                </w:tcPr>
                <w:p w14:paraId="0821D6E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7B8404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0.226</w:t>
                  </w:r>
                </w:p>
              </w:tc>
              <w:tc>
                <w:tcPr>
                  <w:tcW w:w="604" w:type="pct"/>
                  <w:tcBorders>
                    <w:tl2br w:val="nil"/>
                    <w:tr2bl w:val="nil"/>
                  </w:tcBorders>
                  <w:noWrap w:val="0"/>
                  <w:vAlign w:val="center"/>
                </w:tcPr>
                <w:p w14:paraId="429D88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068676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4451A0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71B32F1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43ED40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4002FA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4998F8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0.15</w:t>
                  </w:r>
                </w:p>
              </w:tc>
              <w:tc>
                <w:tcPr>
                  <w:tcW w:w="419" w:type="pct"/>
                  <w:tcBorders>
                    <w:tl2br w:val="nil"/>
                    <w:tr2bl w:val="nil"/>
                  </w:tcBorders>
                  <w:noWrap w:val="0"/>
                  <w:vAlign w:val="center"/>
                </w:tcPr>
                <w:p w14:paraId="00DD95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382BF5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0.500</w:t>
                  </w:r>
                </w:p>
              </w:tc>
              <w:tc>
                <w:tcPr>
                  <w:tcW w:w="604" w:type="pct"/>
                  <w:tcBorders>
                    <w:tl2br w:val="nil"/>
                    <w:tr2bl w:val="nil"/>
                  </w:tcBorders>
                  <w:noWrap w:val="0"/>
                  <w:vAlign w:val="center"/>
                </w:tcPr>
                <w:p w14:paraId="216BD9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72FD89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12F03F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7A8EF6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5BBFAD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791976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w:t>
                  </w:r>
                  <w:r>
                    <w:rPr>
                      <w:rFonts w:hint="eastAsia" w:ascii="Times New Roman" w:hAnsi="Times New Roman" w:eastAsia="宋体" w:cs="Times New Roman"/>
                      <w:color w:val="000000"/>
                      <w:kern w:val="2"/>
                      <w:sz w:val="21"/>
                      <w:szCs w:val="21"/>
                      <w:lang w:val="en-US" w:eastAsia="zh-CN" w:bidi="ar-SA"/>
                    </w:rPr>
                    <w:t>7</w:t>
                  </w:r>
                  <w:r>
                    <w:rPr>
                      <w:rFonts w:hint="default" w:ascii="Times New Roman" w:hAnsi="Times New Roman" w:eastAsia="宋体" w:cs="Times New Roman"/>
                      <w:color w:val="000000"/>
                      <w:kern w:val="2"/>
                      <w:sz w:val="21"/>
                      <w:szCs w:val="21"/>
                      <w:lang w:val="en-US" w:eastAsia="zh-CN" w:bidi="ar-SA"/>
                    </w:rPr>
                    <w:t>月</w:t>
                  </w:r>
                </w:p>
              </w:tc>
              <w:tc>
                <w:tcPr>
                  <w:tcW w:w="602" w:type="pct"/>
                  <w:tcBorders>
                    <w:tl2br w:val="nil"/>
                    <w:tr2bl w:val="nil"/>
                  </w:tcBorders>
                  <w:noWrap w:val="0"/>
                  <w:vAlign w:val="center"/>
                </w:tcPr>
                <w:p w14:paraId="367281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4.5</w:t>
                  </w:r>
                </w:p>
              </w:tc>
              <w:tc>
                <w:tcPr>
                  <w:tcW w:w="419" w:type="pct"/>
                  <w:tcBorders>
                    <w:tl2br w:val="nil"/>
                    <w:tr2bl w:val="nil"/>
                  </w:tcBorders>
                  <w:noWrap w:val="0"/>
                  <w:vAlign w:val="center"/>
                </w:tcPr>
                <w:p w14:paraId="238D0C3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5AB393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0.450</w:t>
                  </w:r>
                </w:p>
              </w:tc>
              <w:tc>
                <w:tcPr>
                  <w:tcW w:w="604" w:type="pct"/>
                  <w:tcBorders>
                    <w:tl2br w:val="nil"/>
                    <w:tr2bl w:val="nil"/>
                  </w:tcBorders>
                  <w:noWrap w:val="0"/>
                  <w:vAlign w:val="center"/>
                </w:tcPr>
                <w:p w14:paraId="60CA79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632EAC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53BE08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66C3D9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38A6D5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1EDE2E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550D15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0.21</w:t>
                  </w:r>
                </w:p>
              </w:tc>
              <w:tc>
                <w:tcPr>
                  <w:tcW w:w="419" w:type="pct"/>
                  <w:tcBorders>
                    <w:tl2br w:val="nil"/>
                    <w:tr2bl w:val="nil"/>
                  </w:tcBorders>
                  <w:noWrap w:val="0"/>
                  <w:vAlign w:val="center"/>
                </w:tcPr>
                <w:p w14:paraId="495111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6DA924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0.140</w:t>
                  </w:r>
                </w:p>
              </w:tc>
              <w:tc>
                <w:tcPr>
                  <w:tcW w:w="604" w:type="pct"/>
                  <w:tcBorders>
                    <w:tl2br w:val="nil"/>
                    <w:tr2bl w:val="nil"/>
                  </w:tcBorders>
                  <w:noWrap w:val="0"/>
                  <w:vAlign w:val="center"/>
                </w:tcPr>
                <w:p w14:paraId="341FA7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373385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7917B4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1EFC6D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4454B8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73C402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4E9285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0.078</w:t>
                  </w:r>
                </w:p>
              </w:tc>
              <w:tc>
                <w:tcPr>
                  <w:tcW w:w="419" w:type="pct"/>
                  <w:tcBorders>
                    <w:tl2br w:val="nil"/>
                    <w:tr2bl w:val="nil"/>
                  </w:tcBorders>
                  <w:noWrap w:val="0"/>
                  <w:vAlign w:val="center"/>
                </w:tcPr>
                <w:p w14:paraId="6C1AB7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7AA370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0.260</w:t>
                  </w:r>
                </w:p>
              </w:tc>
              <w:tc>
                <w:tcPr>
                  <w:tcW w:w="604" w:type="pct"/>
                  <w:tcBorders>
                    <w:tl2br w:val="nil"/>
                    <w:tr2bl w:val="nil"/>
                  </w:tcBorders>
                  <w:noWrap w:val="0"/>
                  <w:vAlign w:val="center"/>
                </w:tcPr>
                <w:p w14:paraId="53266E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24FA3D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16B16E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57171E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444642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318241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w:t>
                  </w:r>
                  <w:r>
                    <w:rPr>
                      <w:rFonts w:hint="eastAsia" w:ascii="Times New Roman" w:hAnsi="Times New Roman" w:eastAsia="宋体" w:cs="Times New Roman"/>
                      <w:color w:val="000000"/>
                      <w:kern w:val="2"/>
                      <w:sz w:val="21"/>
                      <w:szCs w:val="21"/>
                      <w:lang w:val="en-US" w:eastAsia="zh-CN" w:bidi="ar-SA"/>
                    </w:rPr>
                    <w:t>8</w:t>
                  </w:r>
                  <w:r>
                    <w:rPr>
                      <w:rFonts w:hint="default" w:ascii="Times New Roman" w:hAnsi="Times New Roman" w:eastAsia="宋体" w:cs="Times New Roman"/>
                      <w:color w:val="000000"/>
                      <w:kern w:val="2"/>
                      <w:sz w:val="21"/>
                      <w:szCs w:val="21"/>
                      <w:lang w:val="en-US" w:eastAsia="zh-CN" w:bidi="ar-SA"/>
                    </w:rPr>
                    <w:t>月</w:t>
                  </w:r>
                </w:p>
              </w:tc>
              <w:tc>
                <w:tcPr>
                  <w:tcW w:w="602" w:type="pct"/>
                  <w:tcBorders>
                    <w:tl2br w:val="nil"/>
                    <w:tr2bl w:val="nil"/>
                  </w:tcBorders>
                  <w:noWrap w:val="0"/>
                  <w:vAlign w:val="center"/>
                </w:tcPr>
                <w:p w14:paraId="1B17AD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6.2</w:t>
                  </w:r>
                </w:p>
              </w:tc>
              <w:tc>
                <w:tcPr>
                  <w:tcW w:w="419" w:type="pct"/>
                  <w:tcBorders>
                    <w:tl2br w:val="nil"/>
                    <w:tr2bl w:val="nil"/>
                  </w:tcBorders>
                  <w:noWrap w:val="0"/>
                  <w:vAlign w:val="center"/>
                </w:tcPr>
                <w:p w14:paraId="3C96775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4DEF0A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0.620</w:t>
                  </w:r>
                </w:p>
              </w:tc>
              <w:tc>
                <w:tcPr>
                  <w:tcW w:w="604" w:type="pct"/>
                  <w:tcBorders>
                    <w:tl2br w:val="nil"/>
                    <w:tr2bl w:val="nil"/>
                  </w:tcBorders>
                  <w:noWrap w:val="0"/>
                  <w:vAlign w:val="center"/>
                </w:tcPr>
                <w:p w14:paraId="110305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569362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78A2D6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47E15A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0A1D48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09BAD2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2EFC83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0.81</w:t>
                  </w:r>
                </w:p>
              </w:tc>
              <w:tc>
                <w:tcPr>
                  <w:tcW w:w="419" w:type="pct"/>
                  <w:tcBorders>
                    <w:tl2br w:val="nil"/>
                    <w:tr2bl w:val="nil"/>
                  </w:tcBorders>
                  <w:noWrap w:val="0"/>
                  <w:vAlign w:val="center"/>
                </w:tcPr>
                <w:p w14:paraId="01C808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2DE209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0.540</w:t>
                  </w:r>
                </w:p>
              </w:tc>
              <w:tc>
                <w:tcPr>
                  <w:tcW w:w="604" w:type="pct"/>
                  <w:tcBorders>
                    <w:tl2br w:val="nil"/>
                    <w:tr2bl w:val="nil"/>
                  </w:tcBorders>
                  <w:noWrap w:val="0"/>
                  <w:vAlign w:val="center"/>
                </w:tcPr>
                <w:p w14:paraId="0FF1CA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0EA6F2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23B23A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150BA6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422200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0C26BB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04D7A5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0.141</w:t>
                  </w:r>
                </w:p>
              </w:tc>
              <w:tc>
                <w:tcPr>
                  <w:tcW w:w="419" w:type="pct"/>
                  <w:tcBorders>
                    <w:tl2br w:val="nil"/>
                    <w:tr2bl w:val="nil"/>
                  </w:tcBorders>
                  <w:noWrap w:val="0"/>
                  <w:vAlign w:val="center"/>
                </w:tcPr>
                <w:p w14:paraId="5C4AE8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3F4417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0.470</w:t>
                  </w:r>
                </w:p>
              </w:tc>
              <w:tc>
                <w:tcPr>
                  <w:tcW w:w="604" w:type="pct"/>
                  <w:tcBorders>
                    <w:tl2br w:val="nil"/>
                    <w:tr2bl w:val="nil"/>
                  </w:tcBorders>
                  <w:noWrap w:val="0"/>
                  <w:vAlign w:val="center"/>
                </w:tcPr>
                <w:p w14:paraId="662F5C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5EFC6C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3F8742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06A867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518407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4D6215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w:t>
                  </w:r>
                  <w:r>
                    <w:rPr>
                      <w:rFonts w:hint="eastAsia" w:ascii="Times New Roman" w:hAnsi="Times New Roman" w:eastAsia="宋体" w:cs="Times New Roman"/>
                      <w:color w:val="000000"/>
                      <w:kern w:val="2"/>
                      <w:sz w:val="21"/>
                      <w:szCs w:val="21"/>
                      <w:lang w:val="en-US" w:eastAsia="zh-CN" w:bidi="ar-SA"/>
                    </w:rPr>
                    <w:t>9</w:t>
                  </w:r>
                  <w:r>
                    <w:rPr>
                      <w:rFonts w:hint="default" w:ascii="Times New Roman" w:hAnsi="Times New Roman" w:eastAsia="宋体" w:cs="Times New Roman"/>
                      <w:color w:val="000000"/>
                      <w:kern w:val="2"/>
                      <w:sz w:val="21"/>
                      <w:szCs w:val="21"/>
                      <w:lang w:val="en-US" w:eastAsia="zh-CN" w:bidi="ar-SA"/>
                    </w:rPr>
                    <w:t>月</w:t>
                  </w:r>
                </w:p>
              </w:tc>
              <w:tc>
                <w:tcPr>
                  <w:tcW w:w="602" w:type="pct"/>
                  <w:tcBorders>
                    <w:tl2br w:val="nil"/>
                    <w:tr2bl w:val="nil"/>
                  </w:tcBorders>
                  <w:noWrap w:val="0"/>
                  <w:vAlign w:val="center"/>
                </w:tcPr>
                <w:p w14:paraId="000BDA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5.4</w:t>
                  </w:r>
                </w:p>
              </w:tc>
              <w:tc>
                <w:tcPr>
                  <w:tcW w:w="419" w:type="pct"/>
                  <w:tcBorders>
                    <w:tl2br w:val="nil"/>
                    <w:tr2bl w:val="nil"/>
                  </w:tcBorders>
                  <w:noWrap w:val="0"/>
                  <w:vAlign w:val="center"/>
                </w:tcPr>
                <w:p w14:paraId="02652E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0219ED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0.540</w:t>
                  </w:r>
                </w:p>
              </w:tc>
              <w:tc>
                <w:tcPr>
                  <w:tcW w:w="604" w:type="pct"/>
                  <w:tcBorders>
                    <w:tl2br w:val="nil"/>
                    <w:tr2bl w:val="nil"/>
                  </w:tcBorders>
                  <w:noWrap w:val="0"/>
                  <w:vAlign w:val="center"/>
                </w:tcPr>
                <w:p w14:paraId="43F6F17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14B89F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74F1D8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2541DB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4485D8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7EF944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683F39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0.19</w:t>
                  </w:r>
                </w:p>
              </w:tc>
              <w:tc>
                <w:tcPr>
                  <w:tcW w:w="419" w:type="pct"/>
                  <w:tcBorders>
                    <w:tl2br w:val="nil"/>
                    <w:tr2bl w:val="nil"/>
                  </w:tcBorders>
                  <w:noWrap w:val="0"/>
                  <w:vAlign w:val="center"/>
                </w:tcPr>
                <w:p w14:paraId="73842A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6ACDBF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0.126</w:t>
                  </w:r>
                </w:p>
              </w:tc>
              <w:tc>
                <w:tcPr>
                  <w:tcW w:w="604" w:type="pct"/>
                  <w:tcBorders>
                    <w:tl2br w:val="nil"/>
                    <w:tr2bl w:val="nil"/>
                  </w:tcBorders>
                  <w:noWrap w:val="0"/>
                  <w:vAlign w:val="center"/>
                </w:tcPr>
                <w:p w14:paraId="5EBFED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7CADBC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3B0104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5C5B67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16AD0C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4A7325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3D0CA0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0.115</w:t>
                  </w:r>
                </w:p>
              </w:tc>
              <w:tc>
                <w:tcPr>
                  <w:tcW w:w="419" w:type="pct"/>
                  <w:tcBorders>
                    <w:tl2br w:val="nil"/>
                    <w:tr2bl w:val="nil"/>
                  </w:tcBorders>
                  <w:noWrap w:val="0"/>
                  <w:vAlign w:val="center"/>
                </w:tcPr>
                <w:p w14:paraId="203BB2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3844A48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0.383</w:t>
                  </w:r>
                </w:p>
              </w:tc>
              <w:tc>
                <w:tcPr>
                  <w:tcW w:w="604" w:type="pct"/>
                  <w:tcBorders>
                    <w:tl2br w:val="nil"/>
                    <w:tr2bl w:val="nil"/>
                  </w:tcBorders>
                  <w:noWrap w:val="0"/>
                  <w:vAlign w:val="center"/>
                </w:tcPr>
                <w:p w14:paraId="587D34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6E541A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5974B4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716464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18D48F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44F4239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w:t>
                  </w:r>
                  <w:r>
                    <w:rPr>
                      <w:rFonts w:hint="eastAsia" w:ascii="Times New Roman" w:hAnsi="Times New Roman" w:eastAsia="宋体" w:cs="Times New Roman"/>
                      <w:color w:val="000000"/>
                      <w:kern w:val="2"/>
                      <w:sz w:val="21"/>
                      <w:szCs w:val="21"/>
                      <w:lang w:val="en-US" w:eastAsia="zh-CN" w:bidi="ar-SA"/>
                    </w:rPr>
                    <w:t>10</w:t>
                  </w:r>
                  <w:r>
                    <w:rPr>
                      <w:rFonts w:hint="default" w:ascii="Times New Roman" w:hAnsi="Times New Roman" w:eastAsia="宋体" w:cs="Times New Roman"/>
                      <w:color w:val="000000"/>
                      <w:kern w:val="2"/>
                      <w:sz w:val="21"/>
                      <w:szCs w:val="21"/>
                      <w:lang w:val="en-US" w:eastAsia="zh-CN" w:bidi="ar-SA"/>
                    </w:rPr>
                    <w:t>月</w:t>
                  </w:r>
                </w:p>
              </w:tc>
              <w:tc>
                <w:tcPr>
                  <w:tcW w:w="602" w:type="pct"/>
                  <w:tcBorders>
                    <w:tl2br w:val="nil"/>
                    <w:tr2bl w:val="nil"/>
                  </w:tcBorders>
                  <w:noWrap w:val="0"/>
                  <w:vAlign w:val="center"/>
                </w:tcPr>
                <w:p w14:paraId="607C5E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5.1</w:t>
                  </w:r>
                </w:p>
              </w:tc>
              <w:tc>
                <w:tcPr>
                  <w:tcW w:w="419" w:type="pct"/>
                  <w:tcBorders>
                    <w:tl2br w:val="nil"/>
                    <w:tr2bl w:val="nil"/>
                  </w:tcBorders>
                  <w:noWrap w:val="0"/>
                  <w:vAlign w:val="center"/>
                </w:tcPr>
                <w:p w14:paraId="79A26C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46434C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0.510</w:t>
                  </w:r>
                </w:p>
              </w:tc>
              <w:tc>
                <w:tcPr>
                  <w:tcW w:w="604" w:type="pct"/>
                  <w:tcBorders>
                    <w:tl2br w:val="nil"/>
                    <w:tr2bl w:val="nil"/>
                  </w:tcBorders>
                  <w:noWrap w:val="0"/>
                  <w:vAlign w:val="center"/>
                </w:tcPr>
                <w:p w14:paraId="0EB7B2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7BE193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4BFD32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7F30FD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6CB10C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3D01EE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6CF81F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w:t>
                  </w:r>
                </w:p>
              </w:tc>
              <w:tc>
                <w:tcPr>
                  <w:tcW w:w="419" w:type="pct"/>
                  <w:tcBorders>
                    <w:tl2br w:val="nil"/>
                    <w:tr2bl w:val="nil"/>
                  </w:tcBorders>
                  <w:noWrap w:val="0"/>
                  <w:vAlign w:val="center"/>
                </w:tcPr>
                <w:p w14:paraId="64BA2D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1688D4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0.066</w:t>
                  </w:r>
                </w:p>
              </w:tc>
              <w:tc>
                <w:tcPr>
                  <w:tcW w:w="604" w:type="pct"/>
                  <w:tcBorders>
                    <w:tl2br w:val="nil"/>
                    <w:tr2bl w:val="nil"/>
                  </w:tcBorders>
                  <w:noWrap w:val="0"/>
                  <w:vAlign w:val="center"/>
                </w:tcPr>
                <w:p w14:paraId="48C04F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098E86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6B2C36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290069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0BC4A4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426049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5A9882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0.11</w:t>
                  </w:r>
                </w:p>
              </w:tc>
              <w:tc>
                <w:tcPr>
                  <w:tcW w:w="419" w:type="pct"/>
                  <w:tcBorders>
                    <w:tl2br w:val="nil"/>
                    <w:tr2bl w:val="nil"/>
                  </w:tcBorders>
                  <w:noWrap w:val="0"/>
                  <w:vAlign w:val="center"/>
                </w:tcPr>
                <w:p w14:paraId="4D89C8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55CCFB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0.367</w:t>
                  </w:r>
                </w:p>
              </w:tc>
              <w:tc>
                <w:tcPr>
                  <w:tcW w:w="604" w:type="pct"/>
                  <w:tcBorders>
                    <w:tl2br w:val="nil"/>
                    <w:tr2bl w:val="nil"/>
                  </w:tcBorders>
                  <w:noWrap w:val="0"/>
                  <w:vAlign w:val="center"/>
                </w:tcPr>
                <w:p w14:paraId="678176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230A3C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400799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554997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61B3BE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294A8C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w:t>
                  </w:r>
                  <w:r>
                    <w:rPr>
                      <w:rFonts w:hint="eastAsia" w:ascii="Times New Roman" w:hAnsi="Times New Roman" w:eastAsia="宋体" w:cs="Times New Roman"/>
                      <w:color w:val="000000"/>
                      <w:kern w:val="2"/>
                      <w:sz w:val="21"/>
                      <w:szCs w:val="21"/>
                      <w:lang w:val="en-US" w:eastAsia="zh-CN" w:bidi="ar-SA"/>
                    </w:rPr>
                    <w:t>11</w:t>
                  </w:r>
                  <w:r>
                    <w:rPr>
                      <w:rFonts w:hint="default" w:ascii="Times New Roman" w:hAnsi="Times New Roman" w:eastAsia="宋体" w:cs="Times New Roman"/>
                      <w:color w:val="000000"/>
                      <w:kern w:val="2"/>
                      <w:sz w:val="21"/>
                      <w:szCs w:val="21"/>
                      <w:lang w:val="en-US" w:eastAsia="zh-CN" w:bidi="ar-SA"/>
                    </w:rPr>
                    <w:t>月</w:t>
                  </w:r>
                </w:p>
              </w:tc>
              <w:tc>
                <w:tcPr>
                  <w:tcW w:w="602" w:type="pct"/>
                  <w:tcBorders>
                    <w:tl2br w:val="nil"/>
                    <w:tr2bl w:val="nil"/>
                  </w:tcBorders>
                  <w:noWrap w:val="0"/>
                  <w:vAlign w:val="center"/>
                </w:tcPr>
                <w:p w14:paraId="5D1C29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4.6</w:t>
                  </w:r>
                </w:p>
              </w:tc>
              <w:tc>
                <w:tcPr>
                  <w:tcW w:w="419" w:type="pct"/>
                  <w:tcBorders>
                    <w:tl2br w:val="nil"/>
                    <w:tr2bl w:val="nil"/>
                  </w:tcBorders>
                  <w:noWrap w:val="0"/>
                  <w:vAlign w:val="center"/>
                </w:tcPr>
                <w:p w14:paraId="499952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611DC4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0.460</w:t>
                  </w:r>
                </w:p>
              </w:tc>
              <w:tc>
                <w:tcPr>
                  <w:tcW w:w="604" w:type="pct"/>
                  <w:tcBorders>
                    <w:tl2br w:val="nil"/>
                    <w:tr2bl w:val="nil"/>
                  </w:tcBorders>
                  <w:noWrap w:val="0"/>
                  <w:vAlign w:val="center"/>
                </w:tcPr>
                <w:p w14:paraId="7F3985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7D1BDC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01AB80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29C69F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518D6CC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203AD0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638C9D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0.41</w:t>
                  </w:r>
                </w:p>
              </w:tc>
              <w:tc>
                <w:tcPr>
                  <w:tcW w:w="419" w:type="pct"/>
                  <w:tcBorders>
                    <w:tl2br w:val="nil"/>
                    <w:tr2bl w:val="nil"/>
                  </w:tcBorders>
                  <w:noWrap w:val="0"/>
                  <w:vAlign w:val="center"/>
                </w:tcPr>
                <w:p w14:paraId="5F8C62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119B42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0.273</w:t>
                  </w:r>
                </w:p>
              </w:tc>
              <w:tc>
                <w:tcPr>
                  <w:tcW w:w="604" w:type="pct"/>
                  <w:tcBorders>
                    <w:tl2br w:val="nil"/>
                    <w:tr2bl w:val="nil"/>
                  </w:tcBorders>
                  <w:noWrap w:val="0"/>
                  <w:vAlign w:val="center"/>
                </w:tcPr>
                <w:p w14:paraId="60412B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2A4AE3E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7D3B6B4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074F72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6F81E5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003606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3FDFA1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w:t>
                  </w:r>
                </w:p>
              </w:tc>
              <w:tc>
                <w:tcPr>
                  <w:tcW w:w="419" w:type="pct"/>
                  <w:tcBorders>
                    <w:tl2br w:val="nil"/>
                    <w:tr2bl w:val="nil"/>
                  </w:tcBorders>
                  <w:noWrap w:val="0"/>
                  <w:vAlign w:val="center"/>
                </w:tcPr>
                <w:p w14:paraId="16E4E0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7308F59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0.333</w:t>
                  </w:r>
                </w:p>
              </w:tc>
              <w:tc>
                <w:tcPr>
                  <w:tcW w:w="604" w:type="pct"/>
                  <w:tcBorders>
                    <w:tl2br w:val="nil"/>
                    <w:tr2bl w:val="nil"/>
                  </w:tcBorders>
                  <w:noWrap w:val="0"/>
                  <w:vAlign w:val="center"/>
                </w:tcPr>
                <w:p w14:paraId="5350A5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32C4F0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3BF93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3E388F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780DD1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高锰酸盐指数</w:t>
                  </w:r>
                </w:p>
              </w:tc>
              <w:tc>
                <w:tcPr>
                  <w:tcW w:w="750" w:type="pct"/>
                  <w:vMerge w:val="restart"/>
                  <w:tcBorders>
                    <w:tl2br w:val="nil"/>
                    <w:tr2bl w:val="nil"/>
                  </w:tcBorders>
                  <w:noWrap w:val="0"/>
                  <w:vAlign w:val="center"/>
                </w:tcPr>
                <w:p w14:paraId="61F128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202</w:t>
                  </w:r>
                  <w:r>
                    <w:rPr>
                      <w:rFonts w:hint="eastAsia" w:ascii="Times New Roman" w:hAnsi="Times New Roman" w:eastAsia="宋体" w:cs="Times New Roman"/>
                      <w:color w:val="000000"/>
                      <w:kern w:val="2"/>
                      <w:sz w:val="21"/>
                      <w:szCs w:val="21"/>
                      <w:lang w:val="en-US" w:eastAsia="zh-CN" w:bidi="ar-SA"/>
                    </w:rPr>
                    <w:t>3</w:t>
                  </w:r>
                  <w:r>
                    <w:rPr>
                      <w:rFonts w:hint="default" w:ascii="Times New Roman" w:hAnsi="Times New Roman" w:eastAsia="宋体" w:cs="Times New Roman"/>
                      <w:color w:val="000000"/>
                      <w:kern w:val="2"/>
                      <w:sz w:val="21"/>
                      <w:szCs w:val="21"/>
                      <w:lang w:val="en-US" w:eastAsia="zh-CN" w:bidi="ar-SA"/>
                    </w:rPr>
                    <w:t>年</w:t>
                  </w:r>
                  <w:r>
                    <w:rPr>
                      <w:rFonts w:hint="eastAsia" w:ascii="Times New Roman" w:hAnsi="Times New Roman" w:eastAsia="宋体" w:cs="Times New Roman"/>
                      <w:color w:val="000000"/>
                      <w:kern w:val="2"/>
                      <w:sz w:val="21"/>
                      <w:szCs w:val="21"/>
                      <w:lang w:val="en-US" w:eastAsia="zh-CN" w:bidi="ar-SA"/>
                    </w:rPr>
                    <w:t>12</w:t>
                  </w:r>
                  <w:r>
                    <w:rPr>
                      <w:rFonts w:hint="default" w:ascii="Times New Roman" w:hAnsi="Times New Roman" w:eastAsia="宋体" w:cs="Times New Roman"/>
                      <w:color w:val="000000"/>
                      <w:kern w:val="2"/>
                      <w:sz w:val="21"/>
                      <w:szCs w:val="21"/>
                      <w:lang w:val="en-US" w:eastAsia="zh-CN" w:bidi="ar-SA"/>
                    </w:rPr>
                    <w:t>月</w:t>
                  </w:r>
                </w:p>
              </w:tc>
              <w:tc>
                <w:tcPr>
                  <w:tcW w:w="602" w:type="pct"/>
                  <w:tcBorders>
                    <w:tl2br w:val="nil"/>
                    <w:tr2bl w:val="nil"/>
                  </w:tcBorders>
                  <w:noWrap w:val="0"/>
                  <w:vAlign w:val="center"/>
                </w:tcPr>
                <w:p w14:paraId="1271E9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4.9</w:t>
                  </w:r>
                </w:p>
              </w:tc>
              <w:tc>
                <w:tcPr>
                  <w:tcW w:w="419" w:type="pct"/>
                  <w:tcBorders>
                    <w:tl2br w:val="nil"/>
                    <w:tr2bl w:val="nil"/>
                  </w:tcBorders>
                  <w:noWrap w:val="0"/>
                  <w:vAlign w:val="center"/>
                </w:tcPr>
                <w:p w14:paraId="55A2DA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10</w:t>
                  </w:r>
                </w:p>
              </w:tc>
              <w:tc>
                <w:tcPr>
                  <w:tcW w:w="609" w:type="pct"/>
                  <w:tcBorders>
                    <w:tl2br w:val="nil"/>
                    <w:tr2bl w:val="nil"/>
                  </w:tcBorders>
                  <w:noWrap w:val="0"/>
                  <w:vAlign w:val="center"/>
                </w:tcPr>
                <w:p w14:paraId="3337E1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0.490</w:t>
                  </w:r>
                </w:p>
              </w:tc>
              <w:tc>
                <w:tcPr>
                  <w:tcW w:w="604" w:type="pct"/>
                  <w:tcBorders>
                    <w:tl2br w:val="nil"/>
                    <w:tr2bl w:val="nil"/>
                  </w:tcBorders>
                  <w:noWrap w:val="0"/>
                  <w:vAlign w:val="center"/>
                </w:tcPr>
                <w:p w14:paraId="482807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5AF6031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0EC657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4FA16A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0DEA74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NH3-N</w:t>
                  </w:r>
                </w:p>
              </w:tc>
              <w:tc>
                <w:tcPr>
                  <w:tcW w:w="750" w:type="pct"/>
                  <w:vMerge w:val="continue"/>
                  <w:tcBorders>
                    <w:tl2br w:val="nil"/>
                    <w:tr2bl w:val="nil"/>
                  </w:tcBorders>
                  <w:noWrap w:val="0"/>
                  <w:vAlign w:val="center"/>
                </w:tcPr>
                <w:p w14:paraId="11728B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48A3FE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0.14</w:t>
                  </w:r>
                </w:p>
              </w:tc>
              <w:tc>
                <w:tcPr>
                  <w:tcW w:w="419" w:type="pct"/>
                  <w:tcBorders>
                    <w:tl2br w:val="nil"/>
                    <w:tr2bl w:val="nil"/>
                  </w:tcBorders>
                  <w:noWrap w:val="0"/>
                  <w:vAlign w:val="center"/>
                </w:tcPr>
                <w:p w14:paraId="5BCF9B8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1.5</w:t>
                  </w:r>
                </w:p>
              </w:tc>
              <w:tc>
                <w:tcPr>
                  <w:tcW w:w="609" w:type="pct"/>
                  <w:tcBorders>
                    <w:tl2br w:val="nil"/>
                    <w:tr2bl w:val="nil"/>
                  </w:tcBorders>
                  <w:noWrap w:val="0"/>
                  <w:vAlign w:val="center"/>
                </w:tcPr>
                <w:p w14:paraId="64BFFD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0.093</w:t>
                  </w:r>
                </w:p>
              </w:tc>
              <w:tc>
                <w:tcPr>
                  <w:tcW w:w="604" w:type="pct"/>
                  <w:tcBorders>
                    <w:tl2br w:val="nil"/>
                    <w:tr2bl w:val="nil"/>
                  </w:tcBorders>
                  <w:noWrap w:val="0"/>
                  <w:vAlign w:val="center"/>
                </w:tcPr>
                <w:p w14:paraId="351E42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3175BE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r w14:paraId="1C45A0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597" w:type="pct"/>
                  <w:vMerge w:val="continue"/>
                  <w:tcBorders>
                    <w:tl2br w:val="nil"/>
                    <w:tr2bl w:val="nil"/>
                  </w:tcBorders>
                  <w:noWrap w:val="0"/>
                  <w:vAlign w:val="center"/>
                </w:tcPr>
                <w:p w14:paraId="4D4DC7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921" w:type="pct"/>
                  <w:tcBorders>
                    <w:tl2br w:val="nil"/>
                    <w:tr2bl w:val="nil"/>
                  </w:tcBorders>
                  <w:noWrap w:val="0"/>
                  <w:vAlign w:val="center"/>
                </w:tcPr>
                <w:p w14:paraId="75E538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总磷</w:t>
                  </w:r>
                </w:p>
              </w:tc>
              <w:tc>
                <w:tcPr>
                  <w:tcW w:w="750" w:type="pct"/>
                  <w:vMerge w:val="continue"/>
                  <w:tcBorders>
                    <w:tl2br w:val="nil"/>
                    <w:tr2bl w:val="nil"/>
                  </w:tcBorders>
                  <w:noWrap w:val="0"/>
                  <w:vAlign w:val="center"/>
                </w:tcPr>
                <w:p w14:paraId="1EC9B5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02" w:type="pct"/>
                  <w:tcBorders>
                    <w:tl2br w:val="nil"/>
                    <w:tr2bl w:val="nil"/>
                  </w:tcBorders>
                  <w:noWrap w:val="0"/>
                  <w:vAlign w:val="center"/>
                </w:tcPr>
                <w:p w14:paraId="135ECA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0.088</w:t>
                  </w:r>
                </w:p>
              </w:tc>
              <w:tc>
                <w:tcPr>
                  <w:tcW w:w="419" w:type="pct"/>
                  <w:tcBorders>
                    <w:tl2br w:val="nil"/>
                    <w:tr2bl w:val="nil"/>
                  </w:tcBorders>
                  <w:noWrap w:val="0"/>
                  <w:vAlign w:val="center"/>
                </w:tcPr>
                <w:p w14:paraId="48E667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r>
                    <w:rPr>
                      <w:rFonts w:hint="eastAsia" w:ascii="Times New Roman" w:hAnsi="Times New Roman" w:eastAsia="宋体" w:cs="Times New Roman"/>
                      <w:color w:val="000000"/>
                      <w:kern w:val="2"/>
                      <w:sz w:val="21"/>
                      <w:szCs w:val="21"/>
                      <w:lang w:val="en-US" w:eastAsia="zh-CN" w:bidi="ar-SA"/>
                    </w:rPr>
                    <w:t>3</w:t>
                  </w:r>
                </w:p>
              </w:tc>
              <w:tc>
                <w:tcPr>
                  <w:tcW w:w="609" w:type="pct"/>
                  <w:tcBorders>
                    <w:tl2br w:val="nil"/>
                    <w:tr2bl w:val="nil"/>
                  </w:tcBorders>
                  <w:noWrap w:val="0"/>
                  <w:vAlign w:val="center"/>
                </w:tcPr>
                <w:p w14:paraId="443492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0.293.</w:t>
                  </w:r>
                </w:p>
              </w:tc>
              <w:tc>
                <w:tcPr>
                  <w:tcW w:w="604" w:type="pct"/>
                  <w:tcBorders>
                    <w:tl2br w:val="nil"/>
                    <w:tr2bl w:val="nil"/>
                  </w:tcBorders>
                  <w:noWrap w:val="0"/>
                  <w:vAlign w:val="center"/>
                </w:tcPr>
                <w:p w14:paraId="1928D3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0</w:t>
                  </w:r>
                </w:p>
              </w:tc>
              <w:tc>
                <w:tcPr>
                  <w:tcW w:w="495" w:type="pct"/>
                  <w:tcBorders>
                    <w:tl2br w:val="nil"/>
                    <w:tr2bl w:val="nil"/>
                  </w:tcBorders>
                  <w:noWrap w:val="0"/>
                  <w:vAlign w:val="center"/>
                </w:tcPr>
                <w:p w14:paraId="3F5073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达标</w:t>
                  </w:r>
                </w:p>
              </w:tc>
            </w:tr>
          </w:tbl>
          <w:p w14:paraId="1BF89254">
            <w:pPr>
              <w:spacing w:line="520" w:lineRule="exact"/>
              <w:ind w:firstLine="480" w:firstLineChars="200"/>
              <w:rPr>
                <w:rFonts w:hint="default" w:ascii="Times New Roman" w:hAnsi="Times New Roman" w:eastAsia="宋体" w:cs="Times New Roman"/>
                <w:color w:val="000000"/>
                <w:lang w:val="zh-CN" w:eastAsia="zh-CN"/>
              </w:rPr>
            </w:pPr>
            <w:r>
              <w:rPr>
                <w:rFonts w:hint="default" w:ascii="Times New Roman" w:hAnsi="Times New Roman" w:eastAsia="宋体" w:cs="Times New Roman"/>
                <w:color w:val="000000"/>
                <w:highlight w:val="none"/>
                <w:lang w:val="zh-CN" w:eastAsia="zh-CN"/>
              </w:rPr>
              <w:t>由上表可知，20</w:t>
            </w:r>
            <w:r>
              <w:rPr>
                <w:rFonts w:hint="default" w:ascii="Times New Roman" w:hAnsi="Times New Roman" w:eastAsia="宋体" w:cs="Times New Roman"/>
                <w:color w:val="000000"/>
                <w:lang w:val="zh-CN" w:eastAsia="zh-CN"/>
              </w:rPr>
              <w:t>2</w:t>
            </w:r>
            <w:r>
              <w:rPr>
                <w:rFonts w:hint="eastAsia" w:ascii="Times New Roman" w:hAnsi="Times New Roman" w:eastAsia="宋体" w:cs="Times New Roman"/>
                <w:color w:val="000000"/>
                <w:lang w:val="en-US" w:eastAsia="zh-CN"/>
              </w:rPr>
              <w:t>3</w:t>
            </w:r>
            <w:r>
              <w:rPr>
                <w:rFonts w:hint="default" w:ascii="Times New Roman" w:hAnsi="Times New Roman" w:eastAsia="宋体" w:cs="Times New Roman"/>
                <w:color w:val="000000"/>
                <w:lang w:val="zh-CN" w:eastAsia="zh-CN"/>
              </w:rPr>
              <w:t>年1月-202</w:t>
            </w:r>
            <w:r>
              <w:rPr>
                <w:rFonts w:hint="eastAsia" w:ascii="Times New Roman" w:hAnsi="Times New Roman" w:eastAsia="宋体" w:cs="Times New Roman"/>
                <w:color w:val="000000"/>
                <w:lang w:val="en-US" w:eastAsia="zh-CN"/>
              </w:rPr>
              <w:t>3</w:t>
            </w:r>
            <w:r>
              <w:rPr>
                <w:rFonts w:hint="default" w:ascii="Times New Roman" w:hAnsi="Times New Roman" w:eastAsia="宋体" w:cs="Times New Roman"/>
                <w:color w:val="000000"/>
                <w:lang w:val="zh-CN" w:eastAsia="zh-CN"/>
              </w:rPr>
              <w:t>年</w:t>
            </w:r>
            <w:r>
              <w:rPr>
                <w:rFonts w:hint="eastAsia" w:ascii="Times New Roman" w:hAnsi="Times New Roman" w:eastAsia="宋体" w:cs="Times New Roman"/>
                <w:color w:val="000000"/>
                <w:lang w:val="en-US" w:eastAsia="zh-CN"/>
              </w:rPr>
              <w:t>12</w:t>
            </w:r>
            <w:r>
              <w:rPr>
                <w:rFonts w:hint="default" w:ascii="Times New Roman" w:hAnsi="Times New Roman" w:eastAsia="宋体" w:cs="Times New Roman"/>
                <w:color w:val="000000"/>
                <w:lang w:val="zh-CN" w:eastAsia="zh-CN"/>
              </w:rPr>
              <w:t>月</w:t>
            </w:r>
            <w:r>
              <w:rPr>
                <w:rFonts w:hint="eastAsia" w:ascii="Times New Roman" w:hAnsi="Times New Roman" w:eastAsia="宋体" w:cs="Times New Roman"/>
                <w:color w:val="000000"/>
                <w:lang w:val="en-US" w:eastAsia="zh-CN"/>
              </w:rPr>
              <w:t>马颊河南乐水文站</w:t>
            </w:r>
            <w:r>
              <w:rPr>
                <w:rFonts w:hint="default" w:ascii="Times New Roman" w:hAnsi="Times New Roman" w:eastAsia="宋体" w:cs="Times New Roman"/>
                <w:color w:val="000000"/>
                <w:lang w:val="en-US" w:eastAsia="zh-CN"/>
              </w:rPr>
              <w:t>断面</w:t>
            </w:r>
            <w:r>
              <w:rPr>
                <w:rFonts w:hint="default" w:ascii="Times New Roman" w:hAnsi="Times New Roman" w:eastAsia="宋体" w:cs="Times New Roman"/>
                <w:color w:val="000000"/>
                <w:lang w:val="zh-CN" w:eastAsia="zh-CN"/>
              </w:rPr>
              <w:t>监测</w:t>
            </w:r>
            <w:r>
              <w:rPr>
                <w:rFonts w:hint="eastAsia" w:ascii="Times New Roman" w:hAnsi="Times New Roman" w:eastAsia="宋体" w:cs="Times New Roman"/>
                <w:color w:val="000000"/>
                <w:lang w:val="zh-CN" w:eastAsia="zh-CN"/>
              </w:rPr>
              <w:t>高锰酸盐指数</w:t>
            </w:r>
            <w:r>
              <w:rPr>
                <w:rFonts w:hint="default" w:ascii="Times New Roman" w:hAnsi="Times New Roman" w:eastAsia="宋体" w:cs="Times New Roman"/>
                <w:color w:val="000000"/>
                <w:lang w:val="zh-CN" w:eastAsia="zh-CN"/>
              </w:rPr>
              <w:t>、氨氮、总磷浓度数据</w:t>
            </w:r>
            <w:r>
              <w:rPr>
                <w:rFonts w:hint="eastAsia" w:ascii="Times New Roman" w:hAnsi="Times New Roman" w:eastAsia="宋体" w:cs="Times New Roman"/>
                <w:color w:val="000000"/>
                <w:lang w:val="en-US" w:eastAsia="zh-CN"/>
              </w:rPr>
              <w:t>均满足</w:t>
            </w:r>
            <w:r>
              <w:rPr>
                <w:rFonts w:hint="default" w:ascii="Times New Roman" w:hAnsi="Times New Roman" w:eastAsia="宋体" w:cs="Times New Roman"/>
                <w:color w:val="000000"/>
                <w:lang w:val="zh-CN" w:eastAsia="zh-CN"/>
              </w:rPr>
              <w:t>《地表水环境质量标准》（GB3838-2002）</w:t>
            </w:r>
            <w:r>
              <w:rPr>
                <w:rFonts w:hint="eastAsia" w:ascii="Times New Roman" w:hAnsi="Times New Roman" w:eastAsia="宋体" w:cs="Times New Roman"/>
                <w:color w:val="000000"/>
                <w:lang w:val="zh-CN" w:eastAsia="zh-CN"/>
              </w:rPr>
              <w:t>Ⅳ</w:t>
            </w:r>
            <w:r>
              <w:rPr>
                <w:rFonts w:hint="default" w:ascii="Times New Roman" w:hAnsi="Times New Roman" w:eastAsia="宋体" w:cs="Times New Roman"/>
                <w:color w:val="000000"/>
                <w:lang w:val="zh-CN" w:eastAsia="zh-CN"/>
              </w:rPr>
              <w:t>类标准。</w:t>
            </w:r>
          </w:p>
          <w:p w14:paraId="431445DC">
            <w:pPr>
              <w:pStyle w:val="28"/>
              <w:spacing w:line="520" w:lineRule="exact"/>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3、声环境质量现状</w:t>
            </w:r>
          </w:p>
          <w:p w14:paraId="6AEF294F">
            <w:pPr>
              <w:spacing w:line="520" w:lineRule="exact"/>
              <w:ind w:firstLine="480" w:firstLineChars="200"/>
              <w:rPr>
                <w:rFonts w:hint="default" w:ascii="Times New Roman" w:hAnsi="Times New Roman" w:eastAsia="宋体" w:cs="Times New Roman"/>
                <w:color w:val="000000"/>
                <w:lang w:val="zh-CN" w:eastAsia="zh-CN"/>
              </w:rPr>
            </w:pPr>
            <w:r>
              <w:rPr>
                <w:rFonts w:hint="eastAsia" w:ascii="Times New Roman" w:hAnsi="Times New Roman" w:eastAsia="宋体" w:cs="Times New Roman"/>
                <w:color w:val="000000"/>
                <w:lang w:val="zh-CN" w:eastAsia="zh-CN"/>
              </w:rPr>
              <w:t>根据建设项目环境影响报告表编制技术指南（污染影响类）（试行）中相关规定“</w:t>
            </w:r>
            <w:r>
              <w:rPr>
                <w:rFonts w:hint="default" w:ascii="Times New Roman" w:hAnsi="Times New Roman" w:eastAsia="宋体" w:cs="Times New Roman"/>
                <w:color w:val="000000"/>
                <w:lang w:val="zh-CN" w:eastAsia="zh-CN"/>
              </w:rPr>
              <w:t>厂界外周边50米范围内存在声环境保护目标的建设项目，应监测保护目标声环境质量现状并评价达标情况</w:t>
            </w:r>
            <w:r>
              <w:rPr>
                <w:rFonts w:hint="eastAsia" w:ascii="Times New Roman" w:hAnsi="Times New Roman" w:eastAsia="宋体" w:cs="Times New Roman"/>
                <w:color w:val="000000"/>
                <w:lang w:val="zh-CN" w:eastAsia="zh-CN"/>
              </w:rPr>
              <w:t>”</w:t>
            </w:r>
            <w:r>
              <w:rPr>
                <w:rFonts w:hint="default" w:ascii="Times New Roman" w:hAnsi="Times New Roman" w:eastAsia="宋体" w:cs="Times New Roman"/>
                <w:color w:val="000000"/>
                <w:lang w:val="zh-CN" w:eastAsia="zh-CN"/>
              </w:rPr>
              <w:t>。</w:t>
            </w:r>
            <w:r>
              <w:rPr>
                <w:rFonts w:hint="eastAsia" w:ascii="Times New Roman" w:hAnsi="Times New Roman" w:eastAsia="宋体" w:cs="Times New Roman"/>
                <w:color w:val="000000"/>
                <w:lang w:val="en-US" w:eastAsia="zh-CN"/>
              </w:rPr>
              <w:t xml:space="preserve"> </w:t>
            </w:r>
            <w:r>
              <w:rPr>
                <w:rFonts w:hint="eastAsia" w:ascii="Times New Roman" w:hAnsi="Times New Roman" w:eastAsia="宋体" w:cs="Times New Roman"/>
                <w:color w:val="000000"/>
                <w:lang w:val="zh-CN" w:eastAsia="zh-CN"/>
              </w:rPr>
              <w:t>本项目周边</w:t>
            </w:r>
            <w:r>
              <w:rPr>
                <w:rFonts w:hint="eastAsia" w:ascii="Times New Roman" w:hAnsi="Times New Roman" w:eastAsia="宋体" w:cs="Times New Roman"/>
                <w:color w:val="000000"/>
                <w:lang w:val="en-US" w:eastAsia="zh-CN"/>
              </w:rPr>
              <w:t>50m范围内无环境敏感目标，故不再进行声环境质量现状检测</w:t>
            </w:r>
            <w:r>
              <w:rPr>
                <w:rFonts w:hint="default" w:ascii="Times New Roman" w:hAnsi="Times New Roman" w:eastAsia="宋体" w:cs="Times New Roman"/>
                <w:color w:val="000000"/>
                <w:lang w:val="zh-CN" w:eastAsia="zh-CN"/>
              </w:rPr>
              <w:t>。</w:t>
            </w:r>
          </w:p>
          <w:p w14:paraId="2D646071">
            <w:pPr>
              <w:pStyle w:val="28"/>
              <w:spacing w:line="520" w:lineRule="exact"/>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4、</w:t>
            </w:r>
            <w:r>
              <w:rPr>
                <w:rFonts w:hint="eastAsia" w:ascii="Times New Roman" w:hAnsi="Times New Roman" w:eastAsia="宋体" w:cs="Times New Roman"/>
                <w:b/>
                <w:bCs/>
                <w:color w:val="000000"/>
                <w:lang w:val="en-US" w:eastAsia="zh-CN" w:bidi="zh-CN"/>
              </w:rPr>
              <w:t>地下水、</w:t>
            </w:r>
            <w:r>
              <w:rPr>
                <w:rFonts w:hint="default" w:ascii="Times New Roman" w:hAnsi="Times New Roman" w:eastAsia="宋体" w:cs="Times New Roman"/>
                <w:b/>
                <w:bCs/>
                <w:color w:val="000000"/>
                <w:lang w:val="en-US" w:eastAsia="zh-CN" w:bidi="zh-CN"/>
              </w:rPr>
              <w:t>土壤环境质量现状</w:t>
            </w:r>
          </w:p>
          <w:p w14:paraId="7A7ED44D">
            <w:pPr>
              <w:spacing w:line="520" w:lineRule="exact"/>
              <w:ind w:firstLine="480" w:firstLineChars="200"/>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zh-CN" w:eastAsia="zh-CN"/>
              </w:rPr>
              <w:t>根据《建设项目环境影响报告表编制技术指南（污染影响类）（试行）》，原则上不开展环境质量现状调查。建设项目存在土壤、地下水环境污染途径的，应结合污染源、保护目标分布情况开展现状调查以留作背景值。本项目属于废旧轮胎综合利用</w:t>
            </w:r>
            <w:r>
              <w:rPr>
                <w:rFonts w:hint="eastAsia" w:ascii="Times New Roman" w:hAnsi="Times New Roman" w:eastAsia="宋体" w:cs="Times New Roman"/>
                <w:color w:val="000000"/>
                <w:lang w:val="en-US" w:eastAsia="zh-CN"/>
              </w:rPr>
              <w:t>项目</w:t>
            </w:r>
            <w:r>
              <w:rPr>
                <w:rFonts w:hint="eastAsia" w:ascii="Times New Roman" w:hAnsi="Times New Roman" w:eastAsia="宋体" w:cs="Times New Roman"/>
                <w:color w:val="000000"/>
                <w:lang w:val="zh-CN" w:eastAsia="zh-CN"/>
              </w:rPr>
              <w:t>，属于废弃资源综合利用业，项目建成后不存在地下水和土壤污染途径，故不再进行地下水、土壤环境质量现状监测。</w:t>
            </w:r>
          </w:p>
          <w:p w14:paraId="3AE51A56">
            <w:pPr>
              <w:pStyle w:val="28"/>
              <w:spacing w:line="520" w:lineRule="exact"/>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5、生态环境现状</w:t>
            </w:r>
          </w:p>
          <w:p w14:paraId="16EBA782">
            <w:pPr>
              <w:spacing w:line="520" w:lineRule="exact"/>
              <w:ind w:firstLine="480" w:firstLineChars="200"/>
              <w:rPr>
                <w:rFonts w:hint="default" w:ascii="Times New Roman" w:hAnsi="Times New Roman" w:eastAsia="宋体" w:cs="Times New Roman"/>
                <w:color w:val="000000"/>
                <w:lang w:val="zh-CN" w:eastAsia="zh-CN"/>
              </w:rPr>
            </w:pPr>
            <w:r>
              <w:rPr>
                <w:rFonts w:hint="default" w:ascii="Times New Roman" w:hAnsi="Times New Roman" w:eastAsia="宋体" w:cs="Times New Roman"/>
                <w:color w:val="000000"/>
                <w:lang w:val="zh-CN" w:eastAsia="zh-CN"/>
              </w:rPr>
              <w:t>由于长期人为活动和自然条件的影响，区域内已无珍稀动植物存在，同时评价调查项目所在地附近无划定的风景名胜区、自然保护区及文化遗产等特殊保护目标。</w:t>
            </w:r>
          </w:p>
          <w:p w14:paraId="04F92F8D">
            <w:pPr>
              <w:pStyle w:val="28"/>
              <w:spacing w:line="520" w:lineRule="exact"/>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6、电磁辐射</w:t>
            </w:r>
          </w:p>
          <w:p w14:paraId="26ED751A">
            <w:pPr>
              <w:keepLines w:val="0"/>
              <w:pageBreakBefore w:val="0"/>
              <w:widowControl w:val="0"/>
              <w:kinsoku/>
              <w:wordWrap/>
              <w:topLinePunct w:val="0"/>
              <w:autoSpaceDE/>
              <w:autoSpaceDN/>
              <w:bidi w:val="0"/>
              <w:adjustRightInd w:val="0"/>
              <w:snapToGrid w:val="0"/>
              <w:spacing w:line="480" w:lineRule="exact"/>
              <w:ind w:left="0" w:firstLine="480" w:firstLineChars="200"/>
              <w:jc w:val="left"/>
              <w:textAlignment w:val="auto"/>
              <w:rPr>
                <w:rFonts w:hint="default" w:ascii="Times New Roman" w:hAnsi="Times New Roman" w:eastAsia="宋体" w:cs="Times New Roman"/>
                <w:kern w:val="0"/>
                <w:sz w:val="21"/>
                <w:szCs w:val="21"/>
              </w:rPr>
            </w:pPr>
            <w:r>
              <w:rPr>
                <w:rFonts w:hint="eastAsia" w:ascii="Times New Roman" w:hAnsi="Times New Roman" w:eastAsia="宋体" w:cs="Times New Roman"/>
                <w:color w:val="000000"/>
                <w:lang w:val="en-US" w:eastAsia="zh-CN"/>
              </w:rPr>
              <w:t>本项目不涉及</w:t>
            </w:r>
            <w:r>
              <w:rPr>
                <w:rFonts w:hint="default" w:ascii="Times New Roman" w:hAnsi="Times New Roman" w:eastAsia="宋体" w:cs="Times New Roman"/>
                <w:color w:val="000000"/>
                <w:lang w:val="en-US" w:eastAsia="zh-CN"/>
              </w:rPr>
              <w:t>电磁辐射</w:t>
            </w:r>
            <w:r>
              <w:rPr>
                <w:rFonts w:hint="default" w:ascii="Times New Roman" w:hAnsi="Times New Roman" w:eastAsia="宋体" w:cs="Times New Roman"/>
                <w:color w:val="000000"/>
                <w:lang w:val="zh-CN" w:eastAsia="zh-CN"/>
              </w:rPr>
              <w:t>。</w:t>
            </w:r>
          </w:p>
        </w:tc>
      </w:tr>
      <w:tr w14:paraId="262161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3" w:hRule="atLeast"/>
          <w:jc w:val="center"/>
        </w:trPr>
        <w:tc>
          <w:tcPr>
            <w:tcW w:w="800" w:type="dxa"/>
            <w:noWrap w:val="0"/>
            <w:vAlign w:val="center"/>
          </w:tcPr>
          <w:p w14:paraId="617067CA">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环境</w:t>
            </w:r>
          </w:p>
          <w:p w14:paraId="04E8A1DA">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保护</w:t>
            </w:r>
          </w:p>
          <w:p w14:paraId="4DD8DAE2">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目标</w:t>
            </w:r>
          </w:p>
        </w:tc>
        <w:tc>
          <w:tcPr>
            <w:tcW w:w="8190" w:type="dxa"/>
            <w:noWrap w:val="0"/>
            <w:vAlign w:val="top"/>
          </w:tcPr>
          <w:p w14:paraId="79E555F7">
            <w:pPr>
              <w:pStyle w:val="28"/>
              <w:spacing w:line="520" w:lineRule="exact"/>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主要环境保护目标（列出名单及保护级别）：</w:t>
            </w:r>
          </w:p>
          <w:p w14:paraId="673F4377">
            <w:pPr>
              <w:spacing w:line="520" w:lineRule="exact"/>
              <w:ind w:firstLine="480" w:firstLineChars="200"/>
              <w:rPr>
                <w:rFonts w:hint="default" w:ascii="Times New Roman" w:hAnsi="Times New Roman" w:eastAsia="宋体" w:cs="Times New Roman"/>
                <w:kern w:val="0"/>
                <w:szCs w:val="21"/>
              </w:rPr>
            </w:pPr>
            <w:r>
              <w:rPr>
                <w:rFonts w:hint="default" w:ascii="Times New Roman" w:hAnsi="Times New Roman" w:eastAsia="宋体" w:cs="Times New Roman"/>
                <w:color w:val="000000"/>
                <w:lang w:val="zh-CN" w:eastAsia="zh-CN"/>
              </w:rPr>
              <w:t>根据现场调查，厂界外500米范围内</w:t>
            </w:r>
            <w:r>
              <w:rPr>
                <w:rFonts w:hint="default" w:ascii="Times New Roman" w:hAnsi="Times New Roman" w:eastAsia="宋体" w:cs="Times New Roman"/>
                <w:color w:val="000000"/>
                <w:lang w:val="en-US" w:eastAsia="zh-CN"/>
              </w:rPr>
              <w:t>无自然保护区、风景名胜区、居住区、文化区和农村地区中人群较集中的区域等保护目标。厂界外50米范围内无声环境保护目标，厂界外500米范围内未发现地下水集中式饮用水水源和热水、矿泉水、温泉等特殊地下水资源。</w:t>
            </w:r>
          </w:p>
        </w:tc>
      </w:tr>
      <w:tr w14:paraId="75DCA0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tcMar>
              <w:left w:w="28" w:type="dxa"/>
              <w:right w:w="28" w:type="dxa"/>
            </w:tcMar>
            <w:vAlign w:val="center"/>
          </w:tcPr>
          <w:p w14:paraId="6E4D24B3">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污染</w:t>
            </w:r>
          </w:p>
          <w:p w14:paraId="22F5487A">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物排</w:t>
            </w:r>
          </w:p>
          <w:p w14:paraId="5C17ED50">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放控</w:t>
            </w:r>
          </w:p>
          <w:p w14:paraId="37B2FE18">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制标</w:t>
            </w:r>
          </w:p>
          <w:p w14:paraId="4DD21335">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准</w:t>
            </w:r>
          </w:p>
        </w:tc>
        <w:tc>
          <w:tcPr>
            <w:tcW w:w="8190" w:type="dxa"/>
            <w:noWrap w:val="0"/>
            <w:vAlign w:val="top"/>
          </w:tcPr>
          <w:p w14:paraId="1285B83A">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1、</w:t>
            </w:r>
            <w:r>
              <w:rPr>
                <w:rFonts w:hint="default" w:ascii="Times New Roman" w:hAnsi="Times New Roman" w:eastAsia="宋体" w:cs="Times New Roman"/>
                <w:b/>
                <w:bCs/>
                <w:color w:val="000000"/>
                <w:lang w:val="en-US" w:eastAsia="zh-CN" w:bidi="zh-CN"/>
              </w:rPr>
              <w:t>废气</w:t>
            </w:r>
          </w:p>
          <w:p w14:paraId="362A64E3">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zh-CN" w:eastAsia="zh-CN"/>
              </w:rPr>
              <w:t xml:space="preserve">本项目属于废旧轮胎的再生利用，属于“轮胎翻新及再生胶生产企业”，不在《橡胶制品工业污染物排放标准》（GB27632-2011）规定的行业里。项目运营期大气污染物颗粒物排放执行《大气污染物综合排放标准》（GB16297-1996）表 </w:t>
            </w:r>
            <w:r>
              <w:rPr>
                <w:rFonts w:hint="eastAsia" w:ascii="Times New Roman" w:hAnsi="Times New Roman" w:eastAsia="宋体" w:cs="Times New Roman"/>
                <w:color w:val="000000"/>
                <w:lang w:val="en-US" w:eastAsia="zh-CN"/>
              </w:rPr>
              <w:t>2</w:t>
            </w:r>
            <w:r>
              <w:rPr>
                <w:rFonts w:hint="default" w:ascii="Times New Roman" w:hAnsi="Times New Roman" w:eastAsia="宋体" w:cs="Times New Roman"/>
                <w:color w:val="000000"/>
                <w:lang w:val="zh-CN" w:eastAsia="zh-CN"/>
              </w:rPr>
              <w:t xml:space="preserve"> 中二级标准</w:t>
            </w:r>
            <w:r>
              <w:rPr>
                <w:rFonts w:hint="default" w:ascii="Times New Roman" w:hAnsi="Times New Roman" w:eastAsia="宋体" w:cs="Times New Roman"/>
                <w:color w:val="000000"/>
                <w:lang w:val="en-US" w:eastAsia="zh-CN"/>
              </w:rPr>
              <w:t>。</w:t>
            </w:r>
          </w:p>
          <w:p w14:paraId="5421EFD6">
            <w:pPr>
              <w:keepNext w:val="0"/>
              <w:keepLines w:val="0"/>
              <w:pageBreakBefore w:val="0"/>
              <w:widowControl w:val="0"/>
              <w:kinsoku/>
              <w:wordWrap/>
              <w:overflowPunct/>
              <w:topLinePunct w:val="0"/>
              <w:autoSpaceDE/>
              <w:autoSpaceDN/>
              <w:bidi w:val="0"/>
              <w:adjustRightInd/>
              <w:snapToGrid/>
              <w:spacing w:line="480" w:lineRule="exact"/>
              <w:ind w:firstLine="422" w:firstLineChars="20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eastAsia" w:ascii="Times New Roman" w:hAnsi="Times New Roman" w:eastAsia="宋体" w:cs="Times New Roman"/>
                <w:b/>
                <w:bCs/>
                <w:kern w:val="2"/>
                <w:sz w:val="21"/>
                <w:szCs w:val="21"/>
                <w:lang w:val="en-US" w:eastAsia="zh-CN" w:bidi="ar-SA"/>
              </w:rPr>
              <w:t>3-3</w:t>
            </w:r>
            <w:r>
              <w:rPr>
                <w:rFonts w:hint="default" w:ascii="Times New Roman" w:hAnsi="Times New Roman" w:eastAsia="宋体" w:cs="Times New Roman"/>
                <w:b/>
                <w:bCs/>
                <w:kern w:val="2"/>
                <w:sz w:val="21"/>
                <w:szCs w:val="21"/>
                <w:lang w:val="en-US" w:eastAsia="zh-CN" w:bidi="ar-SA"/>
              </w:rPr>
              <w:t xml:space="preserve">  </w:t>
            </w:r>
            <w:r>
              <w:rPr>
                <w:rFonts w:hint="eastAsia" w:ascii="Times New Roman" w:hAnsi="Times New Roman" w:eastAsia="宋体" w:cs="Times New Roman"/>
                <w:b/>
                <w:bCs/>
                <w:kern w:val="2"/>
                <w:sz w:val="21"/>
                <w:szCs w:val="21"/>
                <w:lang w:val="en-US" w:eastAsia="zh-CN" w:bidi="ar-SA"/>
              </w:rPr>
              <w:t>大气</w:t>
            </w:r>
            <w:r>
              <w:rPr>
                <w:rFonts w:hint="default" w:ascii="Times New Roman" w:hAnsi="Times New Roman" w:eastAsia="宋体" w:cs="Times New Roman"/>
                <w:b/>
                <w:bCs/>
                <w:kern w:val="2"/>
                <w:sz w:val="21"/>
                <w:szCs w:val="21"/>
                <w:lang w:val="en-US" w:eastAsia="zh-CN" w:bidi="ar-SA"/>
              </w:rPr>
              <w:t>污染物</w:t>
            </w:r>
            <w:r>
              <w:rPr>
                <w:rFonts w:hint="eastAsia" w:ascii="Times New Roman" w:hAnsi="Times New Roman" w:eastAsia="宋体" w:cs="Times New Roman"/>
                <w:b/>
                <w:bCs/>
                <w:kern w:val="2"/>
                <w:sz w:val="21"/>
                <w:szCs w:val="21"/>
                <w:lang w:val="en-US" w:eastAsia="zh-CN" w:bidi="ar-SA"/>
              </w:rPr>
              <w:t>综合</w:t>
            </w:r>
            <w:r>
              <w:rPr>
                <w:rFonts w:hint="default" w:ascii="Times New Roman" w:hAnsi="Times New Roman" w:eastAsia="宋体" w:cs="Times New Roman"/>
                <w:b/>
                <w:bCs/>
                <w:kern w:val="2"/>
                <w:sz w:val="21"/>
                <w:szCs w:val="21"/>
                <w:lang w:val="en-US" w:eastAsia="zh-CN" w:bidi="ar-SA"/>
              </w:rPr>
              <w:t>排放标准</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0"/>
              <w:gridCol w:w="1296"/>
              <w:gridCol w:w="1084"/>
              <w:gridCol w:w="1162"/>
              <w:gridCol w:w="1374"/>
              <w:gridCol w:w="1585"/>
            </w:tblGrid>
            <w:tr w14:paraId="24BF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854" w:type="pct"/>
                  <w:vMerge w:val="restart"/>
                  <w:noWrap w:val="0"/>
                  <w:vAlign w:val="center"/>
                </w:tcPr>
                <w:p w14:paraId="7638AE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污染物</w:t>
                  </w:r>
                </w:p>
              </w:tc>
              <w:tc>
                <w:tcPr>
                  <w:tcW w:w="826" w:type="pct"/>
                  <w:vMerge w:val="restart"/>
                  <w:noWrap w:val="0"/>
                  <w:vAlign w:val="center"/>
                </w:tcPr>
                <w:p w14:paraId="02C8A9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最高允许</w:t>
                  </w:r>
                  <w:r>
                    <w:rPr>
                      <w:rFonts w:hint="default" w:ascii="Times New Roman" w:hAnsi="Times New Roman" w:eastAsia="宋体" w:cs="Times New Roman"/>
                      <w:color w:val="000000"/>
                      <w:kern w:val="2"/>
                      <w:sz w:val="21"/>
                      <w:szCs w:val="21"/>
                      <w:lang w:val="en-US" w:eastAsia="zh-CN" w:bidi="ar-SA"/>
                    </w:rPr>
                    <w:t>排放浓度（mg/</w:t>
                  </w:r>
                  <w:r>
                    <w:rPr>
                      <w:rFonts w:hint="eastAsia" w:ascii="Times New Roman" w:hAnsi="Times New Roman" w:eastAsia="宋体"/>
                      <w:color w:val="000000"/>
                      <w:lang w:val="en-US" w:eastAsia="zh-CN"/>
                    </w:rPr>
                    <w:t>m³</w:t>
                  </w:r>
                  <w:r>
                    <w:rPr>
                      <w:rFonts w:hint="default" w:ascii="Times New Roman" w:hAnsi="Times New Roman" w:eastAsia="宋体" w:cs="Times New Roman"/>
                      <w:color w:val="000000"/>
                      <w:kern w:val="2"/>
                      <w:sz w:val="21"/>
                      <w:szCs w:val="21"/>
                      <w:lang w:val="en-US" w:eastAsia="zh-CN" w:bidi="ar-SA"/>
                    </w:rPr>
                    <w:t>）</w:t>
                  </w:r>
                </w:p>
              </w:tc>
              <w:tc>
                <w:tcPr>
                  <w:tcW w:w="1432" w:type="pct"/>
                  <w:gridSpan w:val="2"/>
                  <w:noWrap w:val="0"/>
                  <w:vAlign w:val="center"/>
                </w:tcPr>
                <w:p w14:paraId="78055C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 xml:space="preserve">最高允许排放速率（kg/h） </w:t>
                  </w:r>
                </w:p>
              </w:tc>
              <w:tc>
                <w:tcPr>
                  <w:tcW w:w="1886" w:type="pct"/>
                  <w:gridSpan w:val="2"/>
                  <w:noWrap w:val="0"/>
                  <w:vAlign w:val="center"/>
                </w:tcPr>
                <w:p w14:paraId="4618030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无组织排放监控排放限制（mg/</w:t>
                  </w:r>
                  <w:r>
                    <w:rPr>
                      <w:rFonts w:hint="eastAsia" w:ascii="Times New Roman" w:hAnsi="Times New Roman" w:eastAsia="宋体"/>
                      <w:color w:val="000000"/>
                      <w:lang w:val="en-US" w:eastAsia="zh-CN"/>
                    </w:rPr>
                    <w:t>m³</w:t>
                  </w:r>
                  <w:r>
                    <w:rPr>
                      <w:rFonts w:hint="default" w:ascii="Times New Roman" w:hAnsi="Times New Roman" w:eastAsia="宋体" w:cs="Times New Roman"/>
                      <w:color w:val="000000"/>
                      <w:kern w:val="2"/>
                      <w:sz w:val="21"/>
                      <w:szCs w:val="21"/>
                      <w:lang w:val="en-US" w:eastAsia="zh-CN" w:bidi="ar-SA"/>
                    </w:rPr>
                    <w:t>）</w:t>
                  </w:r>
                </w:p>
              </w:tc>
            </w:tr>
            <w:tr w14:paraId="6961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854" w:type="pct"/>
                  <w:vMerge w:val="continue"/>
                  <w:noWrap w:val="0"/>
                  <w:vAlign w:val="center"/>
                </w:tcPr>
                <w:p w14:paraId="3E234B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826" w:type="pct"/>
                  <w:vMerge w:val="continue"/>
                  <w:noWrap w:val="0"/>
                  <w:vAlign w:val="center"/>
                </w:tcPr>
                <w:p w14:paraId="6248CA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c>
                <w:tcPr>
                  <w:tcW w:w="691" w:type="pct"/>
                  <w:noWrap w:val="0"/>
                  <w:vAlign w:val="center"/>
                </w:tcPr>
                <w:p w14:paraId="305941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排气筒（m）</w:t>
                  </w:r>
                </w:p>
              </w:tc>
              <w:tc>
                <w:tcPr>
                  <w:tcW w:w="740" w:type="pct"/>
                  <w:noWrap w:val="0"/>
                  <w:vAlign w:val="center"/>
                </w:tcPr>
                <w:p w14:paraId="4457C5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二级标准</w:t>
                  </w:r>
                </w:p>
              </w:tc>
              <w:tc>
                <w:tcPr>
                  <w:tcW w:w="876" w:type="pct"/>
                  <w:vMerge w:val="restart"/>
                  <w:noWrap w:val="0"/>
                  <w:vAlign w:val="center"/>
                </w:tcPr>
                <w:p w14:paraId="7B8E74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监控点</w:t>
                  </w:r>
                </w:p>
              </w:tc>
              <w:tc>
                <w:tcPr>
                  <w:tcW w:w="1010" w:type="pct"/>
                  <w:noWrap w:val="0"/>
                  <w:vAlign w:val="center"/>
                </w:tcPr>
                <w:p w14:paraId="3CE20A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浓度</w:t>
                  </w:r>
                  <w:r>
                    <w:rPr>
                      <w:rFonts w:hint="default" w:ascii="Times New Roman" w:hAnsi="Times New Roman" w:eastAsia="宋体" w:cs="Times New Roman"/>
                      <w:color w:val="000000"/>
                      <w:kern w:val="2"/>
                      <w:sz w:val="21"/>
                      <w:szCs w:val="21"/>
                      <w:lang w:val="en-US" w:eastAsia="zh-CN" w:bidi="ar-SA"/>
                    </w:rPr>
                    <w:t>（mg/</w:t>
                  </w:r>
                  <w:r>
                    <w:rPr>
                      <w:rFonts w:hint="eastAsia" w:ascii="Times New Roman" w:hAnsi="Times New Roman" w:eastAsia="宋体"/>
                      <w:color w:val="000000"/>
                      <w:lang w:val="en-US" w:eastAsia="zh-CN"/>
                    </w:rPr>
                    <w:t>m³</w:t>
                  </w:r>
                  <w:r>
                    <w:rPr>
                      <w:rFonts w:hint="default" w:ascii="Times New Roman" w:hAnsi="Times New Roman" w:eastAsia="宋体" w:cs="Times New Roman"/>
                      <w:color w:val="000000"/>
                      <w:kern w:val="2"/>
                      <w:sz w:val="21"/>
                      <w:szCs w:val="21"/>
                      <w:lang w:val="en-US" w:eastAsia="zh-CN" w:bidi="ar-SA"/>
                    </w:rPr>
                    <w:t>）</w:t>
                  </w:r>
                </w:p>
              </w:tc>
            </w:tr>
            <w:tr w14:paraId="7A7CF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noWrap w:val="0"/>
                  <w:vAlign w:val="center"/>
                </w:tcPr>
                <w:p w14:paraId="22E464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颗粒物</w:t>
                  </w:r>
                </w:p>
              </w:tc>
              <w:tc>
                <w:tcPr>
                  <w:tcW w:w="826" w:type="pct"/>
                  <w:noWrap w:val="0"/>
                  <w:vAlign w:val="center"/>
                </w:tcPr>
                <w:p w14:paraId="425E03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120</w:t>
                  </w:r>
                </w:p>
              </w:tc>
              <w:tc>
                <w:tcPr>
                  <w:tcW w:w="691" w:type="pct"/>
                  <w:noWrap w:val="0"/>
                  <w:vAlign w:val="center"/>
                </w:tcPr>
                <w:p w14:paraId="555538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15</w:t>
                  </w:r>
                </w:p>
              </w:tc>
              <w:tc>
                <w:tcPr>
                  <w:tcW w:w="740" w:type="pct"/>
                  <w:noWrap w:val="0"/>
                  <w:vAlign w:val="center"/>
                </w:tcPr>
                <w:p w14:paraId="76A61F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3.5</w:t>
                  </w:r>
                </w:p>
              </w:tc>
              <w:tc>
                <w:tcPr>
                  <w:tcW w:w="876" w:type="pct"/>
                  <w:noWrap w:val="0"/>
                  <w:vAlign w:val="center"/>
                </w:tcPr>
                <w:p w14:paraId="66C65B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周界外浓度最高点</w:t>
                  </w:r>
                </w:p>
              </w:tc>
              <w:tc>
                <w:tcPr>
                  <w:tcW w:w="1010" w:type="pct"/>
                  <w:noWrap w:val="0"/>
                  <w:vAlign w:val="center"/>
                </w:tcPr>
                <w:p w14:paraId="29B116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1.0</w:t>
                  </w:r>
                </w:p>
              </w:tc>
            </w:tr>
          </w:tbl>
          <w:p w14:paraId="2D3C9FC5">
            <w:pPr>
              <w:keepNext w:val="0"/>
              <w:keepLines w:val="0"/>
              <w:pageBreakBefore w:val="0"/>
              <w:widowControl w:val="0"/>
              <w:kinsoku/>
              <w:wordWrap/>
              <w:overflowPunct/>
              <w:topLinePunct w:val="0"/>
              <w:autoSpaceDE/>
              <w:autoSpaceDN/>
              <w:bidi w:val="0"/>
              <w:adjustRightInd/>
              <w:snapToGrid/>
              <w:spacing w:line="480" w:lineRule="exact"/>
              <w:ind w:firstLine="422" w:firstLineChars="200"/>
              <w:jc w:val="left"/>
              <w:textAlignment w:val="auto"/>
              <w:rPr>
                <w:rFonts w:hint="default" w:ascii="Times New Roman" w:hAnsi="Times New Roman" w:eastAsia="宋体" w:cs="Times New Roman"/>
                <w:b/>
                <w:bCs/>
                <w:color w:val="000000"/>
                <w:u w:val="single"/>
                <w:lang w:val="en-US" w:eastAsia="zh-CN"/>
              </w:rPr>
            </w:pPr>
            <w:r>
              <w:rPr>
                <w:rFonts w:hint="eastAsia" w:cs="Times New Roman"/>
                <w:b/>
                <w:bCs/>
                <w:kern w:val="2"/>
                <w:sz w:val="21"/>
                <w:szCs w:val="21"/>
                <w:lang w:val="en-US" w:eastAsia="zh-CN" w:bidi="ar-SA"/>
              </w:rPr>
              <w:t xml:space="preserve"> </w:t>
            </w:r>
            <w:r>
              <w:rPr>
                <w:rFonts w:hint="eastAsia" w:ascii="Times New Roman" w:hAnsi="Times New Roman" w:eastAsia="宋体" w:cs="Times New Roman"/>
                <w:b/>
                <w:bCs/>
                <w:color w:val="000000"/>
                <w:u w:val="single"/>
                <w:lang w:val="en-US" w:eastAsia="zh-CN"/>
              </w:rPr>
              <w:t>根据濮阳市2021年重污染天气通用行业应急减排措施制定技术指南（试行）》涉颗粒物企业</w:t>
            </w:r>
            <w:r>
              <w:rPr>
                <w:rFonts w:hint="eastAsia" w:cs="Times New Roman"/>
                <w:b/>
                <w:bCs/>
                <w:color w:val="000000"/>
                <w:u w:val="single"/>
                <w:lang w:val="en-US" w:eastAsia="zh-CN"/>
              </w:rPr>
              <w:t>B</w:t>
            </w:r>
            <w:r>
              <w:rPr>
                <w:rFonts w:hint="eastAsia" w:ascii="Times New Roman" w:hAnsi="Times New Roman" w:eastAsia="宋体" w:cs="Times New Roman"/>
                <w:b/>
                <w:bCs/>
                <w:color w:val="000000"/>
                <w:u w:val="single"/>
                <w:lang w:val="en-US" w:eastAsia="zh-CN"/>
              </w:rPr>
              <w:t>级指标要求</w:t>
            </w:r>
            <w:r>
              <w:rPr>
                <w:rFonts w:hint="eastAsia" w:cs="Times New Roman"/>
                <w:b/>
                <w:bCs/>
                <w:color w:val="000000"/>
                <w:u w:val="single"/>
                <w:lang w:val="en-US" w:eastAsia="zh-CN"/>
              </w:rPr>
              <w:t>，全厂有组织PM排放浓度限值≤10mg/m</w:t>
            </w:r>
            <w:r>
              <w:rPr>
                <w:rFonts w:hint="eastAsia" w:cs="Times New Roman"/>
                <w:b/>
                <w:bCs/>
                <w:color w:val="000000"/>
                <w:u w:val="single"/>
                <w:vertAlign w:val="superscript"/>
                <w:lang w:val="en-US" w:eastAsia="zh-CN"/>
              </w:rPr>
              <w:t>3</w:t>
            </w:r>
            <w:r>
              <w:rPr>
                <w:rFonts w:hint="default" w:ascii="Times New Roman" w:hAnsi="Times New Roman" w:eastAsia="宋体" w:cs="Times New Roman"/>
                <w:b/>
                <w:bCs/>
                <w:color w:val="000000"/>
                <w:u w:val="single"/>
                <w:lang w:val="en-US" w:eastAsia="zh-CN"/>
              </w:rPr>
              <w:t>。</w:t>
            </w:r>
          </w:p>
          <w:p w14:paraId="33F516C6">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firstLine="422" w:firstLineChars="200"/>
              <w:jc w:val="center"/>
              <w:textAlignment w:val="auto"/>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表3-</w:t>
            </w:r>
            <w:r>
              <w:rPr>
                <w:rFonts w:hint="eastAsia" w:cs="Times New Roman"/>
                <w:b/>
                <w:bCs/>
                <w:kern w:val="2"/>
                <w:sz w:val="21"/>
                <w:szCs w:val="21"/>
                <w:lang w:val="en-US" w:eastAsia="zh-CN" w:bidi="ar-SA"/>
              </w:rPr>
              <w:t>4</w:t>
            </w:r>
            <w:r>
              <w:rPr>
                <w:rFonts w:hint="default" w:ascii="Times New Roman" w:hAnsi="Times New Roman" w:eastAsia="宋体" w:cs="Times New Roman"/>
                <w:b/>
                <w:bCs/>
                <w:kern w:val="2"/>
                <w:sz w:val="21"/>
                <w:szCs w:val="21"/>
                <w:lang w:val="en-US" w:eastAsia="zh-CN" w:bidi="ar-SA"/>
              </w:rPr>
              <w:t xml:space="preserve"> </w:t>
            </w:r>
            <w:r>
              <w:rPr>
                <w:rFonts w:hint="eastAsia" w:ascii="Times New Roman" w:hAnsi="Times New Roman" w:eastAsia="宋体" w:cs="Times New Roman"/>
                <w:b/>
                <w:bCs/>
                <w:kern w:val="2"/>
                <w:sz w:val="21"/>
                <w:szCs w:val="21"/>
                <w:lang w:val="en-US" w:eastAsia="zh-CN" w:bidi="ar-SA"/>
              </w:rPr>
              <w:t>饮食业油排放标准（试行）</w:t>
            </w:r>
          </w:p>
          <w:tbl>
            <w:tblPr>
              <w:tblStyle w:val="17"/>
              <w:tblW w:w="49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62"/>
              <w:gridCol w:w="3138"/>
            </w:tblGrid>
            <w:tr w14:paraId="08D4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pct"/>
                  <w:noWrap w:val="0"/>
                  <w:vAlign w:val="center"/>
                </w:tcPr>
                <w:p w14:paraId="4B331D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规模</w:t>
                  </w:r>
                </w:p>
              </w:tc>
              <w:tc>
                <w:tcPr>
                  <w:tcW w:w="2011" w:type="pct"/>
                  <w:noWrap w:val="0"/>
                  <w:vAlign w:val="center"/>
                </w:tcPr>
                <w:p w14:paraId="75E7CE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小型</w:t>
                  </w:r>
                </w:p>
              </w:tc>
            </w:tr>
            <w:tr w14:paraId="02FCA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pct"/>
                  <w:noWrap w:val="0"/>
                  <w:vAlign w:val="center"/>
                </w:tcPr>
                <w:p w14:paraId="0171E5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基准灶头数</w:t>
                  </w:r>
                </w:p>
              </w:tc>
              <w:tc>
                <w:tcPr>
                  <w:tcW w:w="2011" w:type="pct"/>
                  <w:noWrap w:val="0"/>
                  <w:vAlign w:val="center"/>
                </w:tcPr>
                <w:p w14:paraId="561E25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1，&lt;3</w:t>
                  </w:r>
                </w:p>
              </w:tc>
            </w:tr>
            <w:tr w14:paraId="3EAC4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8" w:type="pct"/>
                  <w:noWrap w:val="0"/>
                  <w:vAlign w:val="center"/>
                </w:tcPr>
                <w:p w14:paraId="20B338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对应灶头总功率103J/h</w:t>
                  </w:r>
                </w:p>
              </w:tc>
              <w:tc>
                <w:tcPr>
                  <w:tcW w:w="2011" w:type="pct"/>
                  <w:noWrap w:val="0"/>
                  <w:vAlign w:val="center"/>
                </w:tcPr>
                <w:p w14:paraId="20F7CA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1.67，&lt;5.000</w:t>
                  </w:r>
                </w:p>
              </w:tc>
            </w:tr>
            <w:tr w14:paraId="66039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88" w:type="pct"/>
                  <w:noWrap w:val="0"/>
                  <w:vAlign w:val="center"/>
                </w:tcPr>
                <w:p w14:paraId="36E208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对应排气罩灶面投影面积（</w:t>
                  </w:r>
                  <w:r>
                    <w:rPr>
                      <w:rFonts w:hint="default" w:ascii="Times New Roman" w:hAnsi="Times New Roman" w:eastAsia="宋体" w:cs="Times New Roman"/>
                      <w:color w:val="000000"/>
                      <w:kern w:val="2"/>
                      <w:sz w:val="21"/>
                      <w:szCs w:val="21"/>
                      <w:lang w:val="en-US" w:eastAsia="zh-CN" w:bidi="ar-SA"/>
                    </w:rPr>
                    <w:t>m</w:t>
                  </w:r>
                  <w:r>
                    <w:rPr>
                      <w:rFonts w:hint="eastAsia" w:ascii="Times New Roman" w:hAnsi="Times New Roman" w:eastAsia="宋体" w:cs="Times New Roman"/>
                      <w:color w:val="000000"/>
                      <w:kern w:val="2"/>
                      <w:sz w:val="21"/>
                      <w:szCs w:val="21"/>
                      <w:vertAlign w:val="superscript"/>
                      <w:lang w:val="en-US" w:eastAsia="zh-CN" w:bidi="ar-SA"/>
                    </w:rPr>
                    <w:t>2</w:t>
                  </w:r>
                  <w:r>
                    <w:rPr>
                      <w:rFonts w:hint="eastAsia" w:ascii="Times New Roman" w:hAnsi="Times New Roman" w:eastAsia="宋体" w:cs="Times New Roman"/>
                      <w:color w:val="000000"/>
                      <w:kern w:val="2"/>
                      <w:sz w:val="21"/>
                      <w:szCs w:val="21"/>
                      <w:lang w:val="en-US" w:eastAsia="zh-CN" w:bidi="ar-SA"/>
                    </w:rPr>
                    <w:t>）</w:t>
                  </w:r>
                </w:p>
              </w:tc>
              <w:tc>
                <w:tcPr>
                  <w:tcW w:w="2011" w:type="pct"/>
                  <w:noWrap w:val="0"/>
                  <w:vAlign w:val="center"/>
                </w:tcPr>
                <w:p w14:paraId="6285F1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1.1，&lt;3.3</w:t>
                  </w:r>
                </w:p>
              </w:tc>
            </w:tr>
            <w:tr w14:paraId="3F45F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88" w:type="pct"/>
                  <w:noWrap w:val="0"/>
                  <w:vAlign w:val="center"/>
                </w:tcPr>
                <w:p w14:paraId="54C496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最高允许排放浓度（mg/</w:t>
                  </w:r>
                  <w:r>
                    <w:rPr>
                      <w:rFonts w:hint="default" w:ascii="Times New Roman" w:hAnsi="Times New Roman" w:eastAsia="宋体" w:cs="Times New Roman"/>
                      <w:color w:val="000000"/>
                      <w:kern w:val="2"/>
                      <w:sz w:val="21"/>
                      <w:szCs w:val="21"/>
                      <w:lang w:val="en-US" w:eastAsia="zh-CN" w:bidi="ar-SA"/>
                    </w:rPr>
                    <w:t>m</w:t>
                  </w:r>
                  <w:r>
                    <w:rPr>
                      <w:rFonts w:hint="default" w:ascii="Times New Roman" w:hAnsi="Times New Roman" w:eastAsia="宋体" w:cs="Times New Roman"/>
                      <w:color w:val="000000"/>
                      <w:kern w:val="2"/>
                      <w:sz w:val="21"/>
                      <w:szCs w:val="21"/>
                      <w:vertAlign w:val="superscript"/>
                      <w:lang w:val="en-US" w:eastAsia="zh-CN" w:bidi="ar-SA"/>
                    </w:rPr>
                    <w:t>3</w:t>
                  </w:r>
                  <w:r>
                    <w:rPr>
                      <w:rFonts w:hint="eastAsia" w:ascii="Times New Roman" w:hAnsi="Times New Roman" w:eastAsia="宋体" w:cs="Times New Roman"/>
                      <w:color w:val="000000"/>
                      <w:kern w:val="2"/>
                      <w:sz w:val="21"/>
                      <w:szCs w:val="21"/>
                      <w:lang w:val="en-US" w:eastAsia="zh-CN" w:bidi="ar-SA"/>
                    </w:rPr>
                    <w:t>）</w:t>
                  </w:r>
                </w:p>
              </w:tc>
              <w:tc>
                <w:tcPr>
                  <w:tcW w:w="2011" w:type="pct"/>
                  <w:noWrap w:val="0"/>
                  <w:vAlign w:val="center"/>
                </w:tcPr>
                <w:p w14:paraId="4C506A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2.0</w:t>
                  </w:r>
                </w:p>
              </w:tc>
            </w:tr>
            <w:tr w14:paraId="274B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2988" w:type="pct"/>
                  <w:noWrap w:val="0"/>
                  <w:vAlign w:val="center"/>
                </w:tcPr>
                <w:p w14:paraId="3C76B8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净化设施最低去除率（</w:t>
                  </w: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w:t>
                  </w:r>
                </w:p>
              </w:tc>
              <w:tc>
                <w:tcPr>
                  <w:tcW w:w="2011" w:type="pct"/>
                  <w:noWrap w:val="0"/>
                  <w:vAlign w:val="center"/>
                </w:tcPr>
                <w:p w14:paraId="346E2E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60</w:t>
                  </w:r>
                </w:p>
              </w:tc>
            </w:tr>
          </w:tbl>
          <w:p w14:paraId="2641D9AF">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highlight w:val="none"/>
                <w:u w:val="single"/>
                <w:lang w:val="en-US" w:eastAsia="zh-CN" w:bidi="zh-CN"/>
              </w:rPr>
              <w:t>2、</w:t>
            </w:r>
            <w:r>
              <w:rPr>
                <w:rFonts w:hint="eastAsia" w:ascii="Times New Roman" w:hAnsi="Times New Roman" w:cs="Times New Roman"/>
                <w:b/>
                <w:bCs/>
                <w:color w:val="000000"/>
                <w:highlight w:val="none"/>
                <w:u w:val="single"/>
                <w:lang w:val="en-US" w:eastAsia="zh-CN" w:bidi="zh-CN"/>
              </w:rPr>
              <w:t>废水</w:t>
            </w:r>
            <w:r>
              <w:rPr>
                <w:rFonts w:hint="default" w:ascii="Times New Roman" w:hAnsi="Times New Roman" w:eastAsia="宋体" w:cs="Times New Roman"/>
                <w:b/>
                <w:bCs/>
                <w:color w:val="000000"/>
                <w:highlight w:val="none"/>
                <w:u w:val="single"/>
                <w:lang w:val="en-US" w:eastAsia="zh-CN" w:bidi="zh-CN"/>
              </w:rPr>
              <w:t>：</w:t>
            </w:r>
          </w:p>
          <w:p w14:paraId="6EE87CFF">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jc w:val="center"/>
              <w:textAlignment w:val="auto"/>
              <w:rPr>
                <w:rFonts w:hint="default" w:ascii="Times New Roman" w:hAnsi="Times New Roman" w:eastAsia="宋体" w:cs="Times New Roman"/>
                <w:b/>
                <w:bCs/>
                <w:kern w:val="2"/>
                <w:sz w:val="21"/>
                <w:szCs w:val="21"/>
                <w:u w:val="single"/>
                <w:lang w:val="en-US" w:eastAsia="zh-CN" w:bidi="ar-SA"/>
              </w:rPr>
            </w:pPr>
            <w:r>
              <w:rPr>
                <w:rFonts w:hint="default" w:ascii="Times New Roman" w:hAnsi="Times New Roman" w:eastAsia="宋体" w:cs="Times New Roman"/>
                <w:b/>
                <w:bCs/>
                <w:kern w:val="2"/>
                <w:sz w:val="21"/>
                <w:szCs w:val="21"/>
                <w:u w:val="single"/>
                <w:lang w:val="en-US" w:eastAsia="zh-CN" w:bidi="ar-SA"/>
              </w:rPr>
              <w:t>表</w:t>
            </w:r>
            <w:r>
              <w:rPr>
                <w:rFonts w:hint="eastAsia" w:ascii="Times New Roman" w:hAnsi="Times New Roman" w:eastAsia="宋体" w:cs="Times New Roman"/>
                <w:b/>
                <w:bCs/>
                <w:kern w:val="2"/>
                <w:sz w:val="21"/>
                <w:szCs w:val="21"/>
                <w:u w:val="single"/>
                <w:lang w:val="en-US" w:eastAsia="zh-CN" w:bidi="ar-SA"/>
              </w:rPr>
              <w:t>3-</w:t>
            </w:r>
            <w:r>
              <w:rPr>
                <w:rFonts w:hint="eastAsia" w:cs="Times New Roman"/>
                <w:b/>
                <w:bCs/>
                <w:kern w:val="2"/>
                <w:sz w:val="21"/>
                <w:szCs w:val="21"/>
                <w:u w:val="single"/>
                <w:lang w:val="en-US" w:eastAsia="zh-CN" w:bidi="ar-SA"/>
              </w:rPr>
              <w:t>5</w:t>
            </w:r>
            <w:r>
              <w:rPr>
                <w:rFonts w:hint="default" w:ascii="Times New Roman" w:hAnsi="Times New Roman" w:eastAsia="宋体" w:cs="Times New Roman"/>
                <w:b/>
                <w:bCs/>
                <w:kern w:val="2"/>
                <w:sz w:val="21"/>
                <w:szCs w:val="21"/>
                <w:u w:val="single"/>
                <w:lang w:val="en-US" w:eastAsia="zh-CN" w:bidi="ar-SA"/>
              </w:rPr>
              <w:t xml:space="preserve">   </w:t>
            </w:r>
            <w:r>
              <w:rPr>
                <w:rFonts w:hint="eastAsia" w:cs="Times New Roman"/>
                <w:b/>
                <w:bCs/>
                <w:kern w:val="2"/>
                <w:sz w:val="21"/>
                <w:szCs w:val="21"/>
                <w:u w:val="single"/>
                <w:lang w:val="en-US" w:eastAsia="zh-CN" w:bidi="ar-SA"/>
              </w:rPr>
              <w:t>废水污染物排放</w:t>
            </w:r>
            <w:r>
              <w:rPr>
                <w:rFonts w:hint="default" w:ascii="Times New Roman" w:hAnsi="Times New Roman" w:eastAsia="宋体" w:cs="Times New Roman"/>
                <w:b/>
                <w:bCs/>
                <w:kern w:val="2"/>
                <w:sz w:val="21"/>
                <w:szCs w:val="21"/>
                <w:u w:val="single"/>
                <w:lang w:val="en-US" w:eastAsia="zh-CN" w:bidi="ar-SA"/>
              </w:rPr>
              <w:t>标准  单位：</w:t>
            </w:r>
            <w:r>
              <w:rPr>
                <w:rFonts w:hint="eastAsia" w:cs="Times New Roman"/>
                <w:b/>
                <w:bCs/>
                <w:kern w:val="2"/>
                <w:sz w:val="21"/>
                <w:szCs w:val="21"/>
                <w:u w:val="single"/>
                <w:lang w:val="en-US" w:eastAsia="zh-CN" w:bidi="ar-SA"/>
              </w:rPr>
              <w:t>mg/L，pH无量纲</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4"/>
              <w:gridCol w:w="768"/>
              <w:gridCol w:w="1272"/>
              <w:gridCol w:w="1056"/>
              <w:gridCol w:w="900"/>
              <w:gridCol w:w="984"/>
            </w:tblGrid>
            <w:tr w14:paraId="5D0C3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4" w:type="dxa"/>
                  <w:vAlign w:val="center"/>
                </w:tcPr>
                <w:p w14:paraId="58B42D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标准</w:t>
                  </w:r>
                </w:p>
              </w:tc>
              <w:tc>
                <w:tcPr>
                  <w:tcW w:w="768" w:type="dxa"/>
                  <w:vAlign w:val="center"/>
                </w:tcPr>
                <w:p w14:paraId="0051FC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pH</w:t>
                  </w:r>
                </w:p>
              </w:tc>
              <w:tc>
                <w:tcPr>
                  <w:tcW w:w="1272" w:type="dxa"/>
                  <w:vAlign w:val="center"/>
                </w:tcPr>
                <w:p w14:paraId="5018B20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COD</w:t>
                  </w:r>
                </w:p>
              </w:tc>
              <w:tc>
                <w:tcPr>
                  <w:tcW w:w="1056" w:type="dxa"/>
                  <w:vAlign w:val="center"/>
                </w:tcPr>
                <w:p w14:paraId="4D25C79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BOD</w:t>
                  </w:r>
                  <w:r>
                    <w:rPr>
                      <w:rFonts w:hint="default" w:ascii="Times New Roman" w:hAnsi="Times New Roman" w:eastAsia="宋体" w:cs="Times New Roman"/>
                      <w:b/>
                      <w:bCs/>
                      <w:color w:val="000000"/>
                      <w:kern w:val="2"/>
                      <w:sz w:val="21"/>
                      <w:szCs w:val="21"/>
                      <w:u w:val="single"/>
                      <w:vertAlign w:val="subscript"/>
                      <w:lang w:val="en-US" w:eastAsia="zh-CN" w:bidi="ar-SA"/>
                    </w:rPr>
                    <w:t>5</w:t>
                  </w:r>
                </w:p>
              </w:tc>
              <w:tc>
                <w:tcPr>
                  <w:tcW w:w="900" w:type="dxa"/>
                  <w:vAlign w:val="center"/>
                </w:tcPr>
                <w:p w14:paraId="55840B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SS</w:t>
                  </w:r>
                </w:p>
              </w:tc>
              <w:tc>
                <w:tcPr>
                  <w:tcW w:w="984" w:type="dxa"/>
                  <w:vAlign w:val="center"/>
                </w:tcPr>
                <w:p w14:paraId="7A7654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NH</w:t>
                  </w:r>
                  <w:r>
                    <w:rPr>
                      <w:rFonts w:hint="default" w:ascii="Times New Roman" w:hAnsi="Times New Roman" w:eastAsia="宋体" w:cs="Times New Roman"/>
                      <w:b/>
                      <w:bCs/>
                      <w:color w:val="000000"/>
                      <w:kern w:val="2"/>
                      <w:sz w:val="21"/>
                      <w:szCs w:val="21"/>
                      <w:u w:val="single"/>
                      <w:vertAlign w:val="subscript"/>
                      <w:lang w:val="en-US" w:eastAsia="zh-CN" w:bidi="ar-SA"/>
                    </w:rPr>
                    <w:t>3</w:t>
                  </w:r>
                  <w:r>
                    <w:rPr>
                      <w:rFonts w:hint="default" w:ascii="Times New Roman" w:hAnsi="Times New Roman" w:eastAsia="宋体" w:cs="Times New Roman"/>
                      <w:b/>
                      <w:bCs/>
                      <w:color w:val="000000"/>
                      <w:kern w:val="2"/>
                      <w:sz w:val="21"/>
                      <w:szCs w:val="21"/>
                      <w:u w:val="single"/>
                      <w:lang w:val="en-US" w:eastAsia="zh-CN" w:bidi="ar-SA"/>
                    </w:rPr>
                    <w:t>-N</w:t>
                  </w:r>
                </w:p>
              </w:tc>
            </w:tr>
            <w:tr w14:paraId="64C2F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4" w:type="dxa"/>
                  <w:vAlign w:val="center"/>
                </w:tcPr>
                <w:p w14:paraId="6B4FB1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《污水综合排放标准》（</w:t>
                  </w:r>
                  <w:r>
                    <w:rPr>
                      <w:rFonts w:hint="default" w:ascii="Times New Roman" w:hAnsi="Times New Roman" w:eastAsia="宋体" w:cs="Times New Roman"/>
                      <w:b/>
                      <w:bCs/>
                      <w:color w:val="000000"/>
                      <w:kern w:val="2"/>
                      <w:sz w:val="21"/>
                      <w:szCs w:val="21"/>
                      <w:u w:val="single"/>
                      <w:lang w:val="en-US" w:eastAsia="zh-CN" w:bidi="ar-SA"/>
                    </w:rPr>
                    <w:t>GB8978-1996</w:t>
                  </w:r>
                  <w:r>
                    <w:rPr>
                      <w:rFonts w:hint="eastAsia" w:ascii="Times New Roman" w:hAnsi="Times New Roman" w:eastAsia="宋体" w:cs="Times New Roman"/>
                      <w:b/>
                      <w:bCs/>
                      <w:color w:val="000000"/>
                      <w:kern w:val="2"/>
                      <w:sz w:val="21"/>
                      <w:szCs w:val="21"/>
                      <w:u w:val="single"/>
                      <w:lang w:val="en-US" w:eastAsia="zh-CN" w:bidi="ar-SA"/>
                    </w:rPr>
                    <w:t xml:space="preserve">）表 </w:t>
                  </w:r>
                  <w:r>
                    <w:rPr>
                      <w:rFonts w:hint="default" w:ascii="Times New Roman" w:hAnsi="Times New Roman" w:eastAsia="宋体" w:cs="Times New Roman"/>
                      <w:b/>
                      <w:bCs/>
                      <w:color w:val="000000"/>
                      <w:kern w:val="2"/>
                      <w:sz w:val="21"/>
                      <w:szCs w:val="21"/>
                      <w:u w:val="single"/>
                      <w:lang w:val="en-US" w:eastAsia="zh-CN" w:bidi="ar-SA"/>
                    </w:rPr>
                    <w:t xml:space="preserve">4 </w:t>
                  </w:r>
                  <w:r>
                    <w:rPr>
                      <w:rFonts w:hint="eastAsia" w:ascii="Times New Roman" w:hAnsi="Times New Roman" w:eastAsia="宋体" w:cs="Times New Roman"/>
                      <w:b/>
                      <w:bCs/>
                      <w:color w:val="000000"/>
                      <w:kern w:val="2"/>
                      <w:sz w:val="21"/>
                      <w:szCs w:val="21"/>
                      <w:u w:val="single"/>
                      <w:lang w:val="en-US" w:eastAsia="zh-CN" w:bidi="ar-SA"/>
                    </w:rPr>
                    <w:t>三级</w:t>
                  </w:r>
                </w:p>
              </w:tc>
              <w:tc>
                <w:tcPr>
                  <w:tcW w:w="768" w:type="dxa"/>
                  <w:vAlign w:val="center"/>
                </w:tcPr>
                <w:p w14:paraId="6BD8472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6-9</w:t>
                  </w:r>
                </w:p>
              </w:tc>
              <w:tc>
                <w:tcPr>
                  <w:tcW w:w="1272" w:type="dxa"/>
                  <w:vAlign w:val="center"/>
                </w:tcPr>
                <w:p w14:paraId="761A39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500</w:t>
                  </w:r>
                </w:p>
              </w:tc>
              <w:tc>
                <w:tcPr>
                  <w:tcW w:w="1056" w:type="dxa"/>
                  <w:vAlign w:val="center"/>
                </w:tcPr>
                <w:p w14:paraId="36C81D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300</w:t>
                  </w:r>
                </w:p>
              </w:tc>
              <w:tc>
                <w:tcPr>
                  <w:tcW w:w="900" w:type="dxa"/>
                  <w:vAlign w:val="center"/>
                </w:tcPr>
                <w:p w14:paraId="07098D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400</w:t>
                  </w:r>
                </w:p>
              </w:tc>
              <w:tc>
                <w:tcPr>
                  <w:tcW w:w="984" w:type="dxa"/>
                  <w:vAlign w:val="center"/>
                </w:tcPr>
                <w:p w14:paraId="5B8DDC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p>
              </w:tc>
            </w:tr>
            <w:tr w14:paraId="183A7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64" w:type="dxa"/>
                  <w:vAlign w:val="center"/>
                </w:tcPr>
                <w:p w14:paraId="606234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南乐县城污水处理厂</w:t>
                  </w:r>
                  <w:r>
                    <w:rPr>
                      <w:rFonts w:hint="eastAsia" w:ascii="Times New Roman" w:hAnsi="Times New Roman" w:eastAsia="宋体" w:cs="Times New Roman"/>
                      <w:b/>
                      <w:bCs/>
                      <w:color w:val="000000"/>
                      <w:kern w:val="2"/>
                      <w:sz w:val="21"/>
                      <w:szCs w:val="21"/>
                      <w:u w:val="single"/>
                      <w:lang w:val="en-US" w:eastAsia="zh-CN" w:bidi="ar-SA"/>
                    </w:rPr>
                    <w:t>收水标准</w:t>
                  </w:r>
                </w:p>
              </w:tc>
              <w:tc>
                <w:tcPr>
                  <w:tcW w:w="768" w:type="dxa"/>
                  <w:vAlign w:val="center"/>
                </w:tcPr>
                <w:p w14:paraId="3174DE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6-9</w:t>
                  </w:r>
                </w:p>
              </w:tc>
              <w:tc>
                <w:tcPr>
                  <w:tcW w:w="1272" w:type="dxa"/>
                  <w:shd w:val="clear" w:color="auto" w:fill="auto"/>
                  <w:vAlign w:val="center"/>
                </w:tcPr>
                <w:p w14:paraId="1DD6B3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400</w:t>
                  </w:r>
                </w:p>
              </w:tc>
              <w:tc>
                <w:tcPr>
                  <w:tcW w:w="1056" w:type="dxa"/>
                  <w:shd w:val="clear" w:color="auto" w:fill="auto"/>
                  <w:vAlign w:val="center"/>
                </w:tcPr>
                <w:p w14:paraId="228FBB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200</w:t>
                  </w:r>
                </w:p>
              </w:tc>
              <w:tc>
                <w:tcPr>
                  <w:tcW w:w="900" w:type="dxa"/>
                  <w:shd w:val="clear" w:color="auto" w:fill="auto"/>
                  <w:vAlign w:val="center"/>
                </w:tcPr>
                <w:p w14:paraId="751674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350</w:t>
                  </w:r>
                </w:p>
              </w:tc>
              <w:tc>
                <w:tcPr>
                  <w:tcW w:w="984" w:type="dxa"/>
                  <w:shd w:val="clear" w:color="auto" w:fill="auto"/>
                  <w:vAlign w:val="center"/>
                </w:tcPr>
                <w:p w14:paraId="54EF01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35</w:t>
                  </w:r>
                </w:p>
              </w:tc>
            </w:tr>
          </w:tbl>
          <w:p w14:paraId="2E71B70A">
            <w:pPr>
              <w:pStyle w:val="28"/>
              <w:spacing w:line="520" w:lineRule="exact"/>
              <w:jc w:val="left"/>
              <w:rPr>
                <w:rFonts w:hint="eastAsia" w:ascii="Times New Roman" w:hAnsi="Times New Roman" w:eastAsia="宋体" w:cs="Times New Roman"/>
                <w:b/>
                <w:bCs/>
                <w:color w:val="000000"/>
                <w:lang w:val="en-US" w:eastAsia="zh-CN" w:bidi="zh-CN"/>
              </w:rPr>
            </w:pPr>
          </w:p>
          <w:p w14:paraId="325C59A2">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cs="Times New Roman"/>
                <w:b/>
                <w:bCs/>
                <w:color w:val="000000"/>
                <w:lang w:val="en-US" w:eastAsia="zh-CN" w:bidi="zh-CN"/>
              </w:rPr>
              <w:t>3</w:t>
            </w:r>
            <w:r>
              <w:rPr>
                <w:rFonts w:hint="eastAsia" w:ascii="Times New Roman" w:hAnsi="Times New Roman" w:eastAsia="宋体" w:cs="Times New Roman"/>
                <w:b/>
                <w:bCs/>
                <w:color w:val="000000"/>
                <w:lang w:val="en-US" w:eastAsia="zh-CN" w:bidi="zh-CN"/>
              </w:rPr>
              <w:t>、</w:t>
            </w:r>
            <w:r>
              <w:rPr>
                <w:rFonts w:hint="default" w:ascii="Times New Roman" w:hAnsi="Times New Roman" w:eastAsia="宋体" w:cs="Times New Roman"/>
                <w:b/>
                <w:bCs/>
                <w:color w:val="000000"/>
                <w:lang w:val="en-US" w:eastAsia="zh-CN" w:bidi="zh-CN"/>
              </w:rPr>
              <w:t>噪声：</w:t>
            </w:r>
          </w:p>
          <w:p w14:paraId="6FB04CC7">
            <w:pPr>
              <w:spacing w:line="520" w:lineRule="exact"/>
              <w:ind w:firstLine="482" w:firstLineChars="200"/>
              <w:rPr>
                <w:rFonts w:hint="default" w:ascii="Times New Roman" w:hAnsi="Times New Roman" w:eastAsia="宋体" w:cs="Times New Roman"/>
                <w:color w:val="000000"/>
                <w:u w:val="single"/>
                <w:lang w:val="en-US" w:eastAsia="zh-CN"/>
              </w:rPr>
            </w:pPr>
            <w:r>
              <w:rPr>
                <w:rFonts w:hint="eastAsia" w:ascii="Times New Roman" w:hAnsi="Times New Roman" w:eastAsia="宋体" w:cs="Times New Roman"/>
                <w:b/>
                <w:bCs/>
                <w:color w:val="000000"/>
                <w:u w:val="single"/>
                <w:lang w:val="en-US" w:eastAsia="zh-CN"/>
              </w:rPr>
              <w:t>本项目</w:t>
            </w:r>
            <w:r>
              <w:rPr>
                <w:rFonts w:hint="default" w:ascii="Times New Roman" w:hAnsi="Times New Roman" w:eastAsia="宋体" w:cs="Times New Roman"/>
                <w:b/>
                <w:bCs/>
                <w:color w:val="000000"/>
                <w:u w:val="single"/>
                <w:lang w:val="zh-CN" w:eastAsia="zh-CN"/>
              </w:rPr>
              <w:t>营运期执行《工业企业厂界环境噪声排放标准》（GB</w:t>
            </w:r>
            <w:r>
              <w:rPr>
                <w:rFonts w:hint="default" w:ascii="Times New Roman" w:hAnsi="Times New Roman" w:eastAsia="宋体" w:cs="Times New Roman"/>
                <w:b/>
                <w:bCs/>
                <w:color w:val="000000"/>
                <w:u w:val="single"/>
                <w:lang w:val="en-US" w:eastAsia="zh-CN"/>
              </w:rPr>
              <w:t>12348</w:t>
            </w:r>
            <w:r>
              <w:rPr>
                <w:rFonts w:hint="default" w:ascii="Times New Roman" w:hAnsi="Times New Roman" w:eastAsia="宋体" w:cs="Times New Roman"/>
                <w:b/>
                <w:bCs/>
                <w:color w:val="000000"/>
                <w:u w:val="single"/>
                <w:lang w:val="zh-CN" w:eastAsia="zh-CN"/>
              </w:rPr>
              <w:t>-2008）</w:t>
            </w:r>
            <w:r>
              <w:rPr>
                <w:rFonts w:hint="eastAsia" w:cs="Times New Roman"/>
                <w:b/>
                <w:bCs/>
                <w:color w:val="000000"/>
                <w:u w:val="single"/>
                <w:lang w:val="en-US" w:eastAsia="zh-CN"/>
              </w:rPr>
              <w:t>3</w:t>
            </w:r>
            <w:r>
              <w:rPr>
                <w:rFonts w:hint="default" w:ascii="Times New Roman" w:hAnsi="Times New Roman" w:eastAsia="宋体" w:cs="Times New Roman"/>
                <w:b/>
                <w:bCs/>
                <w:color w:val="000000"/>
                <w:u w:val="single"/>
                <w:lang w:val="zh-CN" w:eastAsia="zh-CN"/>
              </w:rPr>
              <w:t>类标准（</w:t>
            </w:r>
            <w:r>
              <w:rPr>
                <w:rFonts w:hint="default" w:ascii="Times New Roman" w:hAnsi="Times New Roman" w:eastAsia="宋体" w:cs="Times New Roman"/>
                <w:b/>
                <w:bCs/>
                <w:color w:val="000000"/>
                <w:u w:val="single"/>
                <w:lang w:val="en-US" w:eastAsia="zh-CN"/>
              </w:rPr>
              <w:t>昼间≤6</w:t>
            </w:r>
            <w:r>
              <w:rPr>
                <w:rFonts w:hint="eastAsia" w:cs="Times New Roman"/>
                <w:b/>
                <w:bCs/>
                <w:color w:val="000000"/>
                <w:u w:val="single"/>
                <w:lang w:val="en-US" w:eastAsia="zh-CN"/>
              </w:rPr>
              <w:t>5</w:t>
            </w:r>
            <w:r>
              <w:rPr>
                <w:rFonts w:hint="default" w:ascii="Times New Roman" w:hAnsi="Times New Roman" w:eastAsia="宋体" w:cs="Times New Roman"/>
                <w:b/>
                <w:bCs/>
                <w:color w:val="000000"/>
                <w:u w:val="single"/>
                <w:lang w:val="en-US" w:eastAsia="zh-CN"/>
              </w:rPr>
              <w:t>dB（A），夜间≤5</w:t>
            </w:r>
            <w:r>
              <w:rPr>
                <w:rFonts w:hint="eastAsia" w:cs="Times New Roman"/>
                <w:b/>
                <w:bCs/>
                <w:color w:val="000000"/>
                <w:u w:val="single"/>
                <w:lang w:val="en-US" w:eastAsia="zh-CN"/>
              </w:rPr>
              <w:t>5</w:t>
            </w:r>
            <w:r>
              <w:rPr>
                <w:rFonts w:hint="default" w:ascii="Times New Roman" w:hAnsi="Times New Roman" w:eastAsia="宋体" w:cs="Times New Roman"/>
                <w:b/>
                <w:bCs/>
                <w:color w:val="000000"/>
                <w:u w:val="single"/>
                <w:lang w:val="en-US" w:eastAsia="zh-CN"/>
              </w:rPr>
              <w:t>dB（A）</w:t>
            </w:r>
            <w:r>
              <w:rPr>
                <w:rFonts w:hint="default" w:ascii="Times New Roman" w:hAnsi="Times New Roman" w:eastAsia="宋体" w:cs="Times New Roman"/>
                <w:b/>
                <w:bCs/>
                <w:color w:val="000000"/>
                <w:u w:val="single"/>
                <w:lang w:val="zh-CN" w:eastAsia="zh-CN"/>
              </w:rPr>
              <w:t>）</w:t>
            </w:r>
            <w:r>
              <w:rPr>
                <w:rFonts w:hint="eastAsia" w:ascii="Times New Roman" w:hAnsi="Times New Roman" w:eastAsia="宋体" w:cs="Times New Roman"/>
                <w:b/>
                <w:bCs/>
                <w:color w:val="000000"/>
                <w:u w:val="single"/>
                <w:lang w:val="zh-CN" w:eastAsia="zh-CN"/>
              </w:rPr>
              <w:t>。</w:t>
            </w:r>
          </w:p>
          <w:p w14:paraId="6C9F2E55">
            <w:pPr>
              <w:keepNext w:val="0"/>
              <w:keepLines w:val="0"/>
              <w:pageBreakBefore w:val="0"/>
              <w:widowControl w:val="0"/>
              <w:kinsoku/>
              <w:wordWrap/>
              <w:overflowPunct/>
              <w:topLinePunct w:val="0"/>
              <w:autoSpaceDE/>
              <w:autoSpaceDN/>
              <w:bidi w:val="0"/>
              <w:adjustRightInd w:val="0"/>
              <w:snapToGrid w:val="0"/>
              <w:spacing w:line="480" w:lineRule="exact"/>
              <w:ind w:firstLine="422" w:firstLineChars="20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w:t>
            </w:r>
            <w:r>
              <w:rPr>
                <w:rFonts w:hint="eastAsia" w:ascii="Times New Roman" w:hAnsi="Times New Roman" w:eastAsia="宋体" w:cs="Times New Roman"/>
                <w:b/>
                <w:bCs/>
                <w:kern w:val="2"/>
                <w:sz w:val="21"/>
                <w:szCs w:val="21"/>
                <w:lang w:val="en-US" w:eastAsia="zh-CN" w:bidi="ar-SA"/>
              </w:rPr>
              <w:t>3-</w:t>
            </w:r>
            <w:r>
              <w:rPr>
                <w:rFonts w:hint="eastAsia" w:cs="Times New Roman"/>
                <w:b/>
                <w:bCs/>
                <w:kern w:val="2"/>
                <w:sz w:val="21"/>
                <w:szCs w:val="21"/>
                <w:lang w:val="en-US" w:eastAsia="zh-CN" w:bidi="ar-SA"/>
              </w:rPr>
              <w:t>6</w:t>
            </w:r>
            <w:r>
              <w:rPr>
                <w:rFonts w:hint="default" w:ascii="Times New Roman" w:hAnsi="Times New Roman" w:eastAsia="宋体" w:cs="Times New Roman"/>
                <w:b/>
                <w:bCs/>
                <w:kern w:val="2"/>
                <w:sz w:val="21"/>
                <w:szCs w:val="21"/>
                <w:lang w:val="en-US" w:eastAsia="zh-CN" w:bidi="ar-SA"/>
              </w:rPr>
              <w:t xml:space="preserve">   噪声排放标准  单位：dB（A）</w:t>
            </w:r>
          </w:p>
          <w:tbl>
            <w:tblPr>
              <w:tblStyle w:val="17"/>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7"/>
              <w:gridCol w:w="2112"/>
              <w:gridCol w:w="1755"/>
            </w:tblGrid>
            <w:tr w14:paraId="0292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107" w:type="dxa"/>
                  <w:noWrap w:val="0"/>
                  <w:vAlign w:val="center"/>
                </w:tcPr>
                <w:p w14:paraId="009B75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类别</w:t>
                  </w:r>
                </w:p>
              </w:tc>
              <w:tc>
                <w:tcPr>
                  <w:tcW w:w="2112" w:type="dxa"/>
                  <w:noWrap w:val="0"/>
                  <w:vAlign w:val="center"/>
                </w:tcPr>
                <w:p w14:paraId="0EC71A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昼间</w:t>
                  </w:r>
                </w:p>
              </w:tc>
              <w:tc>
                <w:tcPr>
                  <w:tcW w:w="1755" w:type="dxa"/>
                  <w:noWrap w:val="0"/>
                  <w:vAlign w:val="center"/>
                </w:tcPr>
                <w:p w14:paraId="6D103F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夜间</w:t>
                  </w:r>
                </w:p>
              </w:tc>
            </w:tr>
            <w:tr w14:paraId="0DD3F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07" w:type="dxa"/>
                  <w:noWrap w:val="0"/>
                  <w:vAlign w:val="center"/>
                </w:tcPr>
                <w:p w14:paraId="0582C4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《工业企业厂界环境噪声排放标准》（GB12348-2008）</w:t>
                  </w:r>
                  <w:r>
                    <w:rPr>
                      <w:rFonts w:hint="eastAsia" w:cs="Times New Roman"/>
                      <w:b/>
                      <w:bCs/>
                      <w:color w:val="000000"/>
                      <w:kern w:val="2"/>
                      <w:sz w:val="21"/>
                      <w:szCs w:val="21"/>
                      <w:u w:val="single"/>
                      <w:lang w:val="en-US" w:eastAsia="zh-CN" w:bidi="ar-SA"/>
                    </w:rPr>
                    <w:t>3</w:t>
                  </w:r>
                  <w:r>
                    <w:rPr>
                      <w:rFonts w:hint="default" w:ascii="Times New Roman" w:hAnsi="Times New Roman" w:eastAsia="宋体" w:cs="Times New Roman"/>
                      <w:b/>
                      <w:bCs/>
                      <w:color w:val="000000"/>
                      <w:kern w:val="2"/>
                      <w:sz w:val="21"/>
                      <w:szCs w:val="21"/>
                      <w:u w:val="single"/>
                      <w:lang w:val="en-US" w:eastAsia="zh-CN" w:bidi="ar-SA"/>
                    </w:rPr>
                    <w:t>类</w:t>
                  </w:r>
                </w:p>
              </w:tc>
              <w:tc>
                <w:tcPr>
                  <w:tcW w:w="2112" w:type="dxa"/>
                  <w:noWrap w:val="0"/>
                  <w:vAlign w:val="center"/>
                </w:tcPr>
                <w:p w14:paraId="320632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6</w:t>
                  </w:r>
                  <w:r>
                    <w:rPr>
                      <w:rFonts w:hint="eastAsia" w:cs="Times New Roman"/>
                      <w:b/>
                      <w:bCs/>
                      <w:color w:val="000000"/>
                      <w:kern w:val="2"/>
                      <w:sz w:val="21"/>
                      <w:szCs w:val="21"/>
                      <w:u w:val="single"/>
                      <w:lang w:val="en-US" w:eastAsia="zh-CN" w:bidi="ar-SA"/>
                    </w:rPr>
                    <w:t>5</w:t>
                  </w:r>
                </w:p>
              </w:tc>
              <w:tc>
                <w:tcPr>
                  <w:tcW w:w="1755" w:type="dxa"/>
                  <w:noWrap w:val="0"/>
                  <w:vAlign w:val="center"/>
                </w:tcPr>
                <w:p w14:paraId="6485BC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5</w:t>
                  </w:r>
                  <w:r>
                    <w:rPr>
                      <w:rFonts w:hint="eastAsia" w:cs="Times New Roman"/>
                      <w:b/>
                      <w:bCs/>
                      <w:color w:val="000000"/>
                      <w:kern w:val="2"/>
                      <w:sz w:val="21"/>
                      <w:szCs w:val="21"/>
                      <w:u w:val="single"/>
                      <w:lang w:val="en-US" w:eastAsia="zh-CN" w:bidi="ar-SA"/>
                    </w:rPr>
                    <w:t>5</w:t>
                  </w:r>
                </w:p>
              </w:tc>
            </w:tr>
          </w:tbl>
          <w:p w14:paraId="257BBFA7">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3、</w:t>
            </w:r>
            <w:r>
              <w:rPr>
                <w:rFonts w:hint="default" w:ascii="Times New Roman" w:hAnsi="Times New Roman" w:eastAsia="宋体" w:cs="Times New Roman"/>
                <w:b/>
                <w:bCs/>
                <w:color w:val="000000"/>
                <w:lang w:val="en-US" w:eastAsia="zh-CN" w:bidi="zh-CN"/>
              </w:rPr>
              <w:t>固废：</w:t>
            </w:r>
          </w:p>
          <w:p w14:paraId="16B97294">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firstLine="480" w:firstLineChars="200"/>
              <w:jc w:val="both"/>
              <w:textAlignment w:val="auto"/>
              <w:rPr>
                <w:rFonts w:hint="eastAsia" w:cs="Times New Roman"/>
                <w:color w:val="000000"/>
                <w:lang w:val="en-US" w:eastAsia="zh-CN"/>
              </w:rPr>
            </w:pPr>
            <w:r>
              <w:rPr>
                <w:rFonts w:hint="eastAsia" w:ascii="Times New Roman" w:hAnsi="Times New Roman" w:eastAsia="宋体" w:cs="Times New Roman"/>
                <w:color w:val="000000"/>
                <w:lang w:val="en-US" w:eastAsia="zh-CN"/>
              </w:rPr>
              <w:t>本项目</w:t>
            </w:r>
            <w:r>
              <w:rPr>
                <w:rFonts w:hint="default" w:ascii="Times New Roman" w:hAnsi="Times New Roman" w:eastAsia="宋体" w:cs="Times New Roman"/>
                <w:color w:val="000000"/>
                <w:lang w:val="en-US" w:eastAsia="zh-CN"/>
              </w:rPr>
              <w:t>一般固废执行</w:t>
            </w:r>
            <w:r>
              <w:rPr>
                <w:rFonts w:hint="eastAsia" w:ascii="Times New Roman" w:hAnsi="Times New Roman" w:eastAsia="宋体" w:cs="Times New Roman"/>
                <w:color w:val="000000"/>
                <w:lang w:val="en-US" w:eastAsia="zh-CN"/>
              </w:rPr>
              <w:t>《</w:t>
            </w:r>
            <w:r>
              <w:rPr>
                <w:rFonts w:hint="default" w:ascii="Times New Roman" w:hAnsi="Times New Roman" w:eastAsia="宋体" w:cs="Times New Roman"/>
                <w:color w:val="000000"/>
                <w:lang w:val="en-US" w:eastAsia="zh-CN"/>
              </w:rPr>
              <w:t>一般工业固体废物贮存</w:t>
            </w:r>
            <w:r>
              <w:rPr>
                <w:rFonts w:hint="eastAsia" w:ascii="Times New Roman" w:hAnsi="Times New Roman" w:eastAsia="宋体" w:cs="Times New Roman"/>
                <w:color w:val="000000"/>
                <w:lang w:val="en-US" w:eastAsia="zh-CN"/>
              </w:rPr>
              <w:t>和填埋</w:t>
            </w:r>
            <w:r>
              <w:rPr>
                <w:rFonts w:hint="default" w:ascii="Times New Roman" w:hAnsi="Times New Roman" w:eastAsia="宋体" w:cs="Times New Roman"/>
                <w:color w:val="000000"/>
                <w:lang w:val="en-US" w:eastAsia="zh-CN"/>
              </w:rPr>
              <w:t>污染控制标准》（GB18599-20</w:t>
            </w:r>
            <w:r>
              <w:rPr>
                <w:rFonts w:hint="eastAsia" w:ascii="Times New Roman" w:hAnsi="Times New Roman" w:eastAsia="宋体" w:cs="Times New Roman"/>
                <w:color w:val="000000"/>
                <w:lang w:val="en-US" w:eastAsia="zh-CN"/>
              </w:rPr>
              <w:t>20</w:t>
            </w:r>
            <w:r>
              <w:rPr>
                <w:rFonts w:hint="default" w:ascii="Times New Roman" w:hAnsi="Times New Roman" w:eastAsia="宋体" w:cs="Times New Roman"/>
                <w:color w:val="000000"/>
                <w:lang w:val="en-US" w:eastAsia="zh-CN"/>
              </w:rPr>
              <w:t>）</w:t>
            </w:r>
            <w:r>
              <w:rPr>
                <w:rFonts w:hint="eastAsia" w:cs="Times New Roman"/>
                <w:color w:val="000000"/>
                <w:lang w:val="en-US" w:eastAsia="zh-CN"/>
              </w:rPr>
              <w:t>，危险废物执行《危险废物贮存污染控制标准》（GB18597-2001）及修改单（环境保护部公告2013 年第 36 号）、《危险废物收集贮存运输技术规范》（HJ2025-2012）。</w:t>
            </w:r>
          </w:p>
          <w:p w14:paraId="7BF74568">
            <w:pPr>
              <w:keepNext w:val="0"/>
              <w:keepLines w:val="0"/>
              <w:pageBreakBefore w:val="0"/>
              <w:widowControl w:val="0"/>
              <w:numPr>
                <w:ilvl w:val="0"/>
                <w:numId w:val="0"/>
              </w:numPr>
              <w:kinsoku/>
              <w:wordWrap/>
              <w:overflowPunct/>
              <w:topLinePunct w:val="0"/>
              <w:autoSpaceDE/>
              <w:autoSpaceDN/>
              <w:bidi w:val="0"/>
              <w:adjustRightInd w:val="0"/>
              <w:snapToGrid w:val="0"/>
              <w:spacing w:line="480" w:lineRule="exact"/>
              <w:ind w:leftChars="0" w:firstLine="480" w:firstLineChars="200"/>
              <w:jc w:val="both"/>
              <w:textAlignment w:val="auto"/>
              <w:rPr>
                <w:rFonts w:hint="default" w:cs="Times New Roman"/>
                <w:color w:val="000000"/>
                <w:lang w:val="en-US" w:eastAsia="zh-CN"/>
              </w:rPr>
            </w:pPr>
            <w:r>
              <w:rPr>
                <w:rFonts w:hint="default" w:cs="Times New Roman"/>
                <w:color w:val="000000"/>
                <w:lang w:val="en-US" w:eastAsia="zh-CN"/>
              </w:rPr>
              <w:t>生活垃圾执行《中华人民共和国固体废物污染环境防治法》（2020 年 9 月 1 日）“第四章生活垃圾”中的要求。</w:t>
            </w:r>
          </w:p>
        </w:tc>
      </w:tr>
      <w:tr w14:paraId="1601E7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2" w:hRule="atLeast"/>
          <w:jc w:val="center"/>
        </w:trPr>
        <w:tc>
          <w:tcPr>
            <w:tcW w:w="800" w:type="dxa"/>
            <w:noWrap w:val="0"/>
            <w:vAlign w:val="center"/>
          </w:tcPr>
          <w:p w14:paraId="2806E747">
            <w:pPr>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总量</w:t>
            </w:r>
          </w:p>
          <w:p w14:paraId="67B46AFF">
            <w:pPr>
              <w:adjustRightInd w:val="0"/>
              <w:snapToGrid w:val="0"/>
              <w:jc w:val="center"/>
              <w:rPr>
                <w:rFonts w:hint="default" w:ascii="Times New Roman" w:hAnsi="Times New Roman" w:eastAsia="宋体" w:cs="Times New Roman"/>
                <w:kern w:val="0"/>
                <w:szCs w:val="21"/>
                <w:highlight w:val="none"/>
              </w:rPr>
            </w:pPr>
            <w:r>
              <w:rPr>
                <w:rFonts w:hint="default" w:ascii="Times New Roman" w:hAnsi="Times New Roman" w:eastAsia="宋体" w:cs="Times New Roman"/>
                <w:kern w:val="0"/>
                <w:szCs w:val="21"/>
                <w:highlight w:val="none"/>
              </w:rPr>
              <w:t>控制</w:t>
            </w:r>
          </w:p>
          <w:p w14:paraId="4A0976E1">
            <w:pPr>
              <w:adjustRightInd w:val="0"/>
              <w:snapToGrid w:val="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highlight w:val="none"/>
              </w:rPr>
              <w:t>指标</w:t>
            </w:r>
          </w:p>
        </w:tc>
        <w:tc>
          <w:tcPr>
            <w:tcW w:w="8190" w:type="dxa"/>
            <w:noWrap w:val="0"/>
            <w:vAlign w:val="center"/>
          </w:tcPr>
          <w:p w14:paraId="1E29098F">
            <w:pPr>
              <w:spacing w:line="520" w:lineRule="exact"/>
              <w:ind w:firstLine="480" w:firstLineChars="200"/>
              <w:rPr>
                <w:rFonts w:hint="default" w:ascii="Times New Roman" w:hAnsi="Times New Roman" w:eastAsia="宋体" w:cs="Times New Roman"/>
                <w:b/>
                <w:bCs/>
                <w:color w:val="000000"/>
                <w:highlight w:val="none"/>
                <w:u w:val="single"/>
                <w:lang w:val="en-US" w:eastAsia="zh-CN"/>
              </w:rPr>
            </w:pPr>
            <w:r>
              <w:rPr>
                <w:rFonts w:hint="default" w:ascii="Times New Roman" w:hAnsi="Times New Roman" w:eastAsia="宋体" w:cs="Times New Roman"/>
                <w:color w:val="000000"/>
                <w:highlight w:val="none"/>
                <w:lang w:val="en-US" w:eastAsia="zh-CN"/>
              </w:rPr>
              <w:t>本项目生活污水进入厂区隔油池+化粪池进行处理，确保出水水质达到《污水综合排放标准》（GB8978-1996）表 4 三级标准及污水处理厂收水水质要求后，经市政污水管网排入</w:t>
            </w:r>
            <w:r>
              <w:rPr>
                <w:rFonts w:hint="eastAsia" w:cs="Times New Roman"/>
                <w:color w:val="000000"/>
                <w:highlight w:val="none"/>
                <w:lang w:val="en-US" w:eastAsia="zh-CN"/>
              </w:rPr>
              <w:t>南乐县城污水处理厂</w:t>
            </w:r>
            <w:r>
              <w:rPr>
                <w:rFonts w:hint="default" w:ascii="Times New Roman" w:hAnsi="Times New Roman" w:eastAsia="宋体" w:cs="Times New Roman"/>
                <w:color w:val="000000"/>
                <w:highlight w:val="none"/>
                <w:lang w:val="en-US" w:eastAsia="zh-CN"/>
              </w:rPr>
              <w:t>深度处理。项目废气主要为颗粒物</w:t>
            </w:r>
            <w:r>
              <w:rPr>
                <w:rFonts w:hint="eastAsia" w:cs="Times New Roman"/>
                <w:color w:val="000000"/>
                <w:highlight w:val="none"/>
                <w:lang w:val="en-US" w:eastAsia="zh-CN"/>
              </w:rPr>
              <w:t>和臭气，</w:t>
            </w:r>
            <w:r>
              <w:rPr>
                <w:rFonts w:hint="default" w:ascii="Times New Roman" w:hAnsi="Times New Roman" w:eastAsia="宋体" w:cs="Times New Roman"/>
                <w:color w:val="000000"/>
                <w:highlight w:val="none"/>
                <w:lang w:val="en-US" w:eastAsia="zh-CN"/>
              </w:rPr>
              <w:t>颗粒物经布袋除尘器+二级活性炭吸附处理。</w:t>
            </w:r>
            <w:r>
              <w:rPr>
                <w:rFonts w:hint="default" w:ascii="Times New Roman" w:hAnsi="Times New Roman" w:eastAsia="宋体" w:cs="Times New Roman"/>
                <w:b/>
                <w:bCs/>
                <w:color w:val="000000"/>
                <w:highlight w:val="none"/>
                <w:u w:val="single"/>
                <w:lang w:val="en-US" w:eastAsia="zh-CN"/>
              </w:rPr>
              <w:t>根据工程分析，本项目颗粒物排放量</w:t>
            </w:r>
            <w:r>
              <w:rPr>
                <w:rFonts w:hint="eastAsia" w:cs="Times New Roman"/>
                <w:b/>
                <w:bCs/>
                <w:color w:val="000000"/>
                <w:highlight w:val="none"/>
                <w:u w:val="single"/>
                <w:lang w:val="en-US" w:eastAsia="zh-CN"/>
              </w:rPr>
              <w:t>2.778</w:t>
            </w:r>
            <w:r>
              <w:rPr>
                <w:rFonts w:hint="default" w:ascii="Times New Roman" w:hAnsi="Times New Roman" w:eastAsia="宋体" w:cs="Times New Roman"/>
                <w:b/>
                <w:bCs/>
                <w:color w:val="000000"/>
                <w:highlight w:val="none"/>
                <w:u w:val="single"/>
                <w:lang w:val="en-US" w:eastAsia="zh-CN"/>
              </w:rPr>
              <w:t>t/a</w:t>
            </w:r>
          </w:p>
          <w:p w14:paraId="450126E3">
            <w:pPr>
              <w:spacing w:line="520" w:lineRule="exact"/>
              <w:ind w:firstLine="48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生活污水排放量为 1920t/a，经厂区污水处理设施预处理后，各污染物排放量为 COD：0.5376t/a，NH3-N：0.0461t/a；废水经</w:t>
            </w:r>
            <w:r>
              <w:rPr>
                <w:rFonts w:hint="eastAsia" w:cs="Times New Roman"/>
                <w:color w:val="000000"/>
                <w:highlight w:val="none"/>
                <w:lang w:val="en-US" w:eastAsia="zh-CN"/>
              </w:rPr>
              <w:t>南乐县城污水处理厂</w:t>
            </w:r>
            <w:r>
              <w:rPr>
                <w:rFonts w:hint="default" w:ascii="Times New Roman" w:hAnsi="Times New Roman" w:eastAsia="宋体" w:cs="Times New Roman"/>
                <w:color w:val="000000"/>
                <w:highlight w:val="none"/>
                <w:lang w:val="en-US" w:eastAsia="zh-CN"/>
              </w:rPr>
              <w:t>处理后各污染物排放量为 COD：0.0768t/a，NH3-N：0.0038t/a。</w:t>
            </w:r>
          </w:p>
          <w:p w14:paraId="129A4D53">
            <w:pPr>
              <w:spacing w:line="520" w:lineRule="exact"/>
              <w:ind w:firstLine="480" w:firstLineChars="200"/>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因此，本项目总量控制指标如下：</w:t>
            </w:r>
          </w:p>
          <w:p w14:paraId="5C6BE5AE">
            <w:pPr>
              <w:spacing w:line="520" w:lineRule="exact"/>
              <w:ind w:firstLine="482" w:firstLineChars="200"/>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000000"/>
                <w:highlight w:val="none"/>
                <w:u w:val="single"/>
                <w:lang w:val="en-US" w:eastAsia="zh-CN"/>
              </w:rPr>
              <w:t>COD：0.0768t/a，NH</w:t>
            </w:r>
            <w:r>
              <w:rPr>
                <w:rFonts w:hint="default" w:ascii="Times New Roman" w:hAnsi="Times New Roman" w:eastAsia="宋体" w:cs="Times New Roman"/>
                <w:b/>
                <w:bCs/>
                <w:color w:val="000000"/>
                <w:highlight w:val="none"/>
                <w:u w:val="single"/>
                <w:vertAlign w:val="subscript"/>
                <w:lang w:val="en-US" w:eastAsia="zh-CN"/>
              </w:rPr>
              <w:t>3</w:t>
            </w:r>
            <w:r>
              <w:rPr>
                <w:rFonts w:hint="default" w:ascii="Times New Roman" w:hAnsi="Times New Roman" w:eastAsia="宋体" w:cs="Times New Roman"/>
                <w:b/>
                <w:bCs/>
                <w:color w:val="000000"/>
                <w:highlight w:val="none"/>
                <w:u w:val="single"/>
                <w:lang w:val="en-US" w:eastAsia="zh-CN"/>
              </w:rPr>
              <w:t>-N：0.0038t/a；颗粒物：</w:t>
            </w:r>
            <w:r>
              <w:rPr>
                <w:rFonts w:hint="eastAsia" w:cs="Times New Roman"/>
                <w:b/>
                <w:bCs/>
                <w:color w:val="000000"/>
                <w:highlight w:val="none"/>
                <w:u w:val="single"/>
                <w:lang w:val="en-US" w:eastAsia="zh-CN"/>
              </w:rPr>
              <w:t>2.778</w:t>
            </w:r>
            <w:r>
              <w:rPr>
                <w:rFonts w:hint="default" w:ascii="Times New Roman" w:hAnsi="Times New Roman" w:eastAsia="宋体" w:cs="Times New Roman"/>
                <w:b/>
                <w:bCs/>
                <w:color w:val="000000"/>
                <w:highlight w:val="none"/>
                <w:u w:val="single"/>
                <w:lang w:val="en-US" w:eastAsia="zh-CN"/>
              </w:rPr>
              <w:t>t/a。</w:t>
            </w:r>
          </w:p>
        </w:tc>
      </w:tr>
    </w:tbl>
    <w:p w14:paraId="4AE2EBED">
      <w:pPr>
        <w:rPr>
          <w:lang w:val="en-US" w:eastAsia="zh-CN"/>
        </w:rPr>
      </w:pPr>
      <w:r>
        <w:rPr>
          <w:lang w:val="en-US" w:eastAsia="zh-CN"/>
        </w:rPr>
        <w:br w:type="page"/>
      </w:r>
    </w:p>
    <w:p w14:paraId="7CA7B804">
      <w:pPr>
        <w:pStyle w:val="4"/>
        <w:bidi w:val="0"/>
        <w:rPr>
          <w:rFonts w:hint="eastAsia" w:ascii="黑体" w:hAnsi="黑体" w:eastAsia="黑体" w:cs="黑体"/>
          <w:b/>
          <w:bCs/>
          <w:sz w:val="32"/>
          <w:szCs w:val="32"/>
        </w:rPr>
      </w:pPr>
      <w:r>
        <w:rPr>
          <w:rFonts w:hint="eastAsia" w:ascii="黑体" w:hAnsi="黑体" w:eastAsia="黑体" w:cs="黑体"/>
          <w:b/>
          <w:bCs/>
          <w:sz w:val="32"/>
          <w:szCs w:val="32"/>
        </w:rPr>
        <w:t>四、主要环境影响和保护措施</w:t>
      </w:r>
    </w:p>
    <w:tbl>
      <w:tblPr>
        <w:tblStyle w:val="17"/>
        <w:tblW w:w="86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023"/>
      </w:tblGrid>
      <w:tr w14:paraId="005C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585" w:type="dxa"/>
            <w:noWrap w:val="0"/>
            <w:vAlign w:val="center"/>
          </w:tcPr>
          <w:p w14:paraId="18FEDE77">
            <w:pPr>
              <w:adjustRightInd w:val="0"/>
              <w:snapToGrid w:val="0"/>
              <w:jc w:val="center"/>
              <w:rPr>
                <w:color w:val="000000"/>
              </w:rPr>
            </w:pPr>
            <w:r>
              <w:rPr>
                <w:color w:val="000000"/>
              </w:rPr>
              <w:t>施工期环境保护措施</w:t>
            </w:r>
          </w:p>
        </w:tc>
        <w:tc>
          <w:tcPr>
            <w:tcW w:w="8023" w:type="dxa"/>
            <w:noWrap w:val="0"/>
            <w:vAlign w:val="top"/>
          </w:tcPr>
          <w:p w14:paraId="75178864">
            <w:pPr>
              <w:spacing w:line="520" w:lineRule="exact"/>
              <w:ind w:firstLine="480" w:firstLineChars="200"/>
              <w:rPr>
                <w:rFonts w:hint="eastAsia"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本项目</w:t>
            </w:r>
            <w:r>
              <w:rPr>
                <w:rFonts w:hint="eastAsia" w:ascii="Times New Roman" w:hAnsi="Times New Roman" w:eastAsia="宋体" w:cs="Times New Roman"/>
                <w:color w:val="000000"/>
                <w:lang w:val="en-US" w:eastAsia="zh-CN"/>
              </w:rPr>
              <w:t>为新建项目，需新建综合楼1座、控制室1座、消防+给水泵房1座、轮胎破碎粗碎厂房1座、轮胎破碎细碎厂房1座、原料库房1座、成品库房1座、氮气站1座、变配电站1座和门卫室3个。</w:t>
            </w:r>
          </w:p>
          <w:p w14:paraId="7DD93669">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1、</w:t>
            </w:r>
            <w:r>
              <w:rPr>
                <w:rFonts w:hint="default" w:ascii="Times New Roman" w:hAnsi="Times New Roman" w:eastAsia="宋体" w:cs="Times New Roman"/>
                <w:b/>
                <w:bCs/>
                <w:color w:val="000000"/>
                <w:lang w:val="en-US" w:eastAsia="zh-CN" w:bidi="zh-CN"/>
              </w:rPr>
              <w:t>废气环境影响和保护措施</w:t>
            </w:r>
          </w:p>
          <w:p w14:paraId="4516D115">
            <w:pPr>
              <w:spacing w:line="520" w:lineRule="exact"/>
              <w:ind w:firstLine="42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auto"/>
                <w:kern w:val="2"/>
                <w:sz w:val="21"/>
                <w:szCs w:val="24"/>
                <w:lang w:val="en-US" w:eastAsia="zh-CN" w:bidi="ar-SA"/>
              </w:rPr>
              <w:t xml:space="preserve">    </w:t>
            </w:r>
            <w:r>
              <w:rPr>
                <w:rFonts w:hint="eastAsia" w:ascii="Times New Roman" w:hAnsi="Times New Roman" w:eastAsia="宋体" w:cs="Times New Roman"/>
                <w:color w:val="000000"/>
                <w:lang w:val="en-US" w:eastAsia="zh-CN"/>
              </w:rPr>
              <w:t>本项目施工期大气污染源为施工扬尘和机动车尾气。施工期间燃油机械设备较多，装载机、推土机等以柴油为燃料的施工机械在施工过程中，会产生一定量废气，废气主要污染物为 THC、CO、NOx 等。施工机械燃料以轻质柴油为主，燃烧废气中 THC、CO、NOx 排放量较少，且项目施工场地大、施工周期短，产生的污染物间歇排放，经自然扩散后浓度很小，对周围环境影响较小。</w:t>
            </w:r>
          </w:p>
          <w:p w14:paraId="08BD3E67">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为进一步减少对周围环境敏感点的影响，施工按照《河南省环境污染防治攻坚战领导小组办公室关于进一步加强扬尘污染专项治理的意见》(豫环攻坚办〔2019〕25 号)、《濮阳市 2018 年大气污染防治攻坚战实施方案》（濮政办〔2018〕8 号）以及相关内容，建议建设单位采取以下措施，为减缓施工期扬尘对周边环境空气的影响，评价要求：</w:t>
            </w:r>
          </w:p>
          <w:p w14:paraId="6ED07EA8">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①道路硬化与管理。施工场所内 100%的车行道路必须硬化；任何时候车行道路上都不能有明显的尘土；道路清扫时都必须采取洒水措施。</w:t>
            </w:r>
          </w:p>
          <w:p w14:paraId="691185FF">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②围挡的设置。建筑施工工地东、南、西、北四面设置高于 2.5m 围墙；围挡下方设置不低于 20cm 高的防溢座以防止粉尘流失；任意两块围挡以及围挡与防溢座的拼接处都不能有大于 0.5cm 的缝隙，围挡不得有明显破损的漏洞。</w:t>
            </w:r>
          </w:p>
          <w:p w14:paraId="052C2DC1">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③裸露地(含土方)覆盖。每一块独立裸露地面 100%的面积都应采取覆盖措施；覆盖措施的完好率必须达到 100%。覆盖措施包括：钢板、防尘网（布）、绿化、化学抑尘剂，或达到同等效率的覆盖措施。</w:t>
            </w:r>
          </w:p>
          <w:p w14:paraId="124C9F99">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④易扬尘物料覆盖。所有砂石、灰土、灰浆等易扬尘物料都必须以不透水的隔尘布完全覆盖或放置在顶部和四周均有遮蔽的范围内；防尘布或遮蔽装置的完好率必须达到100%。</w:t>
            </w:r>
          </w:p>
          <w:p w14:paraId="523B2FD3">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⑤持续洒水降尘措施。施工现场定期喷洒，保证地面湿润，不起尘。</w:t>
            </w:r>
          </w:p>
          <w:p w14:paraId="6F891C89">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⑥散流物料堆放过程中采用防尘网或防尘布覆盖，或者将散流物料贮存在封闭式储存仓。</w:t>
            </w:r>
          </w:p>
          <w:p w14:paraId="10FDC9BA">
            <w:pPr>
              <w:spacing w:line="520" w:lineRule="exact"/>
              <w:ind w:firstLine="480" w:firstLineChars="200"/>
              <w:rPr>
                <w:rFonts w:hint="default"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采取上述措施，产生的扬尘对周围空气环境影响较小。</w:t>
            </w:r>
          </w:p>
          <w:p w14:paraId="1B8DE5F4">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2、</w:t>
            </w:r>
            <w:r>
              <w:rPr>
                <w:rFonts w:hint="default" w:ascii="Times New Roman" w:hAnsi="Times New Roman" w:eastAsia="宋体" w:cs="Times New Roman"/>
                <w:b/>
                <w:bCs/>
                <w:color w:val="000000"/>
                <w:lang w:val="en-US" w:eastAsia="zh-CN" w:bidi="zh-CN"/>
              </w:rPr>
              <w:t>废水环境影响和保护措施</w:t>
            </w:r>
          </w:p>
          <w:p w14:paraId="6CF1CC46">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施工期废水主要为机械设备冲洗废水及施工人员的生活污水。</w:t>
            </w:r>
          </w:p>
          <w:p w14:paraId="70003BCF">
            <w:pPr>
              <w:pStyle w:val="28"/>
              <w:spacing w:line="520" w:lineRule="exact"/>
              <w:ind w:firstLine="482" w:firstLineChars="200"/>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2.1 施工机械冲洗废水</w:t>
            </w:r>
          </w:p>
          <w:p w14:paraId="5CBBD295">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施工机械投入使用过程中，实际冲洗次数相对较少，产生的污染物主要为 SS，由于水量小，可用于泼洒施工场地抑尘，不外排。</w:t>
            </w:r>
          </w:p>
          <w:p w14:paraId="05F1E69A">
            <w:pPr>
              <w:pStyle w:val="28"/>
              <w:spacing w:line="520" w:lineRule="exact"/>
              <w:ind w:firstLine="482" w:firstLineChars="200"/>
              <w:jc w:val="left"/>
              <w:rPr>
                <w:rFonts w:hint="default"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2.2 生活污水</w:t>
            </w:r>
          </w:p>
          <w:p w14:paraId="08E998B5">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根据本项目的建设规模，预计施工人员约 1</w:t>
            </w:r>
            <w:r>
              <w:rPr>
                <w:rFonts w:hint="eastAsia" w:ascii="Times New Roman" w:hAnsi="Times New Roman" w:eastAsia="宋体" w:cs="Times New Roman"/>
                <w:color w:val="000000"/>
                <w:lang w:val="en-US" w:eastAsia="zh-CN"/>
              </w:rPr>
              <w:t>5</w:t>
            </w:r>
            <w:r>
              <w:rPr>
                <w:rFonts w:hint="default" w:ascii="Times New Roman" w:hAnsi="Times New Roman" w:eastAsia="宋体" w:cs="Times New Roman"/>
                <w:color w:val="000000"/>
                <w:lang w:val="en-US" w:eastAsia="zh-CN"/>
              </w:rPr>
              <w:t xml:space="preserve"> 人，由于条件限制，施工人员用水量较少，用水量按 30L/d·人计算，每天总用水量为 0.</w:t>
            </w:r>
            <w:r>
              <w:rPr>
                <w:rFonts w:hint="eastAsia" w:ascii="Times New Roman" w:hAnsi="Times New Roman" w:eastAsia="宋体" w:cs="Times New Roman"/>
                <w:color w:val="000000"/>
                <w:lang w:val="en-US" w:eastAsia="zh-CN"/>
              </w:rPr>
              <w:t>45</w:t>
            </w:r>
            <w:r>
              <w:rPr>
                <w:rFonts w:hint="default" w:ascii="Times New Roman" w:hAnsi="Times New Roman" w:eastAsia="宋体" w:cs="Times New Roman"/>
                <w:color w:val="000000"/>
                <w:lang w:val="en-US" w:eastAsia="zh-CN"/>
              </w:rPr>
              <w:t>t，排放系数按 80%计算，生活污水排放量为 0.</w:t>
            </w:r>
            <w:r>
              <w:rPr>
                <w:rFonts w:hint="eastAsia" w:ascii="Times New Roman" w:hAnsi="Times New Roman" w:eastAsia="宋体" w:cs="Times New Roman"/>
                <w:color w:val="000000"/>
                <w:lang w:val="en-US" w:eastAsia="zh-CN"/>
              </w:rPr>
              <w:t>36</w:t>
            </w:r>
            <w:r>
              <w:rPr>
                <w:rFonts w:hint="default" w:ascii="Times New Roman" w:hAnsi="Times New Roman" w:eastAsia="宋体" w:cs="Times New Roman"/>
                <w:color w:val="000000"/>
                <w:lang w:val="en-US" w:eastAsia="zh-CN"/>
              </w:rPr>
              <w:t>t/d，施工人员均不在厂区食宿，施工人员洗漱废水水质相对较简单，且水量较小，可直接泼洒地面抑尘。在整个施工过程中，要倡导文明施工，加强对民工队伍的严格管理，节约用水，杜绝随意倾倒废水，将对环境的影响降至最小。</w:t>
            </w:r>
          </w:p>
          <w:p w14:paraId="67F42166">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3、</w:t>
            </w:r>
            <w:r>
              <w:rPr>
                <w:rFonts w:hint="default" w:ascii="Times New Roman" w:hAnsi="Times New Roman" w:eastAsia="宋体" w:cs="Times New Roman"/>
                <w:b/>
                <w:bCs/>
                <w:color w:val="000000"/>
                <w:lang w:val="en-US" w:eastAsia="zh-CN" w:bidi="zh-CN"/>
              </w:rPr>
              <w:t>噪声环境影响和保护措施</w:t>
            </w:r>
          </w:p>
          <w:p w14:paraId="4651EAB1">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工程施工噪声来源包括：场地平整、地基处理、安装和装修等阶段，主要为施工机械产生的噪声以及施工运输车辆的交通噪声，噪声源强在 70～95dB (A)之间。由于项目施工期持续时间较短，且只在白天施工，因此对周围环境影响较小。</w:t>
            </w:r>
          </w:p>
          <w:p w14:paraId="03A57951">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本项目周围敏感点主要为项目西南 755m 的南乐县公共租赁房。施工过程中所用到的高噪声设备持续时间较短，施工期的噪声对周围环境的影响只是暂时的，会随施工期的结束而结束。为确保施工场界噪声满足《建筑施工场界环境噪声排放标准》（GB12523-2011）标准要求，要求施工单位禁止夜间施工，如因工艺需要连续施工，必须取得当地环保部门同意，并公告附近居民，并根据施工时需要，适当增加场界处隔声围挡；昼间施工应控制施工范围，施工机械距离厂界应控制在 10m 范围外，如因工艺要求无法满足该距离要求，则应设置临时声屏障。评价建议在施工期采取以下具体措施：</w:t>
            </w:r>
          </w:p>
          <w:p w14:paraId="168039BB">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1)严格执行《建筑施工场界环境噪声排放标准》（GB12523-2011），尽量选用新型的低噪声施工机械设备，改进高噪声的施工方法，采用噪声比较小的振动打桩法和钻孔灌桩法等。</w:t>
            </w:r>
          </w:p>
          <w:p w14:paraId="140882A7">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2)尽可能以液压工具代替气压工具，降低噪声。</w:t>
            </w:r>
          </w:p>
          <w:p w14:paraId="68C509D8">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3)加强机械设备、运输车辆的保养维修，使其处于良好的工作状态。</w:t>
            </w:r>
          </w:p>
          <w:p w14:paraId="49B83C0D">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4 )不设水泥搅拌机，使用商品混凝土及预制件。</w:t>
            </w:r>
          </w:p>
          <w:p w14:paraId="5AE900E6">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5)尽量避免在同一时间集中使用大量的动力机械设备。建议将高噪声设备设于项目中部。</w:t>
            </w:r>
          </w:p>
          <w:p w14:paraId="14258A54">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6)建立声屏障：施工场地东、南、西、北四面设置不低于 2.5m 围墙，可以减轻施工噪声对外环境的影响。</w:t>
            </w:r>
          </w:p>
          <w:p w14:paraId="339F1475">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7)减缓人为噪声污染。钢制模板在使用、拆卸、装卸等过程中，应尽可能地轻拿轻放，以免模板相互碰撞产生噪声。</w:t>
            </w:r>
          </w:p>
          <w:p w14:paraId="6AC96068">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8)合理安排施工时间：禁止夜间（22:00-6:00）施工；如果要在夜间施工，必须符合《中华人民共和国环境噪声防治法》第四章第三十条的要求，“必须有县级以上人民政府或者其它有关主管部门的证明”。建议中午（12:00-14:30）停止施工。</w:t>
            </w:r>
          </w:p>
          <w:p w14:paraId="4D72650A">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在采取上述措施后,厂界噪声能够达到《建筑施工场界环境噪声排放标准》（GB12523-2011）要求，将施工期噪声影响降到最低</w:t>
            </w:r>
          </w:p>
          <w:p w14:paraId="43429A94">
            <w:pPr>
              <w:pStyle w:val="28"/>
              <w:spacing w:line="520" w:lineRule="exact"/>
              <w:jc w:val="left"/>
              <w:rPr>
                <w:rFonts w:hint="default"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4、</w:t>
            </w:r>
            <w:r>
              <w:rPr>
                <w:rFonts w:hint="default" w:ascii="Times New Roman" w:hAnsi="Times New Roman" w:eastAsia="宋体" w:cs="Times New Roman"/>
                <w:b/>
                <w:bCs/>
                <w:color w:val="000000"/>
                <w:lang w:val="en-US" w:eastAsia="zh-CN" w:bidi="zh-CN"/>
              </w:rPr>
              <w:t>固废环境影响和保护措施</w:t>
            </w:r>
          </w:p>
          <w:p w14:paraId="5754813D">
            <w:pPr>
              <w:spacing w:line="520" w:lineRule="exact"/>
              <w:ind w:firstLine="42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auto"/>
                <w:kern w:val="2"/>
                <w:sz w:val="21"/>
                <w:szCs w:val="24"/>
                <w:lang w:val="en-US" w:eastAsia="zh-CN" w:bidi="ar-SA"/>
              </w:rPr>
              <w:t xml:space="preserve"> </w:t>
            </w:r>
            <w:r>
              <w:rPr>
                <w:rFonts w:hint="eastAsia" w:ascii="Times New Roman" w:hAnsi="Times New Roman" w:eastAsia="宋体" w:cs="Times New Roman"/>
                <w:color w:val="000000"/>
                <w:lang w:val="en-US" w:eastAsia="zh-CN"/>
              </w:rPr>
              <w:t>该项目施工期产生的固体废物主要包括建筑垃圾及施工人员的生活垃圾。生活垃圾的产生量为 0.15t；建筑垃圾主要包括建设过程中产生的废土、废砖、废路沿石砖等，产生量约为 1t，施工过程应加强对固体废物的管理，及时对固体废物进行分类收集，妥善处理处置，可利用的固体废物回收利用。评价建议：施工过程中及时清运厂内多余的废弃土方及建筑垃圾，运到建筑垃圾处理厂处理，可利用弃土用于场地平整，路基铺设，废钢条外售；施工人员的生活垃圾集中收集后，定期由当地环卫部门统一清运处理。</w:t>
            </w:r>
          </w:p>
          <w:p w14:paraId="707E2E0F">
            <w:pPr>
              <w:spacing w:line="520" w:lineRule="exact"/>
              <w:ind w:firstLine="480" w:firstLineChars="200"/>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000000"/>
                <w:lang w:val="en-US" w:eastAsia="zh-CN"/>
              </w:rPr>
              <w:t>评价认为方法，采用以上措施后，施工期固废对环境影响较小。</w:t>
            </w:r>
          </w:p>
        </w:tc>
      </w:tr>
    </w:tbl>
    <w:p w14:paraId="3B4BC748">
      <w:pPr>
        <w:rPr>
          <w:rFonts w:ascii="Calibri" w:hAnsi="Calibri" w:eastAsia="Calibri"/>
          <w:color w:val="000000"/>
        </w:rPr>
      </w:pPr>
      <w:r>
        <w:rPr>
          <w:rFonts w:ascii="Calibri" w:hAnsi="Calibri" w:eastAsia="Calibri"/>
          <w:color w:val="000000"/>
        </w:rPr>
        <w:br w:type="page"/>
      </w: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7946"/>
      </w:tblGrid>
      <w:tr w14:paraId="2F228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dxa"/>
            <w:noWrap w:val="0"/>
            <w:vAlign w:val="center"/>
          </w:tcPr>
          <w:p w14:paraId="678305C8">
            <w:pPr>
              <w:autoSpaceDE w:val="0"/>
              <w:autoSpaceDN w:val="0"/>
              <w:adjustRightInd w:val="0"/>
              <w:snapToGrid w:val="0"/>
              <w:jc w:val="center"/>
              <w:rPr>
                <w:rFonts w:hint="default" w:ascii="Times New Roman" w:hAnsi="Times New Roman" w:cs="Times New Roman"/>
                <w:kern w:val="0"/>
                <w:szCs w:val="21"/>
              </w:rPr>
            </w:pPr>
            <w:r>
              <w:rPr>
                <w:rFonts w:ascii="Calibri" w:hAnsi="Calibri" w:eastAsia="Calibri"/>
                <w:color w:val="000000"/>
              </w:rPr>
              <w:t>运营期环境影响和保护措施</w:t>
            </w:r>
          </w:p>
        </w:tc>
        <w:tc>
          <w:tcPr>
            <w:tcW w:w="7946" w:type="dxa"/>
            <w:noWrap w:val="0"/>
            <w:vAlign w:val="center"/>
          </w:tcPr>
          <w:p w14:paraId="22FA5FAC">
            <w:pPr>
              <w:numPr>
                <w:ilvl w:val="0"/>
                <w:numId w:val="0"/>
              </w:numPr>
              <w:tabs>
                <w:tab w:val="left" w:pos="332"/>
              </w:tabs>
              <w:spacing w:line="360" w:lineRule="auto"/>
              <w:rPr>
                <w:rFonts w:hint="eastAsia" w:ascii="Times New Roman" w:hAnsi="Times New Roman" w:eastAsia="宋体" w:cs="Times New Roman"/>
                <w:b/>
                <w:bCs/>
                <w:color w:val="000000"/>
                <w:kern w:val="2"/>
                <w:sz w:val="24"/>
                <w:szCs w:val="24"/>
                <w:lang w:val="en-US" w:eastAsia="zh-CN" w:bidi="zh-CN"/>
              </w:rPr>
            </w:pPr>
            <w:r>
              <w:rPr>
                <w:rFonts w:hint="eastAsia" w:ascii="Times New Roman" w:hAnsi="Times New Roman" w:eastAsia="宋体" w:cs="Times New Roman"/>
                <w:b/>
                <w:bCs/>
                <w:color w:val="000000"/>
                <w:kern w:val="2"/>
                <w:sz w:val="24"/>
                <w:szCs w:val="24"/>
                <w:lang w:val="en-US" w:eastAsia="zh-CN" w:bidi="zh-CN"/>
              </w:rPr>
              <w:t>1、废气环境影响及保护措施</w:t>
            </w:r>
          </w:p>
          <w:p w14:paraId="6BF686A3">
            <w:pPr>
              <w:spacing w:line="520" w:lineRule="exact"/>
              <w:ind w:firstLine="482" w:firstLineChars="200"/>
              <w:rPr>
                <w:rFonts w:hint="eastAsia" w:ascii="Times New Roman" w:hAnsi="Times New Roman" w:eastAsia="宋体" w:cs="Times New Roman"/>
                <w:b/>
                <w:bCs/>
                <w:color w:val="000000"/>
                <w:kern w:val="2"/>
                <w:sz w:val="24"/>
                <w:szCs w:val="24"/>
                <w:u w:val="single"/>
                <w:lang w:val="en-US" w:eastAsia="zh-CN" w:bidi="zh-CN"/>
              </w:rPr>
            </w:pPr>
            <w:r>
              <w:rPr>
                <w:rFonts w:hint="eastAsia" w:ascii="Times New Roman" w:hAnsi="Times New Roman" w:eastAsia="宋体" w:cs="Times New Roman"/>
                <w:b/>
                <w:bCs/>
                <w:color w:val="000000"/>
                <w:kern w:val="2"/>
                <w:sz w:val="24"/>
                <w:szCs w:val="24"/>
                <w:u w:val="single"/>
                <w:lang w:val="en-US" w:eastAsia="zh-CN" w:bidi="zh-CN"/>
              </w:rPr>
              <w:t>1.1废气污染物：</w:t>
            </w:r>
          </w:p>
          <w:p w14:paraId="24F9906F">
            <w:pPr>
              <w:pStyle w:val="28"/>
              <w:spacing w:line="520" w:lineRule="exact"/>
              <w:ind w:firstLine="482" w:firstLineChars="200"/>
              <w:jc w:val="left"/>
              <w:rPr>
                <w:rFonts w:hint="eastAsia" w:ascii="Times New Roman" w:hAnsi="Times New Roman" w:cs="Times New Roman"/>
                <w:b/>
                <w:bCs/>
                <w:color w:val="000000"/>
                <w:kern w:val="2"/>
                <w:sz w:val="24"/>
                <w:szCs w:val="24"/>
                <w:u w:val="single"/>
                <w:lang w:val="en-US" w:eastAsia="zh-CN" w:bidi="ar-SA"/>
              </w:rPr>
            </w:pPr>
            <w:r>
              <w:rPr>
                <w:rFonts w:hint="eastAsia" w:ascii="Times New Roman" w:hAnsi="Times New Roman" w:eastAsia="宋体" w:cs="Times New Roman"/>
                <w:b/>
                <w:bCs/>
                <w:color w:val="000000"/>
                <w:kern w:val="2"/>
                <w:sz w:val="24"/>
                <w:szCs w:val="24"/>
                <w:u w:val="single"/>
                <w:lang w:val="en-US" w:eastAsia="zh-CN" w:bidi="ar-SA"/>
              </w:rPr>
              <w:t>本项目所用的原料废旧轮胎，经</w:t>
            </w:r>
            <w:r>
              <w:rPr>
                <w:rFonts w:hint="eastAsia" w:ascii="Times New Roman" w:hAnsi="Times New Roman" w:cs="Times New Roman"/>
                <w:b/>
                <w:bCs/>
                <w:color w:val="000000"/>
                <w:kern w:val="2"/>
                <w:sz w:val="24"/>
                <w:szCs w:val="24"/>
                <w:u w:val="single"/>
                <w:lang w:val="en-US" w:eastAsia="zh-CN" w:bidi="ar-SA"/>
              </w:rPr>
              <w:t>块料机</w:t>
            </w:r>
            <w:r>
              <w:rPr>
                <w:rFonts w:hint="eastAsia" w:ascii="Times New Roman" w:hAnsi="Times New Roman" w:eastAsia="宋体" w:cs="Times New Roman"/>
                <w:b/>
                <w:bCs/>
                <w:color w:val="000000"/>
                <w:kern w:val="2"/>
                <w:sz w:val="24"/>
                <w:szCs w:val="24"/>
                <w:u w:val="single"/>
                <w:lang w:val="en-US" w:eastAsia="zh-CN" w:bidi="ar-SA"/>
              </w:rPr>
              <w:t>分割成规整的小块，此工序无粉尘产生；切好的块状轮胎经封闭式皮带输送机至</w:t>
            </w:r>
            <w:r>
              <w:rPr>
                <w:rFonts w:hint="eastAsia" w:ascii="Times New Roman" w:hAnsi="Times New Roman" w:cs="Times New Roman"/>
                <w:b/>
                <w:bCs/>
                <w:color w:val="000000"/>
                <w:kern w:val="2"/>
                <w:sz w:val="24"/>
                <w:szCs w:val="24"/>
                <w:u w:val="single"/>
                <w:lang w:val="en-US" w:eastAsia="zh-CN" w:bidi="ar-SA"/>
              </w:rPr>
              <w:t>粗碎</w:t>
            </w:r>
            <w:r>
              <w:rPr>
                <w:rFonts w:hint="eastAsia" w:ascii="Times New Roman" w:hAnsi="Times New Roman" w:eastAsia="宋体" w:cs="Times New Roman"/>
                <w:b/>
                <w:bCs/>
                <w:color w:val="000000"/>
                <w:kern w:val="2"/>
                <w:sz w:val="24"/>
                <w:szCs w:val="24"/>
                <w:u w:val="single"/>
                <w:lang w:val="en-US" w:eastAsia="zh-CN" w:bidi="ar-SA"/>
              </w:rPr>
              <w:t>机</w:t>
            </w:r>
            <w:r>
              <w:rPr>
                <w:rFonts w:hint="eastAsia" w:ascii="Times New Roman" w:hAnsi="Times New Roman" w:cs="Times New Roman"/>
                <w:b/>
                <w:bCs/>
                <w:color w:val="000000"/>
                <w:kern w:val="2"/>
                <w:sz w:val="24"/>
                <w:szCs w:val="24"/>
                <w:u w:val="single"/>
                <w:lang w:val="en-US" w:eastAsia="zh-CN" w:bidi="ar-SA"/>
              </w:rPr>
              <w:t>、中碎机</w:t>
            </w:r>
            <w:r>
              <w:rPr>
                <w:rFonts w:hint="eastAsia" w:ascii="Times New Roman" w:hAnsi="Times New Roman" w:eastAsia="宋体" w:cs="Times New Roman"/>
                <w:b/>
                <w:bCs/>
                <w:color w:val="000000"/>
                <w:kern w:val="2"/>
                <w:sz w:val="24"/>
                <w:szCs w:val="24"/>
                <w:u w:val="single"/>
                <w:lang w:val="en-US" w:eastAsia="zh-CN" w:bidi="ar-SA"/>
              </w:rPr>
              <w:t>进行破碎，在破碎过程中会产生少量粉尘，破碎温度约为 30℃-50℃，破碎后经密闭输送带送入磁选机进行磁选，物料磁选及转移过程有粉尘产生。经磁选后物料经密闭输送带至</w:t>
            </w:r>
            <w:r>
              <w:rPr>
                <w:rFonts w:hint="eastAsia" w:ascii="Times New Roman" w:hAnsi="Times New Roman" w:cs="Times New Roman"/>
                <w:b/>
                <w:bCs/>
                <w:color w:val="000000"/>
                <w:kern w:val="2"/>
                <w:sz w:val="24"/>
                <w:szCs w:val="24"/>
                <w:u w:val="single"/>
                <w:lang w:val="en-US" w:eastAsia="zh-CN" w:bidi="ar-SA"/>
              </w:rPr>
              <w:t>往复筛筛分出纤维，过程中产生粉尘。筛分后的物料</w:t>
            </w:r>
            <w:r>
              <w:rPr>
                <w:rFonts w:hint="eastAsia" w:ascii="Times New Roman" w:hAnsi="Times New Roman" w:eastAsia="宋体" w:cs="Times New Roman"/>
                <w:b/>
                <w:bCs/>
                <w:color w:val="000000"/>
                <w:kern w:val="2"/>
                <w:sz w:val="24"/>
                <w:szCs w:val="24"/>
                <w:u w:val="single"/>
                <w:lang w:val="en-US" w:eastAsia="zh-CN" w:bidi="ar-SA"/>
              </w:rPr>
              <w:t>经密闭输送带至</w:t>
            </w:r>
            <w:r>
              <w:rPr>
                <w:rFonts w:hint="eastAsia" w:ascii="Times New Roman" w:hAnsi="Times New Roman" w:cs="Times New Roman"/>
                <w:b/>
                <w:bCs/>
                <w:color w:val="000000"/>
                <w:kern w:val="2"/>
                <w:sz w:val="24"/>
                <w:szCs w:val="24"/>
                <w:u w:val="single"/>
                <w:lang w:val="en-US" w:eastAsia="zh-CN" w:bidi="ar-SA"/>
              </w:rPr>
              <w:t>精细粉碎机进行研磨，</w:t>
            </w:r>
            <w:r>
              <w:rPr>
                <w:rFonts w:hint="eastAsia" w:ascii="Times New Roman" w:hAnsi="Times New Roman" w:eastAsia="宋体" w:cs="Times New Roman"/>
                <w:b/>
                <w:bCs/>
                <w:color w:val="000000"/>
                <w:kern w:val="2"/>
                <w:sz w:val="24"/>
                <w:szCs w:val="24"/>
                <w:u w:val="single"/>
                <w:lang w:val="en-US" w:eastAsia="zh-CN" w:bidi="ar-SA"/>
              </w:rPr>
              <w:t>研磨过程中会产生粉尘，废旧轮胎中橡胶在磨粉机中挤压或磨擦时将会出现摩擦生热现象，产生温度约为90~100℃，产生的热量使设备温度升高，需要对其进行冷却，项目采用循环冷却水进行间接冷却，设备设有循环水池，定期补充，经过水冷降温后达到 50~60℃，有效地控制磨粉过程中的温度，橡胶达不到 200℃分解温度，生产过程橡胶只发生物理变化，不产生化学反应，研磨过程中不会产生炼胶和硫化等废气。</w:t>
            </w:r>
            <w:r>
              <w:rPr>
                <w:rFonts w:hint="eastAsia" w:ascii="Times New Roman" w:hAnsi="Times New Roman" w:cs="Times New Roman"/>
                <w:b/>
                <w:bCs/>
                <w:color w:val="000000"/>
                <w:kern w:val="2"/>
                <w:sz w:val="24"/>
                <w:szCs w:val="24"/>
                <w:u w:val="single"/>
                <w:lang w:val="en-US" w:eastAsia="zh-CN" w:bidi="ar-SA"/>
              </w:rPr>
              <w:t>研磨后的物料</w:t>
            </w:r>
            <w:r>
              <w:rPr>
                <w:rFonts w:hint="eastAsia" w:ascii="Times New Roman" w:hAnsi="Times New Roman" w:eastAsia="宋体" w:cs="Times New Roman"/>
                <w:b/>
                <w:bCs/>
                <w:color w:val="000000"/>
                <w:kern w:val="2"/>
                <w:sz w:val="24"/>
                <w:szCs w:val="24"/>
                <w:u w:val="single"/>
                <w:lang w:val="en-US" w:eastAsia="zh-CN" w:bidi="ar-SA"/>
              </w:rPr>
              <w:t>经密闭输送带至</w:t>
            </w:r>
            <w:r>
              <w:rPr>
                <w:rFonts w:hint="eastAsia" w:ascii="Times New Roman" w:hAnsi="Times New Roman" w:cs="Times New Roman"/>
                <w:b/>
                <w:bCs/>
                <w:color w:val="000000"/>
                <w:kern w:val="2"/>
                <w:sz w:val="24"/>
                <w:szCs w:val="24"/>
                <w:u w:val="single"/>
                <w:lang w:val="en-US" w:eastAsia="zh-CN" w:bidi="ar-SA"/>
              </w:rPr>
              <w:t>细筛分机进行筛分，达到80目的产品进行打包，剩余物料转运至冷冻仓进行处理，该过程中过程中产生粉尘。</w:t>
            </w:r>
          </w:p>
          <w:p w14:paraId="4761A652">
            <w:pPr>
              <w:spacing w:line="520" w:lineRule="exact"/>
              <w:ind w:firstLine="482" w:firstLineChars="200"/>
              <w:rPr>
                <w:rFonts w:hint="eastAsia" w:ascii="Times New Roman" w:hAnsi="Times New Roman" w:eastAsia="宋体" w:cs="Times New Roman"/>
                <w:b/>
                <w:bCs/>
                <w:color w:val="000000"/>
                <w:kern w:val="2"/>
                <w:sz w:val="24"/>
                <w:szCs w:val="24"/>
                <w:u w:val="single"/>
                <w:lang w:val="en-US" w:eastAsia="zh-CN" w:bidi="zh-CN"/>
              </w:rPr>
            </w:pPr>
            <w:r>
              <w:rPr>
                <w:rFonts w:hint="eastAsia" w:ascii="Times New Roman" w:hAnsi="Times New Roman" w:eastAsia="宋体" w:cs="Times New Roman"/>
                <w:b/>
                <w:bCs/>
                <w:color w:val="000000"/>
                <w:kern w:val="2"/>
                <w:sz w:val="24"/>
                <w:szCs w:val="24"/>
                <w:u w:val="single"/>
                <w:lang w:val="en-US" w:eastAsia="zh-CN" w:bidi="zh-CN"/>
              </w:rPr>
              <w:t>1.2废气污染源源强</w:t>
            </w:r>
            <w:r>
              <w:rPr>
                <w:rFonts w:hint="eastAsia" w:cs="Times New Roman"/>
                <w:b/>
                <w:bCs/>
                <w:color w:val="000000"/>
                <w:kern w:val="2"/>
                <w:sz w:val="24"/>
                <w:szCs w:val="24"/>
                <w:u w:val="single"/>
                <w:lang w:val="en-US" w:eastAsia="zh-CN" w:bidi="zh-CN"/>
              </w:rPr>
              <w:t>计算</w:t>
            </w:r>
          </w:p>
          <w:p w14:paraId="0B38CD67">
            <w:pPr>
              <w:spacing w:line="520" w:lineRule="exact"/>
              <w:ind w:firstLine="482" w:firstLineChars="200"/>
              <w:rPr>
                <w:rFonts w:hint="eastAsia" w:ascii="Times New Roman" w:hAnsi="Times New Roman" w:eastAsia="宋体" w:cs="Times New Roman"/>
                <w:b/>
                <w:bCs/>
                <w:color w:val="000000"/>
                <w:kern w:val="2"/>
                <w:sz w:val="24"/>
                <w:szCs w:val="24"/>
                <w:u w:val="single"/>
                <w:lang w:val="en-US" w:eastAsia="zh-CN" w:bidi="ar-SA"/>
              </w:rPr>
            </w:pPr>
            <w:r>
              <w:rPr>
                <w:rFonts w:hint="eastAsia" w:ascii="Times New Roman" w:hAnsi="Times New Roman" w:eastAsia="宋体" w:cs="Times New Roman"/>
                <w:b/>
                <w:bCs/>
                <w:color w:val="000000"/>
                <w:kern w:val="2"/>
                <w:sz w:val="24"/>
                <w:szCs w:val="24"/>
                <w:u w:val="single"/>
                <w:lang w:val="en-US" w:eastAsia="zh-CN" w:bidi="ar-SA"/>
              </w:rPr>
              <w:t>本项目共设</w:t>
            </w:r>
            <w:r>
              <w:rPr>
                <w:rFonts w:hint="eastAsia" w:cs="Times New Roman"/>
                <w:b/>
                <w:bCs/>
                <w:color w:val="000000"/>
                <w:kern w:val="2"/>
                <w:sz w:val="24"/>
                <w:szCs w:val="24"/>
                <w:u w:val="single"/>
                <w:lang w:val="en-US" w:eastAsia="zh-CN" w:bidi="ar-SA"/>
              </w:rPr>
              <w:t>9</w:t>
            </w:r>
            <w:r>
              <w:rPr>
                <w:rFonts w:hint="eastAsia" w:ascii="Times New Roman" w:hAnsi="Times New Roman" w:eastAsia="宋体" w:cs="Times New Roman"/>
                <w:b/>
                <w:bCs/>
                <w:color w:val="000000"/>
                <w:kern w:val="2"/>
                <w:sz w:val="24"/>
                <w:szCs w:val="24"/>
                <w:u w:val="single"/>
                <w:lang w:val="en-US" w:eastAsia="zh-CN" w:bidi="ar-SA"/>
              </w:rPr>
              <w:t>条生产线，生产线每天工作</w:t>
            </w:r>
            <w:r>
              <w:rPr>
                <w:rFonts w:hint="eastAsia" w:cs="Times New Roman"/>
                <w:b/>
                <w:bCs/>
                <w:color w:val="000000"/>
                <w:kern w:val="2"/>
                <w:sz w:val="24"/>
                <w:szCs w:val="24"/>
                <w:u w:val="single"/>
                <w:lang w:val="en-US" w:eastAsia="zh-CN" w:bidi="ar-SA"/>
              </w:rPr>
              <w:t>24</w:t>
            </w:r>
            <w:r>
              <w:rPr>
                <w:rFonts w:hint="eastAsia" w:ascii="Times New Roman" w:hAnsi="Times New Roman" w:eastAsia="宋体" w:cs="Times New Roman"/>
                <w:b/>
                <w:bCs/>
                <w:color w:val="000000"/>
                <w:kern w:val="2"/>
                <w:sz w:val="24"/>
                <w:szCs w:val="24"/>
                <w:u w:val="single"/>
                <w:lang w:val="en-US" w:eastAsia="zh-CN" w:bidi="ar-SA"/>
              </w:rPr>
              <w:t xml:space="preserve">小时，每年工作300天。 </w:t>
            </w:r>
          </w:p>
          <w:p w14:paraId="67BE5F10">
            <w:pPr>
              <w:spacing w:line="520" w:lineRule="exact"/>
              <w:ind w:firstLine="482" w:firstLineChars="200"/>
              <w:rPr>
                <w:rFonts w:hint="eastAsia" w:ascii="Times New Roman" w:hAnsi="Times New Roman" w:eastAsia="宋体" w:cs="Times New Roman"/>
                <w:b/>
                <w:bCs/>
                <w:color w:val="000000"/>
                <w:kern w:val="2"/>
                <w:sz w:val="24"/>
                <w:szCs w:val="24"/>
                <w:u w:val="single"/>
                <w:lang w:val="en-US" w:eastAsia="zh-CN" w:bidi="ar-SA"/>
              </w:rPr>
            </w:pPr>
            <w:r>
              <w:rPr>
                <w:rFonts w:hint="eastAsia" w:ascii="Times New Roman" w:hAnsi="Times New Roman" w:eastAsia="宋体" w:cs="Times New Roman"/>
                <w:b/>
                <w:bCs/>
                <w:color w:val="000000"/>
                <w:kern w:val="2"/>
                <w:sz w:val="24"/>
                <w:szCs w:val="24"/>
                <w:u w:val="single"/>
                <w:lang w:val="en-US" w:eastAsia="zh-CN" w:bidi="ar-SA"/>
              </w:rPr>
              <w:t>本项目废气产排情况表见表</w:t>
            </w:r>
            <w:r>
              <w:rPr>
                <w:rFonts w:hint="eastAsia" w:cs="Times New Roman"/>
                <w:b/>
                <w:bCs/>
                <w:color w:val="000000"/>
                <w:kern w:val="2"/>
                <w:sz w:val="24"/>
                <w:szCs w:val="24"/>
                <w:u w:val="single"/>
                <w:lang w:val="en-US" w:eastAsia="zh-CN" w:bidi="ar-SA"/>
              </w:rPr>
              <w:t>4-1、表4-3</w:t>
            </w:r>
            <w:r>
              <w:rPr>
                <w:rFonts w:hint="eastAsia" w:ascii="Times New Roman" w:hAnsi="Times New Roman" w:eastAsia="宋体" w:cs="Times New Roman"/>
                <w:b/>
                <w:bCs/>
                <w:color w:val="000000"/>
                <w:kern w:val="2"/>
                <w:sz w:val="24"/>
                <w:szCs w:val="24"/>
                <w:u w:val="single"/>
                <w:lang w:val="en-US" w:eastAsia="zh-CN" w:bidi="ar-SA"/>
              </w:rPr>
              <w:t>。</w:t>
            </w:r>
          </w:p>
          <w:p w14:paraId="0AFBD0DC">
            <w:pPr>
              <w:spacing w:line="520" w:lineRule="exact"/>
              <w:ind w:firstLine="482" w:firstLineChars="200"/>
              <w:rPr>
                <w:rFonts w:hint="eastAsia" w:ascii="Times New Roman" w:hAnsi="Times New Roman" w:eastAsia="宋体" w:cs="Times New Roman"/>
                <w:b/>
                <w:bCs/>
                <w:color w:val="000000"/>
                <w:kern w:val="2"/>
                <w:sz w:val="24"/>
                <w:szCs w:val="24"/>
                <w:u w:val="single"/>
                <w:lang w:val="en-US" w:eastAsia="zh-CN" w:bidi="ar-SA"/>
              </w:rPr>
            </w:pPr>
            <w:r>
              <w:rPr>
                <w:rFonts w:hint="eastAsia" w:ascii="Times New Roman" w:hAnsi="Times New Roman" w:eastAsia="宋体" w:cs="Times New Roman"/>
                <w:b/>
                <w:bCs/>
                <w:color w:val="000000"/>
                <w:kern w:val="2"/>
                <w:sz w:val="24"/>
                <w:szCs w:val="24"/>
                <w:u w:val="single"/>
                <w:lang w:val="en-US" w:eastAsia="zh-CN" w:bidi="ar-SA"/>
              </w:rPr>
              <w:t>源强</w:t>
            </w:r>
            <w:r>
              <w:rPr>
                <w:rFonts w:hint="eastAsia" w:cs="Times New Roman"/>
                <w:b/>
                <w:bCs/>
                <w:color w:val="000000"/>
                <w:kern w:val="2"/>
                <w:sz w:val="24"/>
                <w:szCs w:val="24"/>
                <w:u w:val="single"/>
                <w:lang w:val="en-US" w:eastAsia="zh-CN" w:bidi="ar-SA"/>
              </w:rPr>
              <w:t>计</w:t>
            </w:r>
            <w:r>
              <w:rPr>
                <w:rFonts w:hint="eastAsia" w:ascii="Times New Roman" w:hAnsi="Times New Roman" w:eastAsia="宋体" w:cs="Times New Roman"/>
                <w:b/>
                <w:bCs/>
                <w:color w:val="000000"/>
                <w:kern w:val="2"/>
                <w:sz w:val="24"/>
                <w:szCs w:val="24"/>
                <w:u w:val="single"/>
                <w:lang w:val="en-US" w:eastAsia="zh-CN" w:bidi="ar-SA"/>
              </w:rPr>
              <w:t>算过程</w:t>
            </w:r>
            <w:r>
              <w:rPr>
                <w:rFonts w:hint="eastAsia" w:cs="Times New Roman"/>
                <w:b/>
                <w:bCs/>
                <w:color w:val="000000"/>
                <w:kern w:val="2"/>
                <w:sz w:val="24"/>
                <w:szCs w:val="24"/>
                <w:u w:val="single"/>
                <w:lang w:val="en-US" w:eastAsia="zh-CN" w:bidi="ar-SA"/>
              </w:rPr>
              <w:t>：</w:t>
            </w:r>
          </w:p>
          <w:p w14:paraId="353551E5">
            <w:pPr>
              <w:pStyle w:val="28"/>
              <w:spacing w:line="520" w:lineRule="exact"/>
              <w:ind w:firstLine="482" w:firstLineChars="200"/>
              <w:jc w:val="left"/>
              <w:rPr>
                <w:rFonts w:hint="eastAsia" w:ascii="Times New Roman" w:hAnsi="Times New Roman" w:eastAsia="宋体" w:cs="Times New Roman"/>
                <w:b/>
                <w:bCs/>
                <w:color w:val="000000"/>
                <w:kern w:val="2"/>
                <w:sz w:val="24"/>
                <w:szCs w:val="24"/>
                <w:u w:val="single"/>
                <w:lang w:val="en-US" w:eastAsia="zh-CN" w:bidi="ar-SA"/>
              </w:rPr>
            </w:pPr>
            <w:r>
              <w:rPr>
                <w:rFonts w:hint="eastAsia" w:ascii="Times New Roman" w:hAnsi="Times New Roman" w:eastAsia="宋体" w:cs="Times New Roman"/>
                <w:b/>
                <w:bCs/>
                <w:color w:val="000000"/>
                <w:kern w:val="2"/>
                <w:sz w:val="24"/>
                <w:szCs w:val="24"/>
                <w:u w:val="single"/>
                <w:lang w:val="en-US" w:eastAsia="zh-CN" w:bidi="ar-SA"/>
              </w:rPr>
              <w:t>①</w:t>
            </w:r>
            <w:r>
              <w:rPr>
                <w:rFonts w:hint="eastAsia" w:ascii="Times New Roman" w:hAnsi="Times New Roman" w:cs="Times New Roman"/>
                <w:b/>
                <w:bCs/>
                <w:color w:val="000000"/>
                <w:kern w:val="2"/>
                <w:sz w:val="24"/>
                <w:szCs w:val="24"/>
                <w:u w:val="single"/>
                <w:lang w:val="en-US" w:eastAsia="zh-CN" w:bidi="ar-SA"/>
              </w:rPr>
              <w:t xml:space="preserve"> </w:t>
            </w:r>
            <w:r>
              <w:rPr>
                <w:rFonts w:hint="eastAsia" w:ascii="Times New Roman" w:hAnsi="Times New Roman" w:eastAsia="宋体" w:cs="Times New Roman"/>
                <w:b/>
                <w:bCs/>
                <w:color w:val="000000"/>
                <w:kern w:val="2"/>
                <w:sz w:val="24"/>
                <w:szCs w:val="24"/>
                <w:u w:val="single"/>
                <w:lang w:val="en-US" w:eastAsia="zh-CN" w:bidi="ar-SA"/>
              </w:rPr>
              <w:t>废旧轮胎破碎、磁选、磨粉、筛分工序产生的粉尘</w:t>
            </w:r>
          </w:p>
          <w:p w14:paraId="48A5CDFB">
            <w:pPr>
              <w:spacing w:line="520" w:lineRule="exact"/>
              <w:ind w:firstLine="482" w:firstLineChars="200"/>
              <w:rPr>
                <w:rFonts w:hint="eastAsia" w:ascii="Times New Roman" w:hAnsi="Times New Roman" w:eastAsia="宋体" w:cs="Times New Roman"/>
                <w:b/>
                <w:bCs/>
                <w:color w:val="000000"/>
                <w:kern w:val="2"/>
                <w:sz w:val="24"/>
                <w:szCs w:val="24"/>
                <w:u w:val="single"/>
                <w:lang w:val="en-US" w:eastAsia="zh-CN" w:bidi="ar-SA"/>
              </w:rPr>
            </w:pPr>
            <w:r>
              <w:rPr>
                <w:rFonts w:hint="eastAsia" w:ascii="Times New Roman" w:hAnsi="Times New Roman" w:eastAsia="宋体" w:cs="Times New Roman"/>
                <w:b/>
                <w:bCs/>
                <w:color w:val="000000"/>
                <w:kern w:val="2"/>
                <w:sz w:val="24"/>
                <w:szCs w:val="24"/>
                <w:u w:val="single"/>
                <w:lang w:val="en-US" w:eastAsia="zh-CN" w:bidi="ar-SA"/>
              </w:rPr>
              <w:t>本项目废旧轮胎切块、粗碎工序布置在 1 号生产车间，中碎、磁选、粗筛分、细碎、细筛分、胶粉冷冻、胶粉破碎、分级工序分配在2 号生产车间。1号车间为橡胶粗处理生产车间，2号生产线为胶粉生产车间。1号车间处理后生成的粗胶颗粒作为2号车间的原料进行加工。1号车间与2号车间共9 条生产线，每年加工废旧轮胎 16 万吨，车间全密闭。本项目废轮胎原料用量为16万吨，经胎圈分离后的胎圈胶块为13.26万吨</w:t>
            </w:r>
          </w:p>
          <w:p w14:paraId="2687EEAF">
            <w:pPr>
              <w:spacing w:line="520" w:lineRule="exact"/>
              <w:ind w:firstLine="482" w:firstLineChars="200"/>
              <w:rPr>
                <w:rFonts w:hint="eastAsia" w:ascii="Times New Roman" w:hAnsi="Times New Roman" w:eastAsia="宋体" w:cs="Times New Roman"/>
                <w:b/>
                <w:bCs/>
                <w:color w:val="000000" w:themeColor="text1"/>
                <w:kern w:val="2"/>
                <w:sz w:val="24"/>
                <w:szCs w:val="24"/>
                <w:u w:val="single"/>
                <w:lang w:val="en-US" w:eastAsia="zh-CN" w:bidi="ar-SA"/>
                <w14:textFill>
                  <w14:solidFill>
                    <w14:schemeClr w14:val="tx1"/>
                  </w14:solidFill>
                </w14:textFill>
              </w:rPr>
            </w:pPr>
            <w:r>
              <w:rPr>
                <w:rFonts w:hint="eastAsia" w:ascii="Times New Roman" w:hAnsi="Times New Roman" w:eastAsia="宋体" w:cs="Times New Roman"/>
                <w:b/>
                <w:bCs/>
                <w:color w:val="000000"/>
                <w:kern w:val="2"/>
                <w:sz w:val="24"/>
                <w:szCs w:val="24"/>
                <w:u w:val="single"/>
                <w:lang w:val="en-US" w:eastAsia="zh-CN" w:bidi="ar-SA"/>
              </w:rPr>
              <w:t>粉尘产生量按照第二次全国污染源普查工业污染源普查《废弃资源综合利用行业系数手册（试用版）》中4220非金属废料和碎屑加工处理行业，产污系数194克/吨-原料核算，项目年加工废旧轮胎16万吨，则颗粒物产生量为23.15t/a。本项目共9条生产线，破碎、磁选、筛分等工序的设备均安装有集气罩，每3条生产线产生</w:t>
            </w:r>
            <w:r>
              <w:rPr>
                <w:rFonts w:hint="eastAsia" w:ascii="Times New Roman" w:hAnsi="Times New Roman" w:eastAsia="宋体" w:cs="Times New Roman"/>
                <w:b/>
                <w:bCs/>
                <w:color w:val="000000" w:themeColor="text1"/>
                <w:kern w:val="2"/>
                <w:sz w:val="24"/>
                <w:szCs w:val="24"/>
                <w:u w:val="single"/>
                <w:lang w:val="en-US" w:eastAsia="zh-CN" w:bidi="ar-SA"/>
                <w14:textFill>
                  <w14:solidFill>
                    <w14:schemeClr w14:val="tx1"/>
                  </w14:solidFill>
                </w14:textFill>
              </w:rPr>
              <w:t>的废气经同一套废气治理设施处理后由15m排气筒排出（</w:t>
            </w:r>
            <w:r>
              <w:rPr>
                <w:rFonts w:hint="eastAsia" w:cs="Times New Roman"/>
                <w:b/>
                <w:bCs/>
                <w:color w:val="000000" w:themeColor="text1"/>
                <w:u w:val="single"/>
                <w:lang w:val="en-US" w:eastAsia="zh-CN"/>
                <w14:textFill>
                  <w14:solidFill>
                    <w14:schemeClr w14:val="tx1"/>
                  </w14:solidFill>
                </w14:textFill>
              </w:rPr>
              <w:t>每套处理</w:t>
            </w:r>
            <w:r>
              <w:rPr>
                <w:rFonts w:hint="eastAsia" w:cs="Times New Roman"/>
                <w:b/>
                <w:bCs/>
                <w:color w:val="000000"/>
                <w:u w:val="single"/>
                <w:lang w:val="en-US" w:eastAsia="zh-CN"/>
              </w:rPr>
              <w:t>后的废气通过3个排气筒排放，排气筒编号分别为DA001、DA002和DA00</w:t>
            </w:r>
            <w:r>
              <w:rPr>
                <w:rFonts w:hint="eastAsia" w:cs="Times New Roman"/>
                <w:b/>
                <w:bCs/>
                <w:color w:val="000000" w:themeColor="text1"/>
                <w:u w:val="single"/>
                <w:lang w:val="en-US" w:eastAsia="zh-CN"/>
                <w14:textFill>
                  <w14:solidFill>
                    <w14:schemeClr w14:val="tx1"/>
                  </w14:solidFill>
                </w14:textFill>
              </w:rPr>
              <w:t>3</w:t>
            </w:r>
            <w:r>
              <w:rPr>
                <w:rFonts w:hint="eastAsia" w:ascii="Times New Roman" w:hAnsi="Times New Roman" w:eastAsia="宋体" w:cs="Times New Roman"/>
                <w:b/>
                <w:bCs/>
                <w:color w:val="000000" w:themeColor="text1"/>
                <w:kern w:val="2"/>
                <w:sz w:val="24"/>
                <w:szCs w:val="24"/>
                <w:u w:val="single"/>
                <w:lang w:val="en-US" w:eastAsia="zh-CN" w:bidi="ar-SA"/>
                <w14:textFill>
                  <w14:solidFill>
                    <w14:schemeClr w14:val="tx1"/>
                  </w14:solidFill>
                </w14:textFill>
              </w:rPr>
              <w:t>）。破碎、磁选、磨粉、筛分有效工作时</w:t>
            </w:r>
            <w:r>
              <w:rPr>
                <w:rFonts w:hint="eastAsia" w:ascii="Times New Roman" w:hAnsi="Times New Roman" w:eastAsia="宋体" w:cs="Times New Roman"/>
                <w:b/>
                <w:bCs/>
                <w:color w:val="000000" w:themeColor="text1"/>
                <w:kern w:val="2"/>
                <w:sz w:val="24"/>
                <w:szCs w:val="24"/>
                <w:highlight w:val="none"/>
                <w:u w:val="single"/>
                <w:lang w:val="en-US" w:eastAsia="zh-CN" w:bidi="ar-SA"/>
                <w14:textFill>
                  <w14:solidFill>
                    <w14:schemeClr w14:val="tx1"/>
                  </w14:solidFill>
                </w14:textFill>
              </w:rPr>
              <w:t xml:space="preserve">间 </w:t>
            </w:r>
            <w:r>
              <w:rPr>
                <w:rFonts w:hint="eastAsia" w:cs="Times New Roman"/>
                <w:b/>
                <w:bCs/>
                <w:color w:val="000000" w:themeColor="text1"/>
                <w:kern w:val="2"/>
                <w:sz w:val="24"/>
                <w:szCs w:val="24"/>
                <w:highlight w:val="none"/>
                <w:u w:val="single"/>
                <w:lang w:val="en-US" w:eastAsia="zh-CN" w:bidi="ar-SA"/>
                <w14:textFill>
                  <w14:solidFill>
                    <w14:schemeClr w14:val="tx1"/>
                  </w14:solidFill>
                </w14:textFill>
              </w:rPr>
              <w:t>72</w:t>
            </w:r>
            <w:r>
              <w:rPr>
                <w:rFonts w:hint="eastAsia" w:ascii="Times New Roman" w:hAnsi="Times New Roman" w:eastAsia="宋体" w:cs="Times New Roman"/>
                <w:b/>
                <w:bCs/>
                <w:color w:val="000000" w:themeColor="text1"/>
                <w:kern w:val="2"/>
                <w:sz w:val="24"/>
                <w:szCs w:val="24"/>
                <w:highlight w:val="none"/>
                <w:u w:val="single"/>
                <w:lang w:val="en-US" w:eastAsia="zh-CN" w:bidi="ar-SA"/>
                <w14:textFill>
                  <w14:solidFill>
                    <w14:schemeClr w14:val="tx1"/>
                  </w14:solidFill>
                </w14:textFill>
              </w:rPr>
              <w:t>00h，</w:t>
            </w:r>
            <w:r>
              <w:rPr>
                <w:rFonts w:hint="eastAsia" w:ascii="Times New Roman" w:hAnsi="Times New Roman" w:eastAsia="宋体" w:cs="Times New Roman"/>
                <w:b/>
                <w:bCs/>
                <w:color w:val="000000" w:themeColor="text1"/>
                <w:kern w:val="2"/>
                <w:sz w:val="24"/>
                <w:szCs w:val="24"/>
                <w:u w:val="single"/>
                <w:lang w:val="en-US" w:eastAsia="zh-CN" w:bidi="ar-SA"/>
                <w14:textFill>
                  <w14:solidFill>
                    <w14:schemeClr w14:val="tx1"/>
                  </w14:solidFill>
                </w14:textFill>
              </w:rPr>
              <w:t>风机风量为 10000m</w:t>
            </w:r>
            <w:r>
              <w:rPr>
                <w:rFonts w:hint="eastAsia" w:ascii="Times New Roman" w:hAnsi="Times New Roman" w:eastAsia="宋体" w:cs="Times New Roman"/>
                <w:b/>
                <w:bCs/>
                <w:color w:val="000000" w:themeColor="text1"/>
                <w:kern w:val="2"/>
                <w:sz w:val="24"/>
                <w:szCs w:val="24"/>
                <w:u w:val="single"/>
                <w:vertAlign w:val="superscript"/>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kern w:val="2"/>
                <w:sz w:val="24"/>
                <w:szCs w:val="24"/>
                <w:u w:val="single"/>
                <w:lang w:val="en-US" w:eastAsia="zh-CN" w:bidi="ar-SA"/>
                <w14:textFill>
                  <w14:solidFill>
                    <w14:schemeClr w14:val="tx1"/>
                  </w14:solidFill>
                </w14:textFill>
              </w:rPr>
              <w:t>/h（1号2号生产车间共用 3 套环保处理设备）。</w:t>
            </w:r>
          </w:p>
          <w:p w14:paraId="2C236931">
            <w:pPr>
              <w:spacing w:line="520" w:lineRule="exact"/>
              <w:ind w:firstLine="482" w:firstLineChars="200"/>
              <w:rPr>
                <w:rFonts w:hint="eastAsia" w:ascii="Times New Roman" w:hAnsi="Times New Roman" w:eastAsia="宋体" w:cs="Times New Roman"/>
                <w:b/>
                <w:bCs/>
                <w:color w:val="000000"/>
                <w:kern w:val="2"/>
                <w:sz w:val="24"/>
                <w:szCs w:val="24"/>
                <w:u w:val="single"/>
                <w:lang w:val="en-US" w:eastAsia="zh-CN" w:bidi="ar-SA"/>
              </w:rPr>
            </w:pPr>
            <w:r>
              <w:rPr>
                <w:rFonts w:hint="eastAsia" w:ascii="Times New Roman" w:hAnsi="Times New Roman" w:eastAsia="宋体" w:cs="Times New Roman"/>
                <w:b/>
                <w:bCs/>
                <w:color w:val="000000"/>
                <w:kern w:val="2"/>
                <w:sz w:val="24"/>
                <w:szCs w:val="24"/>
                <w:u w:val="single"/>
                <w:lang w:val="en-US" w:eastAsia="zh-CN" w:bidi="ar-SA"/>
              </w:rPr>
              <w:t>②</w:t>
            </w:r>
            <w:r>
              <w:rPr>
                <w:rFonts w:hint="eastAsia" w:cs="Times New Roman"/>
                <w:b/>
                <w:bCs/>
                <w:color w:val="000000"/>
                <w:kern w:val="2"/>
                <w:sz w:val="24"/>
                <w:szCs w:val="24"/>
                <w:u w:val="single"/>
                <w:lang w:val="en-US" w:eastAsia="zh-CN" w:bidi="ar-SA"/>
              </w:rPr>
              <w:t xml:space="preserve"> </w:t>
            </w:r>
            <w:r>
              <w:rPr>
                <w:rFonts w:hint="eastAsia" w:ascii="Times New Roman" w:hAnsi="Times New Roman" w:eastAsia="宋体" w:cs="Times New Roman"/>
                <w:b/>
                <w:bCs/>
                <w:color w:val="000000"/>
                <w:kern w:val="2"/>
                <w:sz w:val="24"/>
                <w:szCs w:val="24"/>
                <w:u w:val="single"/>
                <w:lang w:val="en-US" w:eastAsia="zh-CN" w:bidi="ar-SA"/>
              </w:rPr>
              <w:t>废旧轮胎磨粉工序产生的废气</w:t>
            </w:r>
          </w:p>
          <w:p w14:paraId="5E3C1496">
            <w:pPr>
              <w:spacing w:line="520" w:lineRule="exact"/>
              <w:ind w:firstLine="482" w:firstLineChars="200"/>
              <w:rPr>
                <w:rFonts w:hint="eastAsia"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en-US" w:eastAsia="zh-CN"/>
              </w:rPr>
              <w:t>根据同类型企业现场踏勘及类比调查，研磨过程中橡胶达不到分解温度，不会产生有机废气，在挤压和研磨摩擦时会产生极少量橡胶本身气味，可忽略不计，为了更好达到环保要求，去除橡胶本身气味，本项目采取循环冷却水以及</w:t>
            </w:r>
            <w:r>
              <w:rPr>
                <w:rFonts w:hint="eastAsia" w:cs="Times New Roman"/>
                <w:b/>
                <w:bCs/>
                <w:color w:val="000000"/>
                <w:u w:val="single"/>
                <w:lang w:val="en-US" w:eastAsia="zh-CN"/>
              </w:rPr>
              <w:t>二级活性炭吸附装置处理</w:t>
            </w:r>
            <w:r>
              <w:rPr>
                <w:rFonts w:hint="eastAsia" w:ascii="Times New Roman" w:hAnsi="Times New Roman" w:eastAsia="宋体" w:cs="Times New Roman"/>
                <w:b/>
                <w:bCs/>
                <w:color w:val="000000"/>
                <w:u w:val="single"/>
                <w:lang w:val="en-US" w:eastAsia="zh-CN"/>
              </w:rPr>
              <w:t>，这样更好的去除产生的少量橡胶本身气味。</w:t>
            </w:r>
          </w:p>
          <w:p w14:paraId="7F8EA7D9">
            <w:pPr>
              <w:spacing w:line="520" w:lineRule="exact"/>
              <w:ind w:firstLine="482" w:firstLineChars="200"/>
              <w:rPr>
                <w:rFonts w:hint="default" w:cs="Times New Roman"/>
                <w:b/>
                <w:bCs/>
                <w:color w:val="000000"/>
                <w:u w:val="single"/>
                <w:lang w:val="en-US" w:eastAsia="zh-CN"/>
              </w:rPr>
            </w:pPr>
            <w:r>
              <w:rPr>
                <w:rFonts w:hint="eastAsia" w:cs="Times New Roman"/>
                <w:b/>
                <w:bCs/>
                <w:color w:val="000000"/>
                <w:u w:val="single"/>
                <w:lang w:val="en-US" w:eastAsia="zh-CN"/>
              </w:rPr>
              <w:t>② 有组织排放</w:t>
            </w:r>
          </w:p>
          <w:p w14:paraId="31A28876">
            <w:pPr>
              <w:spacing w:line="520" w:lineRule="exact"/>
              <w:ind w:firstLine="482" w:firstLineChars="200"/>
              <w:rPr>
                <w:rFonts w:hint="eastAsia" w:cs="Times New Roman"/>
                <w:b/>
                <w:bCs/>
                <w:color w:val="000000" w:themeColor="text1"/>
                <w:u w:val="single"/>
                <w:lang w:val="en-US" w:eastAsia="zh-CN"/>
                <w14:textFill>
                  <w14:solidFill>
                    <w14:schemeClr w14:val="tx1"/>
                  </w14:solidFill>
                </w14:textFill>
              </w:rPr>
            </w:pPr>
            <w:r>
              <w:rPr>
                <w:rFonts w:hint="eastAsia" w:cs="Times New Roman"/>
                <w:b/>
                <w:bCs/>
                <w:color w:val="000000"/>
                <w:u w:val="single"/>
                <w:lang w:val="en-US" w:eastAsia="zh-CN"/>
              </w:rPr>
              <w:t>本项目破碎、磁选、磨粉、筛分工序投料和下料产生的废气经集气罩收集，先经各自的袋式除尘器除尘器进行除尘处理，再经二级活性炭吸附装置处理后，通过15m高排气筒排</w:t>
            </w:r>
            <w:r>
              <w:rPr>
                <w:rFonts w:hint="eastAsia" w:cs="Times New Roman"/>
                <w:b/>
                <w:bCs/>
                <w:color w:val="000000" w:themeColor="text1"/>
                <w:u w:val="single"/>
                <w:lang w:val="en-US" w:eastAsia="zh-CN"/>
                <w14:textFill>
                  <w14:solidFill>
                    <w14:schemeClr w14:val="tx1"/>
                  </w14:solidFill>
                </w14:textFill>
              </w:rPr>
              <w:t>放，项目破碎、磁选、磨粉、筛分工序均设置在密闭车间内，有效工作时</w:t>
            </w:r>
            <w:r>
              <w:rPr>
                <w:rFonts w:hint="eastAsia" w:cs="Times New Roman"/>
                <w:b/>
                <w:bCs/>
                <w:color w:val="000000" w:themeColor="text1"/>
                <w:highlight w:val="none"/>
                <w:u w:val="single"/>
                <w:lang w:val="en-US" w:eastAsia="zh-CN"/>
                <w14:textFill>
                  <w14:solidFill>
                    <w14:schemeClr w14:val="tx1"/>
                  </w14:solidFill>
                </w14:textFill>
              </w:rPr>
              <w:t>间7200h，风</w:t>
            </w:r>
            <w:r>
              <w:rPr>
                <w:rFonts w:hint="eastAsia" w:cs="Times New Roman"/>
                <w:b/>
                <w:bCs/>
                <w:color w:val="000000" w:themeColor="text1"/>
                <w:u w:val="single"/>
                <w:lang w:val="en-US" w:eastAsia="zh-CN"/>
                <w14:textFill>
                  <w14:solidFill>
                    <w14:schemeClr w14:val="tx1"/>
                  </w14:solidFill>
                </w14:textFill>
              </w:rPr>
              <w:t>机风量为10000m</w:t>
            </w:r>
            <w:r>
              <w:rPr>
                <w:rFonts w:hint="eastAsia" w:cs="Times New Roman"/>
                <w:b/>
                <w:bCs/>
                <w:color w:val="000000" w:themeColor="text1"/>
                <w:u w:val="single"/>
                <w:vertAlign w:val="superscript"/>
                <w:lang w:val="en-US" w:eastAsia="zh-CN"/>
                <w14:textFill>
                  <w14:solidFill>
                    <w14:schemeClr w14:val="tx1"/>
                  </w14:solidFill>
                </w14:textFill>
              </w:rPr>
              <w:t>3</w:t>
            </w:r>
            <w:r>
              <w:rPr>
                <w:rFonts w:hint="eastAsia" w:cs="Times New Roman"/>
                <w:b/>
                <w:bCs/>
                <w:color w:val="000000" w:themeColor="text1"/>
                <w:u w:val="single"/>
                <w:lang w:val="en-US" w:eastAsia="zh-CN"/>
                <w14:textFill>
                  <w14:solidFill>
                    <w14:schemeClr w14:val="tx1"/>
                  </w14:solidFill>
                </w14:textFill>
              </w:rPr>
              <w:t>/h，集气罩收集效率90%，套袋式除尘器处理效率98%，处理后通过15m高排气筒排放。由此可得，颗粒物排放量为0.463t/a，排放速率为0.064kg/h，排放浓度为6.431mg/m</w:t>
            </w:r>
            <w:r>
              <w:rPr>
                <w:rFonts w:hint="eastAsia" w:cs="Times New Roman"/>
                <w:b/>
                <w:bCs/>
                <w:color w:val="000000" w:themeColor="text1"/>
                <w:u w:val="single"/>
                <w:vertAlign w:val="superscript"/>
                <w:lang w:val="en-US" w:eastAsia="zh-CN"/>
                <w14:textFill>
                  <w14:solidFill>
                    <w14:schemeClr w14:val="tx1"/>
                  </w14:solidFill>
                </w14:textFill>
              </w:rPr>
              <w:t>3</w:t>
            </w:r>
            <w:r>
              <w:rPr>
                <w:rFonts w:hint="eastAsia" w:cs="Times New Roman"/>
                <w:b/>
                <w:bCs/>
                <w:color w:val="000000" w:themeColor="text1"/>
                <w:u w:val="single"/>
                <w:lang w:val="en-US" w:eastAsia="zh-CN"/>
                <w14:textFill>
                  <w14:solidFill>
                    <w14:schemeClr w14:val="tx1"/>
                  </w14:solidFill>
                </w14:textFill>
              </w:rPr>
              <w:t>。</w:t>
            </w:r>
          </w:p>
          <w:p w14:paraId="61CE2389">
            <w:pPr>
              <w:spacing w:line="520" w:lineRule="exact"/>
              <w:ind w:firstLine="482" w:firstLineChars="200"/>
              <w:rPr>
                <w:rFonts w:hint="default" w:cs="Times New Roman"/>
                <w:b/>
                <w:bCs/>
                <w:color w:val="000000"/>
                <w:u w:val="single"/>
                <w:lang w:val="en-US" w:eastAsia="zh-CN"/>
              </w:rPr>
            </w:pPr>
            <w:r>
              <w:rPr>
                <w:rFonts w:hint="eastAsia" w:cs="Times New Roman"/>
                <w:b/>
                <w:bCs/>
                <w:color w:val="000000"/>
                <w:u w:val="single"/>
                <w:lang w:val="en-US" w:eastAsia="zh-CN"/>
              </w:rPr>
              <w:t>④ 无组织排放</w:t>
            </w:r>
          </w:p>
          <w:p w14:paraId="0BC2BA22">
            <w:pPr>
              <w:spacing w:line="520" w:lineRule="exact"/>
              <w:ind w:firstLine="482" w:firstLineChars="200"/>
              <w:rPr>
                <w:rFonts w:hint="eastAsia" w:cs="Times New Roman"/>
                <w:b/>
                <w:bCs/>
                <w:color w:val="000000"/>
                <w:u w:val="single"/>
                <w:lang w:val="en-US" w:eastAsia="zh-CN"/>
              </w:rPr>
            </w:pPr>
            <w:r>
              <w:rPr>
                <w:rFonts w:hint="default" w:cs="Times New Roman"/>
                <w:b/>
                <w:bCs/>
                <w:color w:val="000000"/>
                <w:u w:val="single"/>
                <w:lang w:val="en-US" w:eastAsia="zh-CN"/>
              </w:rPr>
              <w:t xml:space="preserve">本项目废旧轮胎破碎、磁选、磨粉、筛分工序的废气收集效率为 90%，即有 10%的废气为无组织排放。污染物无组织排放量为：颗粒物为 </w:t>
            </w:r>
            <w:r>
              <w:rPr>
                <w:rFonts w:hint="eastAsia" w:cs="Times New Roman"/>
                <w:b/>
                <w:bCs/>
                <w:color w:val="000000"/>
                <w:u w:val="single"/>
                <w:lang w:val="en-US" w:eastAsia="zh-CN"/>
              </w:rPr>
              <w:t>2.315</w:t>
            </w:r>
            <w:r>
              <w:rPr>
                <w:rFonts w:hint="default" w:cs="Times New Roman"/>
                <w:b/>
                <w:bCs/>
                <w:color w:val="000000"/>
                <w:u w:val="single"/>
                <w:lang w:val="en-US" w:eastAsia="zh-CN"/>
              </w:rPr>
              <w:t>t/a。</w:t>
            </w:r>
            <w:r>
              <w:rPr>
                <w:rFonts w:hint="eastAsia" w:cs="Times New Roman"/>
                <w:b/>
                <w:bCs/>
                <w:color w:val="000000"/>
                <w:u w:val="single"/>
                <w:lang w:val="en-US" w:eastAsia="zh-CN"/>
              </w:rPr>
              <w:t>无</w:t>
            </w:r>
            <w:r>
              <w:rPr>
                <w:rFonts w:hint="default" w:cs="Times New Roman"/>
                <w:b/>
                <w:bCs/>
                <w:color w:val="000000"/>
                <w:u w:val="single"/>
                <w:lang w:val="en-US" w:eastAsia="zh-CN"/>
              </w:rPr>
              <w:t>组织废气污染物产生、排放情况</w:t>
            </w:r>
            <w:r>
              <w:rPr>
                <w:rFonts w:hint="eastAsia" w:cs="Times New Roman"/>
                <w:b/>
                <w:bCs/>
                <w:color w:val="000000"/>
                <w:u w:val="single"/>
                <w:lang w:val="en-US" w:eastAsia="zh-CN"/>
              </w:rPr>
              <w:t>见表4-3。</w:t>
            </w:r>
          </w:p>
          <w:p w14:paraId="1C88712E">
            <w:pPr>
              <w:spacing w:line="520" w:lineRule="exact"/>
              <w:ind w:firstLine="482" w:firstLineChars="200"/>
              <w:rPr>
                <w:rFonts w:hint="default" w:cs="Times New Roman"/>
                <w:b/>
                <w:bCs/>
                <w:color w:val="000000"/>
                <w:u w:val="single"/>
                <w:lang w:val="en-US" w:eastAsia="zh-CN"/>
              </w:rPr>
            </w:pPr>
            <w:r>
              <w:rPr>
                <w:rFonts w:hint="eastAsia" w:cs="Times New Roman"/>
                <w:b/>
                <w:bCs/>
                <w:color w:val="000000"/>
                <w:u w:val="single"/>
                <w:lang w:val="en-US" w:eastAsia="zh-CN"/>
              </w:rPr>
              <w:t>⑤ 厨房油烟废气</w:t>
            </w:r>
          </w:p>
          <w:p w14:paraId="183A1DAE">
            <w:pPr>
              <w:spacing w:line="520" w:lineRule="exact"/>
              <w:ind w:firstLine="482" w:firstLineChars="200"/>
              <w:rPr>
                <w:rFonts w:hint="default"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u w:val="single"/>
                <w:lang w:val="en-US" w:eastAsia="zh-CN"/>
              </w:rPr>
              <w:t>项目食堂共设四个基准灶头，食堂位于厂区综合楼，就餐座位设置为60人，职位对照《餐饮业油烟污染物排放标准》（DB41/1604-2018），本项目食堂属于小型食堂。厂区每天就餐人次为 120 人次，年工作 300 天。据调查，一般的饮食食用油耗油系数为 20g/（人·餐）计算，则厂区总耗油量为 0.72t/a。烹饪过程中的挥发损失为 2%左右，因此油烟的产生量为 0.0144t/a。本评价要求建设单位安装高效油烟净化器，去除效率为90%，风量为 8000</w:t>
            </w:r>
            <w:r>
              <w:rPr>
                <w:rFonts w:hint="eastAsia" w:ascii="Times New Roman" w:hAnsi="Times New Roman" w:eastAsia="宋体"/>
                <w:b/>
                <w:bCs/>
                <w:color w:val="000000"/>
                <w:u w:val="single"/>
                <w:lang w:val="en-US" w:eastAsia="zh-CN"/>
              </w:rPr>
              <w:t>m³</w:t>
            </w:r>
            <w:r>
              <w:rPr>
                <w:rFonts w:hint="eastAsia" w:ascii="Times New Roman" w:hAnsi="Times New Roman" w:eastAsia="宋体" w:cs="Times New Roman"/>
                <w:b/>
                <w:bCs/>
                <w:color w:val="000000"/>
                <w:u w:val="single"/>
                <w:lang w:val="en-US" w:eastAsia="zh-CN"/>
              </w:rPr>
              <w:t>/h，烹饪时间按每天4h 计，油烟排放浓度为 0.15mg/</w:t>
            </w:r>
            <w:r>
              <w:rPr>
                <w:rFonts w:hint="eastAsia" w:ascii="Times New Roman" w:hAnsi="Times New Roman" w:eastAsia="宋体"/>
                <w:b/>
                <w:bCs/>
                <w:color w:val="000000"/>
                <w:u w:val="single"/>
                <w:lang w:val="en-US" w:eastAsia="zh-CN"/>
              </w:rPr>
              <w:t>m³</w:t>
            </w:r>
            <w:r>
              <w:rPr>
                <w:rFonts w:hint="eastAsia" w:ascii="Times New Roman" w:hAnsi="Times New Roman" w:eastAsia="宋体" w:cs="Times New Roman"/>
                <w:b/>
                <w:bCs/>
                <w:color w:val="000000"/>
                <w:u w:val="single"/>
                <w:lang w:val="en-US" w:eastAsia="zh-CN"/>
              </w:rPr>
              <w:t>。</w:t>
            </w:r>
          </w:p>
          <w:p w14:paraId="17E4F603">
            <w:pPr>
              <w:autoSpaceDE w:val="0"/>
              <w:autoSpaceDN w:val="0"/>
              <w:adjustRightInd w:val="0"/>
              <w:spacing w:line="480" w:lineRule="exact"/>
              <w:ind w:firstLine="420" w:firstLineChars="200"/>
              <w:rPr>
                <w:rFonts w:hint="eastAsia" w:ascii="Times New Roman" w:hAnsi="Times New Roman" w:cs="Times New Roman"/>
                <w:color w:val="auto"/>
                <w:sz w:val="21"/>
                <w:szCs w:val="21"/>
              </w:rPr>
            </w:pPr>
          </w:p>
          <w:p w14:paraId="13924300">
            <w:pPr>
              <w:autoSpaceDE w:val="0"/>
              <w:autoSpaceDN w:val="0"/>
              <w:adjustRightInd w:val="0"/>
              <w:spacing w:line="480" w:lineRule="exact"/>
              <w:ind w:firstLine="420" w:firstLineChars="200"/>
              <w:rPr>
                <w:rFonts w:hint="eastAsia" w:ascii="Times New Roman" w:hAnsi="Times New Roman" w:cs="Times New Roman"/>
                <w:color w:val="auto"/>
                <w:sz w:val="21"/>
                <w:szCs w:val="21"/>
              </w:rPr>
            </w:pPr>
          </w:p>
          <w:p w14:paraId="03708440">
            <w:pPr>
              <w:autoSpaceDE w:val="0"/>
              <w:autoSpaceDN w:val="0"/>
              <w:adjustRightInd w:val="0"/>
              <w:spacing w:line="480" w:lineRule="exact"/>
              <w:ind w:firstLine="420" w:firstLineChars="200"/>
              <w:rPr>
                <w:rFonts w:hint="eastAsia" w:ascii="Times New Roman" w:hAnsi="Times New Roman" w:cs="Times New Roman"/>
                <w:color w:val="auto"/>
                <w:sz w:val="21"/>
                <w:szCs w:val="21"/>
              </w:rPr>
            </w:pPr>
          </w:p>
          <w:p w14:paraId="6FB86E37">
            <w:pPr>
              <w:autoSpaceDE w:val="0"/>
              <w:autoSpaceDN w:val="0"/>
              <w:adjustRightInd w:val="0"/>
              <w:spacing w:line="480" w:lineRule="exact"/>
              <w:ind w:firstLine="420" w:firstLineChars="200"/>
              <w:rPr>
                <w:rFonts w:hint="eastAsia" w:ascii="Times New Roman" w:hAnsi="Times New Roman" w:cs="Times New Roman"/>
                <w:color w:val="auto"/>
                <w:sz w:val="21"/>
                <w:szCs w:val="21"/>
              </w:rPr>
            </w:pPr>
          </w:p>
          <w:p w14:paraId="11371F07">
            <w:pPr>
              <w:autoSpaceDE w:val="0"/>
              <w:autoSpaceDN w:val="0"/>
              <w:adjustRightInd w:val="0"/>
              <w:spacing w:line="480" w:lineRule="exact"/>
              <w:rPr>
                <w:rFonts w:hint="default" w:ascii="Times New Roman" w:hAnsi="Times New Roman" w:eastAsia="宋体" w:cs="Times New Roman"/>
                <w:b/>
                <w:bCs/>
                <w:kern w:val="0"/>
                <w:szCs w:val="21"/>
                <w:lang w:val="en-US" w:eastAsia="zh-CN"/>
              </w:rPr>
            </w:pPr>
          </w:p>
        </w:tc>
      </w:tr>
    </w:tbl>
    <w:p w14:paraId="04EFA4B2">
      <w:pPr>
        <w:rPr>
          <w:rFonts w:ascii="Calibri" w:hAnsi="Calibri" w:eastAsia="Calibri"/>
          <w:color w:val="000000"/>
        </w:rPr>
        <w:sectPr>
          <w:pgSz w:w="11906" w:h="16838"/>
          <w:pgMar w:top="1440" w:right="1800" w:bottom="1440" w:left="1800" w:header="851" w:footer="992" w:gutter="0"/>
          <w:pgNumType w:fmt="decimal"/>
          <w:cols w:space="425" w:num="1"/>
          <w:docGrid w:type="lines" w:linePitch="312" w:charSpace="0"/>
        </w:sectPr>
      </w:pPr>
      <w:r>
        <w:rPr>
          <w:rFonts w:ascii="Calibri" w:hAnsi="Calibri" w:eastAsia="Calibri"/>
          <w:color w:val="000000"/>
        </w:rPr>
        <w:br w:type="page"/>
      </w:r>
    </w:p>
    <w:p w14:paraId="07995CB7">
      <w:pPr>
        <w:numPr>
          <w:ilvl w:val="0"/>
          <w:numId w:val="0"/>
        </w:numPr>
        <w:jc w:val="center"/>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eastAsia="宋体" w:cs="Times New Roman"/>
          <w:b/>
          <w:bCs/>
          <w:kern w:val="2"/>
          <w:sz w:val="21"/>
          <w:szCs w:val="21"/>
          <w:u w:val="single"/>
          <w:lang w:val="en-US" w:eastAsia="zh-CN" w:bidi="ar-SA"/>
        </w:rPr>
        <w:t xml:space="preserve">表4-1 </w:t>
      </w:r>
      <w:r>
        <w:rPr>
          <w:rFonts w:hint="eastAsia" w:cs="Times New Roman"/>
          <w:b/>
          <w:bCs/>
          <w:kern w:val="2"/>
          <w:sz w:val="21"/>
          <w:szCs w:val="21"/>
          <w:u w:val="single"/>
          <w:lang w:val="en-US" w:eastAsia="zh-CN" w:bidi="ar-SA"/>
        </w:rPr>
        <w:t>有组织废气产排情况表</w:t>
      </w:r>
    </w:p>
    <w:tbl>
      <w:tblPr>
        <w:tblStyle w:val="17"/>
        <w:tblW w:w="14282" w:type="dxa"/>
        <w:tblInd w:w="-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1277"/>
        <w:gridCol w:w="1383"/>
        <w:gridCol w:w="1065"/>
        <w:gridCol w:w="1170"/>
        <w:gridCol w:w="962"/>
        <w:gridCol w:w="915"/>
        <w:gridCol w:w="930"/>
        <w:gridCol w:w="765"/>
        <w:gridCol w:w="795"/>
        <w:gridCol w:w="930"/>
        <w:gridCol w:w="915"/>
        <w:gridCol w:w="1015"/>
        <w:gridCol w:w="1170"/>
      </w:tblGrid>
      <w:tr w14:paraId="316CD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vMerge w:val="restart"/>
            <w:shd w:val="clear" w:color="auto" w:fill="auto"/>
            <w:vAlign w:val="center"/>
          </w:tcPr>
          <w:p w14:paraId="44DA95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排放口</w:t>
            </w:r>
          </w:p>
          <w:p w14:paraId="7D8805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编号</w:t>
            </w:r>
          </w:p>
        </w:tc>
        <w:tc>
          <w:tcPr>
            <w:tcW w:w="1277" w:type="dxa"/>
            <w:vMerge w:val="restart"/>
            <w:shd w:val="clear" w:color="auto" w:fill="auto"/>
            <w:vAlign w:val="center"/>
          </w:tcPr>
          <w:p w14:paraId="662E34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产排污</w:t>
            </w:r>
          </w:p>
          <w:p w14:paraId="5F648A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环节</w:t>
            </w:r>
          </w:p>
        </w:tc>
        <w:tc>
          <w:tcPr>
            <w:tcW w:w="1383" w:type="dxa"/>
            <w:vMerge w:val="restart"/>
            <w:shd w:val="clear" w:color="auto" w:fill="auto"/>
            <w:vAlign w:val="center"/>
          </w:tcPr>
          <w:p w14:paraId="1FE3FB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污染物种类</w:t>
            </w:r>
          </w:p>
        </w:tc>
        <w:tc>
          <w:tcPr>
            <w:tcW w:w="1065" w:type="dxa"/>
            <w:vMerge w:val="restart"/>
            <w:shd w:val="clear" w:color="auto" w:fill="auto"/>
            <w:vAlign w:val="center"/>
          </w:tcPr>
          <w:p w14:paraId="618F84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废气量</w:t>
            </w:r>
          </w:p>
          <w:p w14:paraId="48A5F9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w:t>
            </w:r>
            <w:r>
              <w:rPr>
                <w:rFonts w:hint="eastAsia" w:ascii="Times New Roman" w:hAnsi="Times New Roman" w:eastAsia="宋体"/>
                <w:b/>
                <w:bCs/>
                <w:color w:val="000000"/>
                <w:u w:val="single"/>
                <w:lang w:val="en-US" w:eastAsia="zh-CN"/>
              </w:rPr>
              <w:t>m³</w:t>
            </w:r>
            <w:r>
              <w:rPr>
                <w:rFonts w:hint="eastAsia"/>
                <w:b/>
                <w:bCs/>
                <w:color w:val="000000"/>
                <w:u w:val="single"/>
                <w:lang w:val="en-US" w:eastAsia="zh-CN"/>
              </w:rPr>
              <w:t>/h</w:t>
            </w:r>
            <w:r>
              <w:rPr>
                <w:rFonts w:hint="eastAsia" w:cs="Times New Roman"/>
                <w:b/>
                <w:bCs/>
                <w:color w:val="000000"/>
                <w:kern w:val="2"/>
                <w:sz w:val="21"/>
                <w:szCs w:val="21"/>
                <w:u w:val="single"/>
                <w:lang w:val="en-US" w:eastAsia="zh-CN" w:bidi="ar-SA"/>
              </w:rPr>
              <w:t>）</w:t>
            </w:r>
          </w:p>
        </w:tc>
        <w:tc>
          <w:tcPr>
            <w:tcW w:w="1170" w:type="dxa"/>
            <w:vMerge w:val="restart"/>
            <w:shd w:val="clear" w:color="auto" w:fill="auto"/>
            <w:vAlign w:val="center"/>
          </w:tcPr>
          <w:p w14:paraId="27B944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污染物</w:t>
            </w:r>
          </w:p>
          <w:p w14:paraId="43BD895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种类</w:t>
            </w:r>
          </w:p>
        </w:tc>
        <w:tc>
          <w:tcPr>
            <w:tcW w:w="962" w:type="dxa"/>
            <w:vMerge w:val="restart"/>
            <w:shd w:val="clear" w:color="auto" w:fill="auto"/>
            <w:vAlign w:val="center"/>
          </w:tcPr>
          <w:p w14:paraId="2F9140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产生</w:t>
            </w:r>
          </w:p>
          <w:p w14:paraId="584EEC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浓度</w:t>
            </w:r>
          </w:p>
          <w:p w14:paraId="4B7391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mg/</w:t>
            </w:r>
            <w:r>
              <w:rPr>
                <w:rFonts w:hint="eastAsia" w:ascii="Times New Roman" w:hAnsi="Times New Roman" w:eastAsia="宋体"/>
                <w:b/>
                <w:bCs/>
                <w:color w:val="000000"/>
                <w:u w:val="single"/>
                <w:lang w:val="en-US" w:eastAsia="zh-CN"/>
              </w:rPr>
              <w:t>m³</w:t>
            </w:r>
          </w:p>
        </w:tc>
        <w:tc>
          <w:tcPr>
            <w:tcW w:w="915" w:type="dxa"/>
            <w:vMerge w:val="restart"/>
            <w:shd w:val="clear" w:color="auto" w:fill="auto"/>
            <w:vAlign w:val="center"/>
          </w:tcPr>
          <w:p w14:paraId="7A1B62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产生</w:t>
            </w:r>
          </w:p>
          <w:p w14:paraId="15730C0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速率</w:t>
            </w:r>
          </w:p>
          <w:p w14:paraId="7FEB78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kg/h</w:t>
            </w:r>
          </w:p>
        </w:tc>
        <w:tc>
          <w:tcPr>
            <w:tcW w:w="930" w:type="dxa"/>
            <w:vMerge w:val="restart"/>
            <w:shd w:val="clear" w:color="auto" w:fill="auto"/>
            <w:vAlign w:val="center"/>
          </w:tcPr>
          <w:p w14:paraId="4C379A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产生量</w:t>
            </w:r>
          </w:p>
          <w:p w14:paraId="4AB483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t/a</w:t>
            </w:r>
          </w:p>
        </w:tc>
        <w:tc>
          <w:tcPr>
            <w:tcW w:w="4420" w:type="dxa"/>
            <w:gridSpan w:val="5"/>
            <w:shd w:val="clear" w:color="auto" w:fill="auto"/>
            <w:vAlign w:val="center"/>
          </w:tcPr>
          <w:p w14:paraId="4C60A4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有组织</w:t>
            </w:r>
          </w:p>
        </w:tc>
        <w:tc>
          <w:tcPr>
            <w:tcW w:w="1170" w:type="dxa"/>
            <w:vMerge w:val="restart"/>
            <w:shd w:val="clear" w:color="auto" w:fill="auto"/>
            <w:vAlign w:val="center"/>
          </w:tcPr>
          <w:p w14:paraId="73E1A5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排放时</w:t>
            </w:r>
          </w:p>
          <w:p w14:paraId="62DD0E9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间 h</w:t>
            </w:r>
          </w:p>
        </w:tc>
      </w:tr>
      <w:tr w14:paraId="2F6C7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vMerge w:val="continue"/>
            <w:shd w:val="clear" w:color="auto" w:fill="auto"/>
            <w:vAlign w:val="center"/>
          </w:tcPr>
          <w:p w14:paraId="3D05C4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1277" w:type="dxa"/>
            <w:vMerge w:val="continue"/>
            <w:shd w:val="clear" w:color="auto" w:fill="auto"/>
            <w:vAlign w:val="center"/>
          </w:tcPr>
          <w:p w14:paraId="22AAC82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1383" w:type="dxa"/>
            <w:vMerge w:val="continue"/>
            <w:shd w:val="clear" w:color="auto" w:fill="auto"/>
            <w:vAlign w:val="center"/>
          </w:tcPr>
          <w:p w14:paraId="2624F4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1065" w:type="dxa"/>
            <w:vMerge w:val="continue"/>
            <w:shd w:val="clear" w:color="auto" w:fill="auto"/>
            <w:vAlign w:val="center"/>
          </w:tcPr>
          <w:p w14:paraId="00D905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1170" w:type="dxa"/>
            <w:vMerge w:val="continue"/>
            <w:shd w:val="clear" w:color="auto" w:fill="auto"/>
            <w:vAlign w:val="center"/>
          </w:tcPr>
          <w:p w14:paraId="0600CC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962" w:type="dxa"/>
            <w:vMerge w:val="continue"/>
            <w:shd w:val="clear" w:color="auto" w:fill="auto"/>
            <w:vAlign w:val="center"/>
          </w:tcPr>
          <w:p w14:paraId="7FA917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915" w:type="dxa"/>
            <w:vMerge w:val="continue"/>
            <w:shd w:val="clear" w:color="auto" w:fill="auto"/>
            <w:vAlign w:val="center"/>
          </w:tcPr>
          <w:p w14:paraId="1F317F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930" w:type="dxa"/>
            <w:vMerge w:val="continue"/>
            <w:shd w:val="clear" w:color="auto" w:fill="auto"/>
            <w:vAlign w:val="center"/>
          </w:tcPr>
          <w:p w14:paraId="41F66F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765" w:type="dxa"/>
            <w:shd w:val="clear" w:color="auto" w:fill="auto"/>
            <w:vAlign w:val="center"/>
          </w:tcPr>
          <w:p w14:paraId="0576F0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收集</w:t>
            </w:r>
          </w:p>
          <w:p w14:paraId="0245B84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效率</w:t>
            </w:r>
          </w:p>
          <w:p w14:paraId="6AC9EB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p>
        </w:tc>
        <w:tc>
          <w:tcPr>
            <w:tcW w:w="795" w:type="dxa"/>
            <w:shd w:val="clear" w:color="auto" w:fill="auto"/>
            <w:vAlign w:val="center"/>
          </w:tcPr>
          <w:p w14:paraId="2DDCB7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处理</w:t>
            </w:r>
          </w:p>
          <w:p w14:paraId="35B0D3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效率</w:t>
            </w:r>
          </w:p>
          <w:p w14:paraId="2D2888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p>
        </w:tc>
        <w:tc>
          <w:tcPr>
            <w:tcW w:w="930" w:type="dxa"/>
            <w:shd w:val="clear" w:color="auto" w:fill="auto"/>
            <w:vAlign w:val="center"/>
          </w:tcPr>
          <w:p w14:paraId="58839A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w:t>
            </w:r>
          </w:p>
          <w:p w14:paraId="545491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浓度</w:t>
            </w:r>
          </w:p>
          <w:p w14:paraId="28D26AE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mg/</w:t>
            </w:r>
            <w:r>
              <w:rPr>
                <w:rFonts w:hint="eastAsia" w:ascii="Times New Roman" w:hAnsi="Times New Roman" w:eastAsia="宋体"/>
                <w:b/>
                <w:bCs/>
                <w:color w:val="000000"/>
                <w:u w:val="single"/>
                <w:lang w:val="en-US" w:eastAsia="zh-CN"/>
              </w:rPr>
              <w:t>m³</w:t>
            </w:r>
          </w:p>
        </w:tc>
        <w:tc>
          <w:tcPr>
            <w:tcW w:w="915" w:type="dxa"/>
            <w:shd w:val="clear" w:color="auto" w:fill="auto"/>
            <w:vAlign w:val="center"/>
          </w:tcPr>
          <w:p w14:paraId="13C555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w:t>
            </w:r>
          </w:p>
          <w:p w14:paraId="1BE422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速率</w:t>
            </w:r>
          </w:p>
          <w:p w14:paraId="534EAD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kg/h</w:t>
            </w:r>
          </w:p>
        </w:tc>
        <w:tc>
          <w:tcPr>
            <w:tcW w:w="1015" w:type="dxa"/>
            <w:shd w:val="clear" w:color="auto" w:fill="auto"/>
            <w:vAlign w:val="center"/>
          </w:tcPr>
          <w:p w14:paraId="05F8DD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排放量</w:t>
            </w:r>
          </w:p>
          <w:p w14:paraId="3DDD4C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t/a</w:t>
            </w:r>
          </w:p>
        </w:tc>
        <w:tc>
          <w:tcPr>
            <w:tcW w:w="1170" w:type="dxa"/>
            <w:vMerge w:val="continue"/>
            <w:shd w:val="clear" w:color="auto" w:fill="auto"/>
            <w:vAlign w:val="center"/>
          </w:tcPr>
          <w:p w14:paraId="0A7B2A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r>
      <w:tr w14:paraId="7842A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990" w:type="dxa"/>
            <w:shd w:val="clear" w:color="auto" w:fill="auto"/>
            <w:vAlign w:val="center"/>
          </w:tcPr>
          <w:p w14:paraId="34C1FF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DA001</w:t>
            </w:r>
          </w:p>
        </w:tc>
        <w:tc>
          <w:tcPr>
            <w:tcW w:w="1277" w:type="dxa"/>
            <w:vMerge w:val="restart"/>
            <w:shd w:val="clear" w:color="auto" w:fill="auto"/>
            <w:vAlign w:val="center"/>
          </w:tcPr>
          <w:p w14:paraId="7AC6D0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破碎、磁选、磨粉、筛分</w:t>
            </w:r>
          </w:p>
        </w:tc>
        <w:tc>
          <w:tcPr>
            <w:tcW w:w="1383" w:type="dxa"/>
            <w:shd w:val="clear" w:color="auto" w:fill="auto"/>
            <w:vAlign w:val="center"/>
          </w:tcPr>
          <w:p w14:paraId="37F13D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065" w:type="dxa"/>
            <w:shd w:val="clear" w:color="auto" w:fill="auto"/>
            <w:vAlign w:val="center"/>
          </w:tcPr>
          <w:p w14:paraId="1DC243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10000</w:t>
            </w:r>
          </w:p>
        </w:tc>
        <w:tc>
          <w:tcPr>
            <w:tcW w:w="1170" w:type="dxa"/>
            <w:shd w:val="clear" w:color="auto" w:fill="auto"/>
            <w:vAlign w:val="center"/>
          </w:tcPr>
          <w:p w14:paraId="139A86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962" w:type="dxa"/>
            <w:shd w:val="clear" w:color="auto" w:fill="auto"/>
            <w:vAlign w:val="center"/>
          </w:tcPr>
          <w:p w14:paraId="38D4C5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915" w:type="dxa"/>
            <w:shd w:val="clear" w:color="auto" w:fill="auto"/>
            <w:vAlign w:val="center"/>
          </w:tcPr>
          <w:p w14:paraId="2CC8E8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930" w:type="dxa"/>
            <w:shd w:val="clear" w:color="auto" w:fill="auto"/>
            <w:vAlign w:val="center"/>
          </w:tcPr>
          <w:p w14:paraId="744093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7.717</w:t>
            </w:r>
          </w:p>
        </w:tc>
        <w:tc>
          <w:tcPr>
            <w:tcW w:w="765" w:type="dxa"/>
            <w:shd w:val="clear" w:color="auto" w:fill="auto"/>
            <w:vAlign w:val="center"/>
          </w:tcPr>
          <w:p w14:paraId="3856C7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90</w:t>
            </w:r>
          </w:p>
        </w:tc>
        <w:tc>
          <w:tcPr>
            <w:tcW w:w="795" w:type="dxa"/>
            <w:shd w:val="clear" w:color="auto" w:fill="auto"/>
            <w:vAlign w:val="center"/>
          </w:tcPr>
          <w:p w14:paraId="1E3182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98</w:t>
            </w:r>
          </w:p>
        </w:tc>
        <w:tc>
          <w:tcPr>
            <w:tcW w:w="930" w:type="dxa"/>
            <w:shd w:val="clear" w:color="auto" w:fill="auto"/>
            <w:vAlign w:val="center"/>
          </w:tcPr>
          <w:p w14:paraId="06F9DD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2.1</w:t>
            </w:r>
          </w:p>
        </w:tc>
        <w:tc>
          <w:tcPr>
            <w:tcW w:w="915" w:type="dxa"/>
            <w:shd w:val="clear" w:color="auto" w:fill="auto"/>
            <w:vAlign w:val="center"/>
          </w:tcPr>
          <w:p w14:paraId="7919CB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0.021</w:t>
            </w:r>
          </w:p>
        </w:tc>
        <w:tc>
          <w:tcPr>
            <w:tcW w:w="1015" w:type="dxa"/>
            <w:shd w:val="clear" w:color="auto" w:fill="auto"/>
            <w:vAlign w:val="center"/>
          </w:tcPr>
          <w:p w14:paraId="37E8E5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0.154</w:t>
            </w:r>
          </w:p>
        </w:tc>
        <w:tc>
          <w:tcPr>
            <w:tcW w:w="1170" w:type="dxa"/>
            <w:shd w:val="clear" w:color="auto" w:fill="auto"/>
            <w:vAlign w:val="center"/>
          </w:tcPr>
          <w:p w14:paraId="3198F3F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t>7200</w:t>
            </w:r>
          </w:p>
        </w:tc>
      </w:tr>
      <w:tr w14:paraId="0AAD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vAlign w:val="center"/>
          </w:tcPr>
          <w:p w14:paraId="76D06B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DA002</w:t>
            </w:r>
          </w:p>
        </w:tc>
        <w:tc>
          <w:tcPr>
            <w:tcW w:w="1277" w:type="dxa"/>
            <w:vMerge w:val="continue"/>
            <w:vAlign w:val="center"/>
          </w:tcPr>
          <w:p w14:paraId="4F94DB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1383" w:type="dxa"/>
            <w:vAlign w:val="center"/>
          </w:tcPr>
          <w:p w14:paraId="2C5AED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065" w:type="dxa"/>
            <w:vAlign w:val="center"/>
          </w:tcPr>
          <w:p w14:paraId="4CEBD7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10000</w:t>
            </w:r>
          </w:p>
        </w:tc>
        <w:tc>
          <w:tcPr>
            <w:tcW w:w="1170" w:type="dxa"/>
            <w:vAlign w:val="center"/>
          </w:tcPr>
          <w:p w14:paraId="1F5F258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962" w:type="dxa"/>
            <w:vAlign w:val="center"/>
          </w:tcPr>
          <w:p w14:paraId="15181B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915" w:type="dxa"/>
            <w:vAlign w:val="center"/>
          </w:tcPr>
          <w:p w14:paraId="78E00D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930" w:type="dxa"/>
            <w:vAlign w:val="center"/>
          </w:tcPr>
          <w:p w14:paraId="550863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7.717</w:t>
            </w:r>
          </w:p>
        </w:tc>
        <w:tc>
          <w:tcPr>
            <w:tcW w:w="765" w:type="dxa"/>
            <w:vAlign w:val="center"/>
          </w:tcPr>
          <w:p w14:paraId="6BED8D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90</w:t>
            </w:r>
          </w:p>
        </w:tc>
        <w:tc>
          <w:tcPr>
            <w:tcW w:w="795" w:type="dxa"/>
            <w:vAlign w:val="center"/>
          </w:tcPr>
          <w:p w14:paraId="53FF4F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98</w:t>
            </w:r>
          </w:p>
        </w:tc>
        <w:tc>
          <w:tcPr>
            <w:tcW w:w="930" w:type="dxa"/>
            <w:vAlign w:val="center"/>
          </w:tcPr>
          <w:p w14:paraId="7EDEC0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2.1</w:t>
            </w:r>
          </w:p>
        </w:tc>
        <w:tc>
          <w:tcPr>
            <w:tcW w:w="915" w:type="dxa"/>
            <w:vAlign w:val="center"/>
          </w:tcPr>
          <w:p w14:paraId="38DBEC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0.021</w:t>
            </w:r>
          </w:p>
        </w:tc>
        <w:tc>
          <w:tcPr>
            <w:tcW w:w="1015" w:type="dxa"/>
            <w:vAlign w:val="center"/>
          </w:tcPr>
          <w:p w14:paraId="168434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0.154</w:t>
            </w:r>
          </w:p>
        </w:tc>
        <w:tc>
          <w:tcPr>
            <w:tcW w:w="1170" w:type="dxa"/>
            <w:vAlign w:val="center"/>
          </w:tcPr>
          <w:p w14:paraId="5E1FC0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t>7200</w:t>
            </w:r>
          </w:p>
        </w:tc>
      </w:tr>
      <w:tr w14:paraId="4245E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90" w:type="dxa"/>
            <w:vAlign w:val="center"/>
          </w:tcPr>
          <w:p w14:paraId="41D17D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DA003</w:t>
            </w:r>
          </w:p>
        </w:tc>
        <w:tc>
          <w:tcPr>
            <w:tcW w:w="1277" w:type="dxa"/>
            <w:vMerge w:val="continue"/>
            <w:vAlign w:val="center"/>
          </w:tcPr>
          <w:p w14:paraId="2D520D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1383" w:type="dxa"/>
            <w:vAlign w:val="center"/>
          </w:tcPr>
          <w:p w14:paraId="0DB3C8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065" w:type="dxa"/>
            <w:vAlign w:val="center"/>
          </w:tcPr>
          <w:p w14:paraId="73E810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10000</w:t>
            </w:r>
          </w:p>
        </w:tc>
        <w:tc>
          <w:tcPr>
            <w:tcW w:w="1170" w:type="dxa"/>
            <w:vAlign w:val="center"/>
          </w:tcPr>
          <w:p w14:paraId="4C25E6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962" w:type="dxa"/>
            <w:vAlign w:val="center"/>
          </w:tcPr>
          <w:p w14:paraId="78AAB8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915" w:type="dxa"/>
            <w:vAlign w:val="center"/>
          </w:tcPr>
          <w:p w14:paraId="2AEA2A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930" w:type="dxa"/>
            <w:vAlign w:val="center"/>
          </w:tcPr>
          <w:p w14:paraId="1FE31C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7.717</w:t>
            </w:r>
          </w:p>
        </w:tc>
        <w:tc>
          <w:tcPr>
            <w:tcW w:w="765" w:type="dxa"/>
            <w:vAlign w:val="center"/>
          </w:tcPr>
          <w:p w14:paraId="2E87189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90</w:t>
            </w:r>
          </w:p>
        </w:tc>
        <w:tc>
          <w:tcPr>
            <w:tcW w:w="795" w:type="dxa"/>
            <w:vAlign w:val="center"/>
          </w:tcPr>
          <w:p w14:paraId="2613416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98</w:t>
            </w:r>
          </w:p>
        </w:tc>
        <w:tc>
          <w:tcPr>
            <w:tcW w:w="930" w:type="dxa"/>
            <w:vAlign w:val="center"/>
          </w:tcPr>
          <w:p w14:paraId="36FC66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2.1</w:t>
            </w:r>
          </w:p>
        </w:tc>
        <w:tc>
          <w:tcPr>
            <w:tcW w:w="915" w:type="dxa"/>
            <w:vAlign w:val="center"/>
          </w:tcPr>
          <w:p w14:paraId="3FD273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0.021</w:t>
            </w:r>
          </w:p>
        </w:tc>
        <w:tc>
          <w:tcPr>
            <w:tcW w:w="1015" w:type="dxa"/>
            <w:vAlign w:val="center"/>
          </w:tcPr>
          <w:p w14:paraId="44FF12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0.154</w:t>
            </w:r>
          </w:p>
        </w:tc>
        <w:tc>
          <w:tcPr>
            <w:tcW w:w="1170" w:type="dxa"/>
            <w:vAlign w:val="center"/>
          </w:tcPr>
          <w:p w14:paraId="3D9556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1"/>
                <w:u w:val="single"/>
                <w:lang w:val="en-US" w:eastAsia="zh-CN" w:bidi="ar-SA"/>
                <w14:textFill>
                  <w14:solidFill>
                    <w14:schemeClr w14:val="tx1"/>
                  </w14:solidFill>
                </w14:textFill>
              </w:rPr>
              <w:t>7200</w:t>
            </w:r>
          </w:p>
        </w:tc>
      </w:tr>
      <w:tr w14:paraId="6283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 w:type="dxa"/>
            <w:vAlign w:val="center"/>
          </w:tcPr>
          <w:p w14:paraId="78B0F5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w:t>
            </w:r>
            <w:r>
              <w:rPr>
                <w:rFonts w:hint="eastAsia" w:cs="Times New Roman"/>
                <w:b/>
                <w:bCs/>
                <w:color w:val="000000"/>
                <w:kern w:val="2"/>
                <w:sz w:val="21"/>
                <w:szCs w:val="21"/>
                <w:u w:val="single"/>
                <w:lang w:val="en-US" w:eastAsia="zh-CN" w:bidi="ar-SA"/>
              </w:rPr>
              <w:t>4</w:t>
            </w:r>
          </w:p>
        </w:tc>
        <w:tc>
          <w:tcPr>
            <w:tcW w:w="1277" w:type="dxa"/>
            <w:vAlign w:val="center"/>
          </w:tcPr>
          <w:p w14:paraId="6BF23E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厨房</w:t>
            </w:r>
          </w:p>
        </w:tc>
        <w:tc>
          <w:tcPr>
            <w:tcW w:w="1383" w:type="dxa"/>
            <w:vAlign w:val="center"/>
          </w:tcPr>
          <w:p w14:paraId="52E131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油烟</w:t>
            </w:r>
          </w:p>
        </w:tc>
        <w:tc>
          <w:tcPr>
            <w:tcW w:w="1065" w:type="dxa"/>
            <w:vAlign w:val="center"/>
          </w:tcPr>
          <w:p w14:paraId="726F1E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8000</w:t>
            </w:r>
          </w:p>
        </w:tc>
        <w:tc>
          <w:tcPr>
            <w:tcW w:w="1170" w:type="dxa"/>
            <w:vAlign w:val="center"/>
          </w:tcPr>
          <w:p w14:paraId="58507E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油烟</w:t>
            </w:r>
          </w:p>
        </w:tc>
        <w:tc>
          <w:tcPr>
            <w:tcW w:w="962" w:type="dxa"/>
            <w:vAlign w:val="center"/>
          </w:tcPr>
          <w:p w14:paraId="474E8C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1.5000</w:t>
            </w:r>
          </w:p>
        </w:tc>
        <w:tc>
          <w:tcPr>
            <w:tcW w:w="915" w:type="dxa"/>
            <w:vAlign w:val="center"/>
          </w:tcPr>
          <w:p w14:paraId="63F05A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0.0120</w:t>
            </w:r>
          </w:p>
        </w:tc>
        <w:tc>
          <w:tcPr>
            <w:tcW w:w="930" w:type="dxa"/>
            <w:vAlign w:val="center"/>
          </w:tcPr>
          <w:p w14:paraId="6F1308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0.0144</w:t>
            </w:r>
          </w:p>
        </w:tc>
        <w:tc>
          <w:tcPr>
            <w:tcW w:w="765" w:type="dxa"/>
            <w:vAlign w:val="center"/>
          </w:tcPr>
          <w:p w14:paraId="757EE4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100</w:t>
            </w:r>
          </w:p>
        </w:tc>
        <w:tc>
          <w:tcPr>
            <w:tcW w:w="795" w:type="dxa"/>
            <w:vAlign w:val="center"/>
          </w:tcPr>
          <w:p w14:paraId="3C28A3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90</w:t>
            </w:r>
          </w:p>
        </w:tc>
        <w:tc>
          <w:tcPr>
            <w:tcW w:w="930" w:type="dxa"/>
            <w:vAlign w:val="center"/>
          </w:tcPr>
          <w:p w14:paraId="7483FD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0.1500</w:t>
            </w:r>
          </w:p>
        </w:tc>
        <w:tc>
          <w:tcPr>
            <w:tcW w:w="915" w:type="dxa"/>
            <w:vAlign w:val="center"/>
          </w:tcPr>
          <w:p w14:paraId="6FA8B2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0.0012</w:t>
            </w:r>
          </w:p>
        </w:tc>
        <w:tc>
          <w:tcPr>
            <w:tcW w:w="1015" w:type="dxa"/>
            <w:vAlign w:val="center"/>
          </w:tcPr>
          <w:p w14:paraId="755726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0.0014</w:t>
            </w:r>
          </w:p>
        </w:tc>
        <w:tc>
          <w:tcPr>
            <w:tcW w:w="1170" w:type="dxa"/>
            <w:vAlign w:val="center"/>
          </w:tcPr>
          <w:p w14:paraId="74659B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4</w:t>
            </w:r>
          </w:p>
        </w:tc>
      </w:tr>
    </w:tbl>
    <w:p w14:paraId="7E70E6B5">
      <w:pPr>
        <w:numPr>
          <w:ilvl w:val="0"/>
          <w:numId w:val="0"/>
        </w:numPr>
        <w:jc w:val="center"/>
        <w:rPr>
          <w:rFonts w:hint="eastAsia"/>
          <w:b/>
          <w:bCs/>
          <w:lang w:val="en-US" w:eastAsia="zh-CN"/>
        </w:rPr>
      </w:pPr>
    </w:p>
    <w:p w14:paraId="4F216AB5">
      <w:pPr>
        <w:numPr>
          <w:ilvl w:val="0"/>
          <w:numId w:val="0"/>
        </w:numPr>
        <w:jc w:val="center"/>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eastAsia="宋体" w:cs="Times New Roman"/>
          <w:b/>
          <w:bCs/>
          <w:kern w:val="2"/>
          <w:sz w:val="21"/>
          <w:szCs w:val="21"/>
          <w:u w:val="single"/>
          <w:lang w:val="en-US" w:eastAsia="zh-CN" w:bidi="ar-SA"/>
        </w:rPr>
        <w:t>表4-2 大气排放口基本情况</w:t>
      </w:r>
    </w:p>
    <w:tbl>
      <w:tblPr>
        <w:tblStyle w:val="17"/>
        <w:tblW w:w="14524"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380"/>
        <w:gridCol w:w="1365"/>
        <w:gridCol w:w="1290"/>
        <w:gridCol w:w="1260"/>
        <w:gridCol w:w="1200"/>
        <w:gridCol w:w="1350"/>
        <w:gridCol w:w="1290"/>
        <w:gridCol w:w="1110"/>
        <w:gridCol w:w="2030"/>
        <w:gridCol w:w="1199"/>
      </w:tblGrid>
      <w:tr w14:paraId="118C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restart"/>
            <w:vAlign w:val="center"/>
          </w:tcPr>
          <w:p w14:paraId="5672E2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排放口</w:t>
            </w:r>
          </w:p>
          <w:p w14:paraId="4E3F7D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编号</w:t>
            </w:r>
          </w:p>
        </w:tc>
        <w:tc>
          <w:tcPr>
            <w:tcW w:w="1380" w:type="dxa"/>
            <w:vMerge w:val="restart"/>
            <w:vAlign w:val="center"/>
          </w:tcPr>
          <w:p w14:paraId="41A8C7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排放口</w:t>
            </w:r>
          </w:p>
          <w:p w14:paraId="7B9CD3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类型</w:t>
            </w:r>
          </w:p>
        </w:tc>
        <w:tc>
          <w:tcPr>
            <w:tcW w:w="1365" w:type="dxa"/>
            <w:vMerge w:val="restart"/>
            <w:vAlign w:val="center"/>
          </w:tcPr>
          <w:p w14:paraId="42DD12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排放口类型</w:t>
            </w:r>
          </w:p>
        </w:tc>
        <w:tc>
          <w:tcPr>
            <w:tcW w:w="1290" w:type="dxa"/>
            <w:vMerge w:val="restart"/>
            <w:vAlign w:val="center"/>
          </w:tcPr>
          <w:p w14:paraId="63515E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污染物种类</w:t>
            </w:r>
          </w:p>
        </w:tc>
        <w:tc>
          <w:tcPr>
            <w:tcW w:w="2460" w:type="dxa"/>
            <w:gridSpan w:val="2"/>
            <w:vAlign w:val="center"/>
          </w:tcPr>
          <w:p w14:paraId="76ED136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排放口地理坐标</w:t>
            </w:r>
          </w:p>
        </w:tc>
        <w:tc>
          <w:tcPr>
            <w:tcW w:w="1350" w:type="dxa"/>
            <w:vMerge w:val="restart"/>
            <w:vAlign w:val="center"/>
          </w:tcPr>
          <w:p w14:paraId="681044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排气筒高度</w:t>
            </w:r>
          </w:p>
          <w:p w14:paraId="28F2F4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（m）</w:t>
            </w:r>
          </w:p>
        </w:tc>
        <w:tc>
          <w:tcPr>
            <w:tcW w:w="1290" w:type="dxa"/>
            <w:vMerge w:val="restart"/>
            <w:vAlign w:val="center"/>
          </w:tcPr>
          <w:p w14:paraId="75DFEB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排气筒直径</w:t>
            </w:r>
          </w:p>
          <w:p w14:paraId="38779E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（m）</w:t>
            </w:r>
          </w:p>
        </w:tc>
        <w:tc>
          <w:tcPr>
            <w:tcW w:w="1110" w:type="dxa"/>
            <w:vMerge w:val="restart"/>
            <w:vAlign w:val="center"/>
          </w:tcPr>
          <w:p w14:paraId="28A4BF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排气温度</w:t>
            </w:r>
          </w:p>
          <w:p w14:paraId="20F0FCA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p>
        </w:tc>
        <w:tc>
          <w:tcPr>
            <w:tcW w:w="2030" w:type="dxa"/>
            <w:vMerge w:val="restart"/>
            <w:vAlign w:val="center"/>
          </w:tcPr>
          <w:p w14:paraId="23C8B2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标准名称</w:t>
            </w:r>
          </w:p>
        </w:tc>
        <w:tc>
          <w:tcPr>
            <w:tcW w:w="1199" w:type="dxa"/>
            <w:vMerge w:val="restart"/>
            <w:vAlign w:val="center"/>
          </w:tcPr>
          <w:p w14:paraId="7DDBE5E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标准值</w:t>
            </w:r>
          </w:p>
          <w:p w14:paraId="353B7E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（mg/</w:t>
            </w:r>
            <w:r>
              <w:rPr>
                <w:rFonts w:hint="eastAsia" w:ascii="Times New Roman" w:hAnsi="Times New Roman" w:eastAsia="宋体"/>
                <w:b/>
                <w:bCs/>
                <w:color w:val="000000"/>
                <w:u w:val="single"/>
                <w:lang w:val="en-US" w:eastAsia="zh-CN"/>
              </w:rPr>
              <w:t>m³</w:t>
            </w:r>
            <w:r>
              <w:rPr>
                <w:rFonts w:hint="eastAsia" w:ascii="Times New Roman" w:hAnsi="Times New Roman" w:eastAsia="宋体" w:cs="Times New Roman"/>
                <w:b/>
                <w:bCs/>
                <w:color w:val="000000"/>
                <w:kern w:val="2"/>
                <w:sz w:val="21"/>
                <w:szCs w:val="21"/>
                <w:u w:val="single"/>
                <w:lang w:val="en-US" w:eastAsia="zh-CN" w:bidi="ar-SA"/>
              </w:rPr>
              <w:t>）</w:t>
            </w:r>
          </w:p>
        </w:tc>
      </w:tr>
      <w:tr w14:paraId="0DB9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Merge w:val="continue"/>
            <w:vAlign w:val="center"/>
          </w:tcPr>
          <w:p w14:paraId="37D528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c>
          <w:tcPr>
            <w:tcW w:w="1380" w:type="dxa"/>
            <w:vMerge w:val="continue"/>
            <w:vAlign w:val="center"/>
          </w:tcPr>
          <w:p w14:paraId="202181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c>
          <w:tcPr>
            <w:tcW w:w="1365" w:type="dxa"/>
            <w:vMerge w:val="continue"/>
            <w:vAlign w:val="center"/>
          </w:tcPr>
          <w:p w14:paraId="7FA8018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c>
          <w:tcPr>
            <w:tcW w:w="1290" w:type="dxa"/>
            <w:vMerge w:val="continue"/>
            <w:vAlign w:val="center"/>
          </w:tcPr>
          <w:p w14:paraId="6D0630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c>
          <w:tcPr>
            <w:tcW w:w="1260" w:type="dxa"/>
            <w:vAlign w:val="center"/>
          </w:tcPr>
          <w:p w14:paraId="5AA57D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经度</w:t>
            </w:r>
          </w:p>
        </w:tc>
        <w:tc>
          <w:tcPr>
            <w:tcW w:w="1200" w:type="dxa"/>
            <w:vAlign w:val="center"/>
          </w:tcPr>
          <w:p w14:paraId="54326B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纬度</w:t>
            </w:r>
          </w:p>
        </w:tc>
        <w:tc>
          <w:tcPr>
            <w:tcW w:w="1350" w:type="dxa"/>
            <w:vMerge w:val="continue"/>
            <w:vAlign w:val="center"/>
          </w:tcPr>
          <w:p w14:paraId="5E110D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c>
          <w:tcPr>
            <w:tcW w:w="1290" w:type="dxa"/>
            <w:vMerge w:val="continue"/>
            <w:vAlign w:val="center"/>
          </w:tcPr>
          <w:p w14:paraId="595C82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c>
          <w:tcPr>
            <w:tcW w:w="1110" w:type="dxa"/>
            <w:vMerge w:val="continue"/>
            <w:vAlign w:val="center"/>
          </w:tcPr>
          <w:p w14:paraId="74E8E5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c>
          <w:tcPr>
            <w:tcW w:w="2030" w:type="dxa"/>
            <w:vMerge w:val="continue"/>
            <w:vAlign w:val="center"/>
          </w:tcPr>
          <w:p w14:paraId="3667C19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c>
          <w:tcPr>
            <w:tcW w:w="1199" w:type="dxa"/>
            <w:vMerge w:val="continue"/>
            <w:vAlign w:val="center"/>
          </w:tcPr>
          <w:p w14:paraId="13A9F3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r>
      <w:tr w14:paraId="4F2C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050" w:type="dxa"/>
            <w:vAlign w:val="center"/>
          </w:tcPr>
          <w:p w14:paraId="473690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DA001</w:t>
            </w:r>
          </w:p>
        </w:tc>
        <w:tc>
          <w:tcPr>
            <w:tcW w:w="1380" w:type="dxa"/>
            <w:vAlign w:val="center"/>
          </w:tcPr>
          <w:p w14:paraId="578871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废气排放口</w:t>
            </w:r>
          </w:p>
        </w:tc>
        <w:tc>
          <w:tcPr>
            <w:tcW w:w="1365" w:type="dxa"/>
            <w:vAlign w:val="center"/>
          </w:tcPr>
          <w:p w14:paraId="160B31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一般排放口</w:t>
            </w:r>
          </w:p>
        </w:tc>
        <w:tc>
          <w:tcPr>
            <w:tcW w:w="1290" w:type="dxa"/>
            <w:vAlign w:val="center"/>
          </w:tcPr>
          <w:p w14:paraId="0AA252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260" w:type="dxa"/>
            <w:vAlign w:val="center"/>
          </w:tcPr>
          <w:p w14:paraId="776E01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115.231369</w:t>
            </w:r>
          </w:p>
        </w:tc>
        <w:tc>
          <w:tcPr>
            <w:tcW w:w="1200" w:type="dxa"/>
            <w:vAlign w:val="center"/>
          </w:tcPr>
          <w:p w14:paraId="739DBA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36.094240</w:t>
            </w:r>
          </w:p>
        </w:tc>
        <w:tc>
          <w:tcPr>
            <w:tcW w:w="1350" w:type="dxa"/>
            <w:vAlign w:val="center"/>
          </w:tcPr>
          <w:p w14:paraId="127324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15</w:t>
            </w:r>
          </w:p>
        </w:tc>
        <w:tc>
          <w:tcPr>
            <w:tcW w:w="1290" w:type="dxa"/>
            <w:vAlign w:val="center"/>
          </w:tcPr>
          <w:p w14:paraId="29B812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0.6</w:t>
            </w:r>
          </w:p>
        </w:tc>
        <w:tc>
          <w:tcPr>
            <w:tcW w:w="1110" w:type="dxa"/>
            <w:vAlign w:val="center"/>
          </w:tcPr>
          <w:p w14:paraId="612803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25</w:t>
            </w:r>
          </w:p>
        </w:tc>
        <w:tc>
          <w:tcPr>
            <w:tcW w:w="2030" w:type="dxa"/>
            <w:vMerge w:val="restart"/>
            <w:vAlign w:val="center"/>
          </w:tcPr>
          <w:p w14:paraId="6EFEF2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《大气污染物综合排放标准》（GB16297-1996）濮阳市2021年重污染天气通用行业应急减排措施制定技术指南（试行）》涉颗粒物企业B级指标要求</w:t>
            </w:r>
          </w:p>
        </w:tc>
        <w:tc>
          <w:tcPr>
            <w:tcW w:w="1199" w:type="dxa"/>
            <w:vAlign w:val="center"/>
          </w:tcPr>
          <w:p w14:paraId="43C3170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w:t>
            </w:r>
          </w:p>
        </w:tc>
      </w:tr>
      <w:tr w14:paraId="4C7F1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1050" w:type="dxa"/>
            <w:vAlign w:val="center"/>
          </w:tcPr>
          <w:p w14:paraId="43701F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DA002</w:t>
            </w:r>
          </w:p>
        </w:tc>
        <w:tc>
          <w:tcPr>
            <w:tcW w:w="1380" w:type="dxa"/>
            <w:vAlign w:val="center"/>
          </w:tcPr>
          <w:p w14:paraId="6E0BDB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废气排放口</w:t>
            </w:r>
          </w:p>
        </w:tc>
        <w:tc>
          <w:tcPr>
            <w:tcW w:w="1365" w:type="dxa"/>
            <w:vAlign w:val="center"/>
          </w:tcPr>
          <w:p w14:paraId="728900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一般排放口</w:t>
            </w:r>
          </w:p>
        </w:tc>
        <w:tc>
          <w:tcPr>
            <w:tcW w:w="1290" w:type="dxa"/>
            <w:vAlign w:val="center"/>
          </w:tcPr>
          <w:p w14:paraId="41B669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260" w:type="dxa"/>
            <w:vAlign w:val="center"/>
          </w:tcPr>
          <w:p w14:paraId="0A68808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115.231315</w:t>
            </w:r>
          </w:p>
        </w:tc>
        <w:tc>
          <w:tcPr>
            <w:tcW w:w="1200" w:type="dxa"/>
            <w:vAlign w:val="center"/>
          </w:tcPr>
          <w:p w14:paraId="752949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36.093993</w:t>
            </w:r>
          </w:p>
        </w:tc>
        <w:tc>
          <w:tcPr>
            <w:tcW w:w="1350" w:type="dxa"/>
            <w:vAlign w:val="center"/>
          </w:tcPr>
          <w:p w14:paraId="2008F3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15</w:t>
            </w:r>
          </w:p>
        </w:tc>
        <w:tc>
          <w:tcPr>
            <w:tcW w:w="1290" w:type="dxa"/>
            <w:vAlign w:val="center"/>
          </w:tcPr>
          <w:p w14:paraId="2B261D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0.6</w:t>
            </w:r>
          </w:p>
        </w:tc>
        <w:tc>
          <w:tcPr>
            <w:tcW w:w="1110" w:type="dxa"/>
            <w:vAlign w:val="center"/>
          </w:tcPr>
          <w:p w14:paraId="33BDD2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25</w:t>
            </w:r>
          </w:p>
        </w:tc>
        <w:tc>
          <w:tcPr>
            <w:tcW w:w="2030" w:type="dxa"/>
            <w:vMerge w:val="continue"/>
            <w:vAlign w:val="center"/>
          </w:tcPr>
          <w:p w14:paraId="029447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c>
          <w:tcPr>
            <w:tcW w:w="1199" w:type="dxa"/>
            <w:vAlign w:val="center"/>
          </w:tcPr>
          <w:p w14:paraId="426522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w:t>
            </w:r>
          </w:p>
        </w:tc>
      </w:tr>
      <w:tr w14:paraId="1179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14:paraId="5B08C1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DA003</w:t>
            </w:r>
          </w:p>
        </w:tc>
        <w:tc>
          <w:tcPr>
            <w:tcW w:w="1380" w:type="dxa"/>
            <w:vAlign w:val="center"/>
          </w:tcPr>
          <w:p w14:paraId="300FD0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废气排放口</w:t>
            </w:r>
          </w:p>
        </w:tc>
        <w:tc>
          <w:tcPr>
            <w:tcW w:w="1365" w:type="dxa"/>
            <w:vAlign w:val="center"/>
          </w:tcPr>
          <w:p w14:paraId="7D37436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一般排放口</w:t>
            </w:r>
          </w:p>
        </w:tc>
        <w:tc>
          <w:tcPr>
            <w:tcW w:w="1290" w:type="dxa"/>
            <w:vAlign w:val="center"/>
          </w:tcPr>
          <w:p w14:paraId="055D93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260" w:type="dxa"/>
            <w:vAlign w:val="center"/>
          </w:tcPr>
          <w:p w14:paraId="32975B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115.231267</w:t>
            </w:r>
          </w:p>
        </w:tc>
        <w:tc>
          <w:tcPr>
            <w:tcW w:w="1200" w:type="dxa"/>
            <w:vAlign w:val="center"/>
          </w:tcPr>
          <w:p w14:paraId="3CE3A8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36.093735</w:t>
            </w:r>
          </w:p>
        </w:tc>
        <w:tc>
          <w:tcPr>
            <w:tcW w:w="1350" w:type="dxa"/>
            <w:vAlign w:val="center"/>
          </w:tcPr>
          <w:p w14:paraId="406D8EB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15</w:t>
            </w:r>
          </w:p>
        </w:tc>
        <w:tc>
          <w:tcPr>
            <w:tcW w:w="1290" w:type="dxa"/>
            <w:vAlign w:val="center"/>
          </w:tcPr>
          <w:p w14:paraId="3A71FA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0.6</w:t>
            </w:r>
          </w:p>
        </w:tc>
        <w:tc>
          <w:tcPr>
            <w:tcW w:w="1110" w:type="dxa"/>
            <w:vAlign w:val="center"/>
          </w:tcPr>
          <w:p w14:paraId="6B46C4D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25</w:t>
            </w:r>
          </w:p>
        </w:tc>
        <w:tc>
          <w:tcPr>
            <w:tcW w:w="2030" w:type="dxa"/>
            <w:vMerge w:val="continue"/>
            <w:vAlign w:val="center"/>
          </w:tcPr>
          <w:p w14:paraId="320E01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c>
          <w:tcPr>
            <w:tcW w:w="1199" w:type="dxa"/>
            <w:vAlign w:val="center"/>
          </w:tcPr>
          <w:p w14:paraId="4A9B73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w:t>
            </w:r>
          </w:p>
        </w:tc>
      </w:tr>
      <w:tr w14:paraId="7CAC2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0" w:type="dxa"/>
            <w:vAlign w:val="center"/>
          </w:tcPr>
          <w:p w14:paraId="65BE26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w:t>
            </w:r>
            <w:r>
              <w:rPr>
                <w:rFonts w:hint="eastAsia" w:cs="Times New Roman"/>
                <w:b/>
                <w:bCs/>
                <w:color w:val="000000"/>
                <w:kern w:val="2"/>
                <w:sz w:val="21"/>
                <w:szCs w:val="21"/>
                <w:u w:val="single"/>
                <w:lang w:val="en-US" w:eastAsia="zh-CN" w:bidi="ar-SA"/>
              </w:rPr>
              <w:t>4</w:t>
            </w:r>
          </w:p>
        </w:tc>
        <w:tc>
          <w:tcPr>
            <w:tcW w:w="1380" w:type="dxa"/>
            <w:vAlign w:val="center"/>
          </w:tcPr>
          <w:p w14:paraId="0B0DB8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油烟</w:t>
            </w:r>
            <w:r>
              <w:rPr>
                <w:rFonts w:hint="eastAsia" w:ascii="Times New Roman" w:hAnsi="Times New Roman" w:eastAsia="宋体" w:cs="Times New Roman"/>
                <w:b/>
                <w:bCs/>
                <w:color w:val="000000"/>
                <w:kern w:val="2"/>
                <w:sz w:val="21"/>
                <w:szCs w:val="21"/>
                <w:u w:val="single"/>
                <w:lang w:val="en-US" w:eastAsia="zh-CN" w:bidi="ar-SA"/>
              </w:rPr>
              <w:t>排放口</w:t>
            </w:r>
          </w:p>
        </w:tc>
        <w:tc>
          <w:tcPr>
            <w:tcW w:w="1365" w:type="dxa"/>
            <w:vAlign w:val="center"/>
          </w:tcPr>
          <w:p w14:paraId="708DE93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一般排放口</w:t>
            </w:r>
          </w:p>
        </w:tc>
        <w:tc>
          <w:tcPr>
            <w:tcW w:w="1290" w:type="dxa"/>
            <w:vAlign w:val="center"/>
          </w:tcPr>
          <w:p w14:paraId="2EB16C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油烟</w:t>
            </w:r>
          </w:p>
        </w:tc>
        <w:tc>
          <w:tcPr>
            <w:tcW w:w="1260" w:type="dxa"/>
            <w:vAlign w:val="center"/>
          </w:tcPr>
          <w:p w14:paraId="4222DC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115.229852</w:t>
            </w:r>
          </w:p>
        </w:tc>
        <w:tc>
          <w:tcPr>
            <w:tcW w:w="1200" w:type="dxa"/>
            <w:vAlign w:val="center"/>
          </w:tcPr>
          <w:p w14:paraId="53604B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36.094620</w:t>
            </w:r>
          </w:p>
        </w:tc>
        <w:tc>
          <w:tcPr>
            <w:tcW w:w="1350" w:type="dxa"/>
            <w:vAlign w:val="center"/>
          </w:tcPr>
          <w:p w14:paraId="3AD216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3</w:t>
            </w:r>
          </w:p>
        </w:tc>
        <w:tc>
          <w:tcPr>
            <w:tcW w:w="1290" w:type="dxa"/>
            <w:vAlign w:val="center"/>
          </w:tcPr>
          <w:p w14:paraId="6F675F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0.6</w:t>
            </w:r>
          </w:p>
        </w:tc>
        <w:tc>
          <w:tcPr>
            <w:tcW w:w="1110" w:type="dxa"/>
            <w:vAlign w:val="center"/>
          </w:tcPr>
          <w:p w14:paraId="1C9893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25</w:t>
            </w:r>
          </w:p>
        </w:tc>
        <w:tc>
          <w:tcPr>
            <w:tcW w:w="2030" w:type="dxa"/>
            <w:vAlign w:val="center"/>
          </w:tcPr>
          <w:p w14:paraId="6CB9E4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《饮食业油排放标准（试行）》（DB41/1604-2018） 表 1 标准限制</w:t>
            </w:r>
          </w:p>
        </w:tc>
        <w:tc>
          <w:tcPr>
            <w:tcW w:w="1199" w:type="dxa"/>
            <w:vAlign w:val="center"/>
          </w:tcPr>
          <w:p w14:paraId="257429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w:t>
            </w:r>
          </w:p>
        </w:tc>
      </w:tr>
    </w:tbl>
    <w:p w14:paraId="49E48D7A">
      <w:pPr>
        <w:rPr>
          <w:rFonts w:hint="eastAsia"/>
          <w:lang w:val="en-US" w:eastAsia="zh-CN"/>
        </w:rPr>
      </w:pPr>
    </w:p>
    <w:p w14:paraId="40B79BAB">
      <w:pPr>
        <w:jc w:val="center"/>
        <w:rPr>
          <w:rFonts w:hint="eastAsia"/>
          <w:u w:val="single"/>
          <w:lang w:val="en-US" w:eastAsia="zh-CN"/>
        </w:rPr>
      </w:pPr>
      <w:r>
        <w:rPr>
          <w:rFonts w:hint="eastAsia" w:ascii="Times New Roman" w:hAnsi="Times New Roman" w:eastAsia="宋体" w:cs="Times New Roman"/>
          <w:b/>
          <w:bCs/>
          <w:kern w:val="2"/>
          <w:sz w:val="21"/>
          <w:szCs w:val="21"/>
          <w:u w:val="single"/>
          <w:lang w:val="en-US" w:eastAsia="zh-CN" w:bidi="ar-SA"/>
        </w:rPr>
        <w:t>表4-</w:t>
      </w:r>
      <w:r>
        <w:rPr>
          <w:rFonts w:hint="eastAsia" w:cs="Times New Roman"/>
          <w:b/>
          <w:bCs/>
          <w:kern w:val="2"/>
          <w:sz w:val="21"/>
          <w:szCs w:val="21"/>
          <w:u w:val="single"/>
          <w:lang w:val="en-US" w:eastAsia="zh-CN" w:bidi="ar-SA"/>
        </w:rPr>
        <w:t>3</w:t>
      </w:r>
      <w:r>
        <w:rPr>
          <w:rFonts w:hint="eastAsia" w:ascii="Times New Roman" w:hAnsi="Times New Roman" w:eastAsia="宋体" w:cs="Times New Roman"/>
          <w:b/>
          <w:bCs/>
          <w:kern w:val="2"/>
          <w:sz w:val="21"/>
          <w:szCs w:val="21"/>
          <w:u w:val="single"/>
          <w:lang w:val="en-US" w:eastAsia="zh-CN" w:bidi="ar-SA"/>
        </w:rPr>
        <w:t xml:space="preserve"> </w:t>
      </w:r>
      <w:r>
        <w:rPr>
          <w:rFonts w:hint="eastAsia" w:cs="Times New Roman"/>
          <w:b/>
          <w:bCs/>
          <w:kern w:val="2"/>
          <w:sz w:val="21"/>
          <w:szCs w:val="21"/>
          <w:u w:val="single"/>
          <w:lang w:val="en-US" w:eastAsia="zh-CN" w:bidi="ar-SA"/>
        </w:rPr>
        <w:t>无组织废气产排情况表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4"/>
        <w:gridCol w:w="2025"/>
        <w:gridCol w:w="2025"/>
        <w:gridCol w:w="2025"/>
        <w:gridCol w:w="2025"/>
        <w:gridCol w:w="2025"/>
        <w:gridCol w:w="2025"/>
      </w:tblGrid>
      <w:tr w14:paraId="2AA5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024" w:type="dxa"/>
            <w:vAlign w:val="center"/>
          </w:tcPr>
          <w:p w14:paraId="0DEBD27F">
            <w:pPr>
              <w:jc w:val="center"/>
              <w:rPr>
                <w:rFonts w:hint="default"/>
                <w:b/>
                <w:bCs/>
                <w:u w:val="single"/>
                <w:vertAlign w:val="baseline"/>
                <w:lang w:val="en-US" w:eastAsia="zh-CN"/>
              </w:rPr>
            </w:pPr>
            <w:r>
              <w:rPr>
                <w:rFonts w:hint="eastAsia"/>
                <w:b/>
                <w:bCs/>
                <w:u w:val="single"/>
                <w:vertAlign w:val="baseline"/>
                <w:lang w:val="en-US" w:eastAsia="zh-CN"/>
              </w:rPr>
              <w:t>污染物</w:t>
            </w:r>
          </w:p>
        </w:tc>
        <w:tc>
          <w:tcPr>
            <w:tcW w:w="2025" w:type="dxa"/>
            <w:vAlign w:val="center"/>
          </w:tcPr>
          <w:p w14:paraId="225A1165">
            <w:pPr>
              <w:jc w:val="center"/>
              <w:rPr>
                <w:rFonts w:hint="default"/>
                <w:b/>
                <w:bCs/>
                <w:u w:val="single"/>
                <w:vertAlign w:val="baseline"/>
                <w:lang w:val="en-US" w:eastAsia="zh-CN"/>
              </w:rPr>
            </w:pPr>
            <w:r>
              <w:rPr>
                <w:rFonts w:hint="eastAsia"/>
                <w:b/>
                <w:bCs/>
                <w:u w:val="single"/>
                <w:vertAlign w:val="baseline"/>
                <w:lang w:val="en-US" w:eastAsia="zh-CN"/>
              </w:rPr>
              <w:t>工作时间</w:t>
            </w:r>
            <w:r>
              <w:rPr>
                <w:rFonts w:hint="eastAsia" w:ascii="Times New Roman" w:hAnsi="Times New Roman" w:eastAsia="宋体" w:cs="Times New Roman"/>
                <w:b/>
                <w:bCs/>
                <w:color w:val="000000"/>
                <w:kern w:val="2"/>
                <w:sz w:val="21"/>
                <w:szCs w:val="21"/>
                <w:u w:val="single"/>
                <w:lang w:val="en-US" w:eastAsia="zh-CN" w:bidi="ar-SA"/>
              </w:rPr>
              <w:t>h</w:t>
            </w:r>
          </w:p>
        </w:tc>
        <w:tc>
          <w:tcPr>
            <w:tcW w:w="2025" w:type="dxa"/>
            <w:vAlign w:val="center"/>
          </w:tcPr>
          <w:p w14:paraId="5FE4CBB1">
            <w:pPr>
              <w:jc w:val="center"/>
              <w:rPr>
                <w:rFonts w:hint="default"/>
                <w:b/>
                <w:bCs/>
                <w:u w:val="single"/>
                <w:vertAlign w:val="baseline"/>
                <w:lang w:val="en-US" w:eastAsia="zh-CN"/>
              </w:rPr>
            </w:pPr>
            <w:r>
              <w:rPr>
                <w:rFonts w:hint="eastAsia"/>
                <w:b/>
                <w:bCs/>
                <w:u w:val="single"/>
                <w:vertAlign w:val="baseline"/>
                <w:lang w:val="en-US" w:eastAsia="zh-CN"/>
              </w:rPr>
              <w:t>产生量</w:t>
            </w:r>
            <w:r>
              <w:rPr>
                <w:rFonts w:hint="eastAsia" w:ascii="Times New Roman" w:hAnsi="Times New Roman" w:eastAsia="宋体" w:cs="Times New Roman"/>
                <w:b/>
                <w:bCs/>
                <w:color w:val="000000"/>
                <w:kern w:val="2"/>
                <w:sz w:val="21"/>
                <w:szCs w:val="21"/>
                <w:u w:val="single"/>
                <w:lang w:val="en-US" w:eastAsia="zh-CN" w:bidi="ar-SA"/>
              </w:rPr>
              <w:t>t/a</w:t>
            </w:r>
          </w:p>
        </w:tc>
        <w:tc>
          <w:tcPr>
            <w:tcW w:w="2025" w:type="dxa"/>
            <w:vAlign w:val="center"/>
          </w:tcPr>
          <w:p w14:paraId="0499B922">
            <w:pPr>
              <w:jc w:val="center"/>
              <w:rPr>
                <w:rFonts w:hint="default"/>
                <w:b/>
                <w:bCs/>
                <w:u w:val="single"/>
                <w:vertAlign w:val="baseline"/>
                <w:lang w:val="en-US" w:eastAsia="zh-CN"/>
              </w:rPr>
            </w:pPr>
            <w:r>
              <w:rPr>
                <w:rFonts w:hint="eastAsia"/>
                <w:b/>
                <w:bCs/>
                <w:u w:val="single"/>
                <w:vertAlign w:val="baseline"/>
                <w:lang w:val="en-US" w:eastAsia="zh-CN"/>
              </w:rPr>
              <w:t>产生速率</w:t>
            </w:r>
            <w:r>
              <w:rPr>
                <w:rFonts w:hint="eastAsia" w:ascii="Times New Roman" w:hAnsi="Times New Roman" w:eastAsia="宋体" w:cs="Times New Roman"/>
                <w:b/>
                <w:bCs/>
                <w:color w:val="000000"/>
                <w:kern w:val="2"/>
                <w:sz w:val="21"/>
                <w:szCs w:val="21"/>
                <w:u w:val="single"/>
                <w:lang w:val="en-US" w:eastAsia="zh-CN" w:bidi="ar-SA"/>
              </w:rPr>
              <w:t>kg/h</w:t>
            </w:r>
          </w:p>
        </w:tc>
        <w:tc>
          <w:tcPr>
            <w:tcW w:w="2025" w:type="dxa"/>
            <w:vAlign w:val="center"/>
          </w:tcPr>
          <w:p w14:paraId="75EE34E1">
            <w:pPr>
              <w:jc w:val="center"/>
              <w:rPr>
                <w:rFonts w:hint="default"/>
                <w:b/>
                <w:bCs/>
                <w:u w:val="single"/>
                <w:vertAlign w:val="baseline"/>
                <w:lang w:val="en-US" w:eastAsia="zh-CN"/>
              </w:rPr>
            </w:pPr>
            <w:r>
              <w:rPr>
                <w:rFonts w:hint="eastAsia"/>
                <w:b/>
                <w:bCs/>
                <w:u w:val="single"/>
                <w:vertAlign w:val="baseline"/>
                <w:lang w:val="en-US" w:eastAsia="zh-CN"/>
              </w:rPr>
              <w:t>治理措施</w:t>
            </w:r>
          </w:p>
        </w:tc>
        <w:tc>
          <w:tcPr>
            <w:tcW w:w="2025" w:type="dxa"/>
            <w:vAlign w:val="center"/>
          </w:tcPr>
          <w:p w14:paraId="290C92BD">
            <w:pPr>
              <w:jc w:val="center"/>
              <w:rPr>
                <w:rFonts w:hint="default"/>
                <w:b/>
                <w:bCs/>
                <w:u w:val="single"/>
                <w:vertAlign w:val="baseline"/>
                <w:lang w:val="en-US" w:eastAsia="zh-CN"/>
              </w:rPr>
            </w:pPr>
            <w:r>
              <w:rPr>
                <w:rFonts w:hint="eastAsia"/>
                <w:b/>
                <w:bCs/>
                <w:u w:val="single"/>
                <w:vertAlign w:val="baseline"/>
                <w:lang w:val="en-US" w:eastAsia="zh-CN"/>
              </w:rPr>
              <w:t>排放速率</w:t>
            </w:r>
            <w:r>
              <w:rPr>
                <w:rFonts w:hint="eastAsia" w:ascii="Times New Roman" w:hAnsi="Times New Roman" w:eastAsia="宋体" w:cs="Times New Roman"/>
                <w:b/>
                <w:bCs/>
                <w:color w:val="000000"/>
                <w:kern w:val="2"/>
                <w:sz w:val="21"/>
                <w:szCs w:val="21"/>
                <w:u w:val="single"/>
                <w:lang w:val="en-US" w:eastAsia="zh-CN" w:bidi="ar-SA"/>
              </w:rPr>
              <w:t>kg/h</w:t>
            </w:r>
          </w:p>
        </w:tc>
        <w:tc>
          <w:tcPr>
            <w:tcW w:w="2025" w:type="dxa"/>
            <w:vAlign w:val="center"/>
          </w:tcPr>
          <w:p w14:paraId="4CCA1144">
            <w:pPr>
              <w:jc w:val="center"/>
              <w:rPr>
                <w:rFonts w:hint="default"/>
                <w:b/>
                <w:bCs/>
                <w:u w:val="single"/>
                <w:vertAlign w:val="baseline"/>
                <w:lang w:val="en-US" w:eastAsia="zh-CN"/>
              </w:rPr>
            </w:pPr>
            <w:r>
              <w:rPr>
                <w:rFonts w:hint="eastAsia"/>
                <w:b/>
                <w:bCs/>
                <w:u w:val="single"/>
                <w:vertAlign w:val="baseline"/>
                <w:lang w:val="en-US" w:eastAsia="zh-CN"/>
              </w:rPr>
              <w:t>排放量</w:t>
            </w:r>
            <w:r>
              <w:rPr>
                <w:rFonts w:hint="eastAsia" w:ascii="Times New Roman" w:hAnsi="Times New Roman" w:eastAsia="宋体" w:cs="Times New Roman"/>
                <w:b/>
                <w:bCs/>
                <w:color w:val="000000"/>
                <w:kern w:val="2"/>
                <w:sz w:val="21"/>
                <w:szCs w:val="21"/>
                <w:u w:val="single"/>
                <w:lang w:val="en-US" w:eastAsia="zh-CN" w:bidi="ar-SA"/>
              </w:rPr>
              <w:t>t/a</w:t>
            </w:r>
          </w:p>
        </w:tc>
      </w:tr>
      <w:tr w14:paraId="504F5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024" w:type="dxa"/>
            <w:vAlign w:val="center"/>
          </w:tcPr>
          <w:p w14:paraId="4F3A8E2F">
            <w:pPr>
              <w:jc w:val="center"/>
              <w:rPr>
                <w:rFonts w:hint="default"/>
                <w:b/>
                <w:bCs/>
                <w:u w:val="single"/>
                <w:vertAlign w:val="baseline"/>
                <w:lang w:val="en-US" w:eastAsia="zh-CN"/>
              </w:rPr>
            </w:pPr>
            <w:r>
              <w:rPr>
                <w:rFonts w:hint="eastAsia"/>
                <w:b/>
                <w:bCs/>
                <w:u w:val="single"/>
                <w:vertAlign w:val="baseline"/>
                <w:lang w:val="en-US" w:eastAsia="zh-CN"/>
              </w:rPr>
              <w:t>颗粒物</w:t>
            </w:r>
          </w:p>
        </w:tc>
        <w:tc>
          <w:tcPr>
            <w:tcW w:w="2025" w:type="dxa"/>
            <w:vAlign w:val="center"/>
          </w:tcPr>
          <w:p w14:paraId="48B811F9">
            <w:pPr>
              <w:jc w:val="center"/>
              <w:rPr>
                <w:rFonts w:hint="default"/>
                <w:b/>
                <w:bCs/>
                <w:u w:val="single"/>
                <w:vertAlign w:val="baseline"/>
                <w:lang w:val="en-US" w:eastAsia="zh-CN"/>
              </w:rPr>
            </w:pPr>
            <w:r>
              <w:rPr>
                <w:rFonts w:hint="eastAsia"/>
                <w:b/>
                <w:bCs/>
                <w:color w:val="000000" w:themeColor="text1"/>
                <w:u w:val="single"/>
                <w:vertAlign w:val="baseline"/>
                <w:lang w:val="en-US" w:eastAsia="zh-CN"/>
                <w14:textFill>
                  <w14:solidFill>
                    <w14:schemeClr w14:val="tx1"/>
                  </w14:solidFill>
                </w14:textFill>
              </w:rPr>
              <w:t>7200</w:t>
            </w:r>
          </w:p>
        </w:tc>
        <w:tc>
          <w:tcPr>
            <w:tcW w:w="2025" w:type="dxa"/>
            <w:vAlign w:val="center"/>
          </w:tcPr>
          <w:p w14:paraId="5599431D">
            <w:pPr>
              <w:jc w:val="center"/>
              <w:rPr>
                <w:rFonts w:hint="default"/>
                <w:b/>
                <w:bCs/>
                <w:u w:val="single"/>
                <w:vertAlign w:val="baseline"/>
                <w:lang w:val="en-US" w:eastAsia="zh-CN"/>
              </w:rPr>
            </w:pPr>
            <w:r>
              <w:rPr>
                <w:rFonts w:hint="eastAsia"/>
                <w:b/>
                <w:bCs/>
                <w:u w:val="single"/>
                <w:vertAlign w:val="baseline"/>
                <w:lang w:val="en-US" w:eastAsia="zh-CN"/>
              </w:rPr>
              <w:t>2.315</w:t>
            </w:r>
          </w:p>
        </w:tc>
        <w:tc>
          <w:tcPr>
            <w:tcW w:w="2025" w:type="dxa"/>
            <w:vAlign w:val="center"/>
          </w:tcPr>
          <w:p w14:paraId="31FABAE7">
            <w:pPr>
              <w:jc w:val="center"/>
              <w:rPr>
                <w:rFonts w:hint="default"/>
                <w:b/>
                <w:bCs/>
                <w:u w:val="single"/>
                <w:vertAlign w:val="baseline"/>
                <w:lang w:val="en-US" w:eastAsia="zh-CN"/>
              </w:rPr>
            </w:pPr>
            <w:r>
              <w:rPr>
                <w:rFonts w:hint="eastAsia"/>
                <w:b/>
                <w:bCs/>
                <w:u w:val="single"/>
                <w:vertAlign w:val="baseline"/>
                <w:lang w:val="en-US" w:eastAsia="zh-CN"/>
              </w:rPr>
              <w:t>0.321</w:t>
            </w:r>
          </w:p>
        </w:tc>
        <w:tc>
          <w:tcPr>
            <w:tcW w:w="2025" w:type="dxa"/>
            <w:vAlign w:val="center"/>
          </w:tcPr>
          <w:p w14:paraId="2FA49D6F">
            <w:pPr>
              <w:jc w:val="center"/>
              <w:rPr>
                <w:rFonts w:hint="eastAsia"/>
                <w:b/>
                <w:bCs/>
                <w:u w:val="single"/>
                <w:vertAlign w:val="baseline"/>
                <w:lang w:val="en-US" w:eastAsia="zh-CN"/>
              </w:rPr>
            </w:pPr>
            <w:r>
              <w:rPr>
                <w:rFonts w:hint="eastAsia"/>
                <w:b/>
                <w:bCs/>
                <w:u w:val="single"/>
                <w:vertAlign w:val="baseline"/>
                <w:lang w:val="en-US" w:eastAsia="zh-CN"/>
              </w:rPr>
              <w:t>车间密闭，集中收</w:t>
            </w:r>
          </w:p>
          <w:p w14:paraId="60BD06C2">
            <w:pPr>
              <w:jc w:val="center"/>
              <w:rPr>
                <w:rFonts w:hint="eastAsia"/>
                <w:b/>
                <w:bCs/>
                <w:u w:val="single"/>
                <w:vertAlign w:val="baseline"/>
                <w:lang w:val="en-US" w:eastAsia="zh-CN"/>
              </w:rPr>
            </w:pPr>
            <w:r>
              <w:rPr>
                <w:rFonts w:hint="eastAsia"/>
                <w:b/>
                <w:bCs/>
                <w:u w:val="single"/>
                <w:vertAlign w:val="baseline"/>
                <w:lang w:val="en-US" w:eastAsia="zh-CN"/>
              </w:rPr>
              <w:t>集</w:t>
            </w:r>
          </w:p>
        </w:tc>
        <w:tc>
          <w:tcPr>
            <w:tcW w:w="2025" w:type="dxa"/>
            <w:vAlign w:val="center"/>
          </w:tcPr>
          <w:p w14:paraId="72C5011C">
            <w:pPr>
              <w:jc w:val="center"/>
              <w:rPr>
                <w:rFonts w:hint="default"/>
                <w:b/>
                <w:bCs/>
                <w:u w:val="single"/>
                <w:vertAlign w:val="baseline"/>
                <w:lang w:val="en-US" w:eastAsia="zh-CN"/>
              </w:rPr>
            </w:pPr>
            <w:r>
              <w:rPr>
                <w:rFonts w:hint="eastAsia"/>
                <w:b/>
                <w:bCs/>
                <w:u w:val="single"/>
                <w:vertAlign w:val="baseline"/>
                <w:lang w:val="en-US" w:eastAsia="zh-CN"/>
              </w:rPr>
              <w:t>0.321</w:t>
            </w:r>
          </w:p>
        </w:tc>
        <w:tc>
          <w:tcPr>
            <w:tcW w:w="2025" w:type="dxa"/>
            <w:vAlign w:val="center"/>
          </w:tcPr>
          <w:p w14:paraId="3A29D310">
            <w:pPr>
              <w:jc w:val="center"/>
              <w:rPr>
                <w:rFonts w:hint="default"/>
                <w:b/>
                <w:bCs/>
                <w:u w:val="single"/>
                <w:vertAlign w:val="baseline"/>
                <w:lang w:val="en-US" w:eastAsia="zh-CN"/>
              </w:rPr>
            </w:pPr>
            <w:r>
              <w:rPr>
                <w:rFonts w:hint="eastAsia"/>
                <w:b/>
                <w:bCs/>
                <w:u w:val="single"/>
                <w:vertAlign w:val="baseline"/>
                <w:lang w:val="en-US" w:eastAsia="zh-CN"/>
              </w:rPr>
              <w:t>2.315</w:t>
            </w:r>
          </w:p>
        </w:tc>
      </w:tr>
    </w:tbl>
    <w:p w14:paraId="598014E1">
      <w:pPr>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tbl>
      <w:tblPr>
        <w:tblStyle w:val="16"/>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76"/>
        <w:gridCol w:w="7946"/>
      </w:tblGrid>
      <w:tr w14:paraId="40F4B1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76" w:type="dxa"/>
            <w:noWrap w:val="0"/>
            <w:vAlign w:val="center"/>
          </w:tcPr>
          <w:p w14:paraId="4E485B28">
            <w:pPr>
              <w:autoSpaceDE w:val="0"/>
              <w:autoSpaceDN w:val="0"/>
              <w:adjustRightInd w:val="0"/>
              <w:snapToGrid w:val="0"/>
              <w:jc w:val="center"/>
              <w:rPr>
                <w:rFonts w:hint="default" w:ascii="Times New Roman" w:hAnsi="Times New Roman" w:cs="Times New Roman"/>
                <w:kern w:val="0"/>
                <w:szCs w:val="21"/>
              </w:rPr>
            </w:pPr>
            <w:r>
              <w:rPr>
                <w:rFonts w:ascii="Calibri" w:hAnsi="Calibri" w:eastAsia="Calibri"/>
                <w:color w:val="000000"/>
              </w:rPr>
              <w:t>运营期环境影响和保护措施</w:t>
            </w:r>
          </w:p>
        </w:tc>
        <w:tc>
          <w:tcPr>
            <w:tcW w:w="7946" w:type="dxa"/>
            <w:noWrap w:val="0"/>
            <w:vAlign w:val="center"/>
          </w:tcPr>
          <w:p w14:paraId="59C40E05">
            <w:pPr>
              <w:spacing w:line="520" w:lineRule="exact"/>
              <w:ind w:firstLine="482" w:firstLineChars="200"/>
              <w:rPr>
                <w:rFonts w:hint="eastAsia" w:ascii="Times New Roman" w:hAnsi="Times New Roman" w:eastAsia="宋体" w:cs="Times New Roman"/>
                <w:b/>
                <w:bCs/>
                <w:color w:val="000000"/>
                <w:kern w:val="2"/>
                <w:sz w:val="24"/>
                <w:szCs w:val="24"/>
                <w:u w:val="single"/>
                <w:lang w:val="en-US" w:eastAsia="zh-CN" w:bidi="zh-CN"/>
              </w:rPr>
            </w:pPr>
            <w:r>
              <w:rPr>
                <w:rFonts w:hint="eastAsia" w:ascii="Times New Roman" w:hAnsi="Times New Roman" w:eastAsia="宋体" w:cs="Times New Roman"/>
                <w:b/>
                <w:bCs/>
                <w:color w:val="000000"/>
                <w:kern w:val="2"/>
                <w:sz w:val="24"/>
                <w:szCs w:val="24"/>
                <w:u w:val="single"/>
                <w:lang w:val="en-US" w:eastAsia="zh-CN" w:bidi="zh-CN"/>
              </w:rPr>
              <w:t>1.</w:t>
            </w:r>
            <w:r>
              <w:rPr>
                <w:rFonts w:hint="eastAsia" w:cs="Times New Roman"/>
                <w:b/>
                <w:bCs/>
                <w:color w:val="000000"/>
                <w:kern w:val="2"/>
                <w:sz w:val="24"/>
                <w:szCs w:val="24"/>
                <w:u w:val="single"/>
                <w:lang w:val="en-US" w:eastAsia="zh-CN" w:bidi="zh-CN"/>
              </w:rPr>
              <w:t>3</w:t>
            </w:r>
            <w:r>
              <w:rPr>
                <w:rFonts w:hint="eastAsia" w:ascii="Times New Roman" w:hAnsi="Times New Roman" w:eastAsia="宋体" w:cs="Times New Roman"/>
                <w:b/>
                <w:bCs/>
                <w:color w:val="000000"/>
                <w:kern w:val="2"/>
                <w:sz w:val="24"/>
                <w:szCs w:val="24"/>
                <w:u w:val="single"/>
                <w:lang w:val="en-US" w:eastAsia="zh-CN" w:bidi="zh-CN"/>
              </w:rPr>
              <w:t>污染物排放量核算</w:t>
            </w:r>
          </w:p>
          <w:p w14:paraId="1C5E22CD">
            <w:pPr>
              <w:widowControl/>
              <w:spacing w:line="520" w:lineRule="exact"/>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u w:val="single"/>
                <w:lang w:val="en-US" w:eastAsia="zh-CN" w:bidi="ar-SA"/>
              </w:rPr>
              <w:t>表4-</w:t>
            </w:r>
            <w:r>
              <w:rPr>
                <w:rFonts w:hint="eastAsia" w:cs="Times New Roman"/>
                <w:b/>
                <w:bCs/>
                <w:kern w:val="2"/>
                <w:sz w:val="21"/>
                <w:szCs w:val="21"/>
                <w:u w:val="single"/>
                <w:lang w:val="en-US" w:eastAsia="zh-CN" w:bidi="ar-SA"/>
              </w:rPr>
              <w:t>4</w:t>
            </w:r>
            <w:r>
              <w:rPr>
                <w:rFonts w:hint="eastAsia" w:ascii="Times New Roman" w:hAnsi="Times New Roman" w:eastAsia="宋体" w:cs="Times New Roman"/>
                <w:b/>
                <w:bCs/>
                <w:kern w:val="2"/>
                <w:sz w:val="21"/>
                <w:szCs w:val="21"/>
                <w:u w:val="single"/>
                <w:lang w:val="en-US" w:eastAsia="zh-CN" w:bidi="ar-SA"/>
              </w:rPr>
              <w:t xml:space="preserve"> 大气污染物排放量核算表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3"/>
              <w:gridCol w:w="889"/>
              <w:gridCol w:w="888"/>
              <w:gridCol w:w="1950"/>
              <w:gridCol w:w="1558"/>
              <w:gridCol w:w="1572"/>
            </w:tblGrid>
            <w:tr w14:paraId="2ECE6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63" w:type="dxa"/>
                </w:tcPr>
                <w:p w14:paraId="0D5EB9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排放口</w:t>
                  </w:r>
                </w:p>
                <w:p w14:paraId="653DD2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编号</w:t>
                  </w:r>
                </w:p>
              </w:tc>
              <w:tc>
                <w:tcPr>
                  <w:tcW w:w="889" w:type="dxa"/>
                </w:tcPr>
                <w:p w14:paraId="0852E8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排放口</w:t>
                  </w:r>
                </w:p>
                <w:p w14:paraId="6EA6F9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类型</w:t>
                  </w:r>
                </w:p>
              </w:tc>
              <w:tc>
                <w:tcPr>
                  <w:tcW w:w="888" w:type="dxa"/>
                </w:tcPr>
                <w:p w14:paraId="5AC923A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污染物</w:t>
                  </w:r>
                </w:p>
                <w:p w14:paraId="7DC9D9D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种类</w:t>
                  </w:r>
                </w:p>
              </w:tc>
              <w:tc>
                <w:tcPr>
                  <w:tcW w:w="1950" w:type="dxa"/>
                </w:tcPr>
                <w:p w14:paraId="30B2794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核算排放浓度</w:t>
                  </w:r>
                </w:p>
                <w:p w14:paraId="65E809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（mg/m</w:t>
                  </w:r>
                  <w:r>
                    <w:rPr>
                      <w:rFonts w:hint="default" w:ascii="Times New Roman" w:hAnsi="Times New Roman" w:eastAsia="宋体" w:cs="Times New Roman"/>
                      <w:b/>
                      <w:bCs/>
                      <w:color w:val="000000"/>
                      <w:kern w:val="2"/>
                      <w:sz w:val="21"/>
                      <w:szCs w:val="21"/>
                      <w:u w:val="single"/>
                      <w:vertAlign w:val="superscript"/>
                      <w:lang w:val="en-US" w:eastAsia="zh-CN" w:bidi="ar-SA"/>
                    </w:rPr>
                    <w:t>3</w:t>
                  </w:r>
                  <w:r>
                    <w:rPr>
                      <w:rFonts w:hint="default" w:ascii="Times New Roman" w:hAnsi="Times New Roman" w:eastAsia="宋体" w:cs="Times New Roman"/>
                      <w:b/>
                      <w:bCs/>
                      <w:color w:val="000000"/>
                      <w:kern w:val="2"/>
                      <w:sz w:val="21"/>
                      <w:szCs w:val="21"/>
                      <w:u w:val="single"/>
                      <w:lang w:val="en-US" w:eastAsia="zh-CN" w:bidi="ar-SA"/>
                    </w:rPr>
                    <w:t>）</w:t>
                  </w:r>
                </w:p>
              </w:tc>
              <w:tc>
                <w:tcPr>
                  <w:tcW w:w="1558" w:type="dxa"/>
                </w:tcPr>
                <w:p w14:paraId="4F92DB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核算排放速率</w:t>
                  </w:r>
                </w:p>
                <w:p w14:paraId="7E9BF5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（kg/h）</w:t>
                  </w:r>
                </w:p>
              </w:tc>
              <w:tc>
                <w:tcPr>
                  <w:tcW w:w="1572" w:type="dxa"/>
                </w:tcPr>
                <w:p w14:paraId="5AADEF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核算年排放量</w:t>
                  </w:r>
                </w:p>
                <w:p w14:paraId="5A8783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（t/a）</w:t>
                  </w:r>
                </w:p>
              </w:tc>
            </w:tr>
            <w:tr w14:paraId="58430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vAlign w:val="center"/>
                </w:tcPr>
                <w:p w14:paraId="4BDB45AE">
                  <w:pPr>
                    <w:spacing w:line="240" w:lineRule="auto"/>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cs="Times New Roman"/>
                      <w:b/>
                      <w:bCs/>
                      <w:color w:val="auto"/>
                      <w:sz w:val="21"/>
                      <w:szCs w:val="21"/>
                      <w:u w:val="single"/>
                      <w:lang w:val="en-US" w:eastAsia="zh-CN"/>
                    </w:rPr>
                    <w:t>DA001</w:t>
                  </w:r>
                </w:p>
              </w:tc>
              <w:tc>
                <w:tcPr>
                  <w:tcW w:w="889" w:type="dxa"/>
                  <w:vMerge w:val="restart"/>
                  <w:vAlign w:val="center"/>
                </w:tcPr>
                <w:p w14:paraId="5722797A">
                  <w:pPr>
                    <w:spacing w:line="240" w:lineRule="auto"/>
                    <w:jc w:val="center"/>
                    <w:rPr>
                      <w:rFonts w:hint="default" w:ascii="Times New Roman" w:hAnsi="Times New Roman" w:eastAsia="宋体" w:cs="Times New Roman"/>
                      <w:b/>
                      <w:bCs/>
                      <w:color w:val="auto"/>
                      <w:kern w:val="2"/>
                      <w:sz w:val="21"/>
                      <w:szCs w:val="21"/>
                      <w:u w:val="single"/>
                      <w:lang w:val="en-US" w:eastAsia="zh-CN" w:bidi="ar-SA"/>
                    </w:rPr>
                  </w:pPr>
                  <w:r>
                    <w:rPr>
                      <w:rFonts w:hint="eastAsia" w:cs="Times New Roman"/>
                      <w:b/>
                      <w:bCs/>
                      <w:color w:val="auto"/>
                      <w:kern w:val="2"/>
                      <w:sz w:val="21"/>
                      <w:szCs w:val="21"/>
                      <w:u w:val="single"/>
                      <w:lang w:val="en-US" w:eastAsia="zh-CN" w:bidi="ar-SA"/>
                    </w:rPr>
                    <w:t>有组织</w:t>
                  </w:r>
                </w:p>
              </w:tc>
              <w:tc>
                <w:tcPr>
                  <w:tcW w:w="888" w:type="dxa"/>
                  <w:vAlign w:val="center"/>
                </w:tcPr>
                <w:p w14:paraId="0FC3444F">
                  <w:pPr>
                    <w:pStyle w:val="35"/>
                    <w:spacing w:line="240" w:lineRule="auto"/>
                    <w:ind w:firstLine="0" w:firstLineChars="0"/>
                    <w:jc w:val="center"/>
                    <w:rPr>
                      <w:rFonts w:hint="eastAsia" w:ascii="Times New Roman" w:hAnsi="Times New Roman" w:eastAsia="宋体" w:cs="Times New Roman"/>
                      <w:b/>
                      <w:bCs/>
                      <w:color w:val="auto"/>
                      <w:kern w:val="24"/>
                      <w:sz w:val="21"/>
                      <w:szCs w:val="21"/>
                      <w:u w:val="single"/>
                      <w:lang w:val="en-US" w:eastAsia="zh-CN" w:bidi="ar-SA"/>
                    </w:rPr>
                  </w:pPr>
                  <w:r>
                    <w:rPr>
                      <w:rFonts w:hint="eastAsia" w:ascii="Times New Roman" w:hAnsi="Times New Roman" w:eastAsia="宋体" w:cs="Times New Roman"/>
                      <w:b/>
                      <w:bCs/>
                      <w:color w:val="auto"/>
                      <w:sz w:val="21"/>
                      <w:szCs w:val="21"/>
                      <w:u w:val="single"/>
                      <w:lang w:eastAsia="zh-CN"/>
                    </w:rPr>
                    <w:t>颗粒物</w:t>
                  </w:r>
                </w:p>
              </w:tc>
              <w:tc>
                <w:tcPr>
                  <w:tcW w:w="1950" w:type="dxa"/>
                </w:tcPr>
                <w:p w14:paraId="3B1858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2.1</w:t>
                  </w:r>
                </w:p>
              </w:tc>
              <w:tc>
                <w:tcPr>
                  <w:tcW w:w="1558" w:type="dxa"/>
                </w:tcPr>
                <w:p w14:paraId="7E3D6C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0.021</w:t>
                  </w:r>
                </w:p>
              </w:tc>
              <w:tc>
                <w:tcPr>
                  <w:tcW w:w="1572" w:type="dxa"/>
                </w:tcPr>
                <w:p w14:paraId="3BE853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0.154</w:t>
                  </w:r>
                </w:p>
              </w:tc>
            </w:tr>
            <w:tr w14:paraId="335A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vAlign w:val="center"/>
                </w:tcPr>
                <w:p w14:paraId="18E2B6D1">
                  <w:pPr>
                    <w:spacing w:line="240" w:lineRule="auto"/>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cs="Times New Roman"/>
                      <w:b/>
                      <w:bCs/>
                      <w:color w:val="auto"/>
                      <w:sz w:val="21"/>
                      <w:szCs w:val="21"/>
                      <w:u w:val="single"/>
                      <w:lang w:val="en-US" w:eastAsia="zh-CN"/>
                    </w:rPr>
                    <w:t>DA00</w:t>
                  </w:r>
                  <w:r>
                    <w:rPr>
                      <w:rFonts w:hint="eastAsia" w:cs="Times New Roman"/>
                      <w:b/>
                      <w:bCs/>
                      <w:color w:val="auto"/>
                      <w:sz w:val="21"/>
                      <w:szCs w:val="21"/>
                      <w:u w:val="single"/>
                      <w:lang w:val="en-US" w:eastAsia="zh-CN"/>
                    </w:rPr>
                    <w:t>2</w:t>
                  </w:r>
                </w:p>
              </w:tc>
              <w:tc>
                <w:tcPr>
                  <w:tcW w:w="889" w:type="dxa"/>
                  <w:vMerge w:val="continue"/>
                  <w:vAlign w:val="center"/>
                </w:tcPr>
                <w:p w14:paraId="0F7FBB55">
                  <w:pPr>
                    <w:spacing w:line="240" w:lineRule="auto"/>
                    <w:jc w:val="center"/>
                    <w:rPr>
                      <w:rFonts w:hint="eastAsia" w:ascii="Times New Roman" w:hAnsi="Times New Roman" w:eastAsia="宋体" w:cs="Times New Roman"/>
                      <w:b/>
                      <w:bCs/>
                      <w:color w:val="auto"/>
                      <w:kern w:val="2"/>
                      <w:sz w:val="21"/>
                      <w:szCs w:val="21"/>
                      <w:u w:val="single"/>
                      <w:lang w:val="en-US" w:eastAsia="zh-CN" w:bidi="ar-SA"/>
                    </w:rPr>
                  </w:pPr>
                </w:p>
              </w:tc>
              <w:tc>
                <w:tcPr>
                  <w:tcW w:w="888" w:type="dxa"/>
                  <w:vAlign w:val="center"/>
                </w:tcPr>
                <w:p w14:paraId="0241DDE2">
                  <w:pPr>
                    <w:pStyle w:val="35"/>
                    <w:spacing w:line="240" w:lineRule="auto"/>
                    <w:ind w:firstLine="0" w:firstLineChars="0"/>
                    <w:jc w:val="center"/>
                    <w:rPr>
                      <w:rFonts w:hint="eastAsia" w:ascii="Times New Roman" w:hAnsi="Times New Roman" w:eastAsia="宋体" w:cs="Times New Roman"/>
                      <w:b/>
                      <w:bCs/>
                      <w:color w:val="auto"/>
                      <w:kern w:val="24"/>
                      <w:sz w:val="21"/>
                      <w:szCs w:val="21"/>
                      <w:u w:val="single"/>
                      <w:lang w:val="en-US" w:eastAsia="zh-CN" w:bidi="ar-SA"/>
                    </w:rPr>
                  </w:pPr>
                  <w:r>
                    <w:rPr>
                      <w:rFonts w:hint="eastAsia" w:ascii="Times New Roman" w:hAnsi="Times New Roman" w:eastAsia="宋体" w:cs="Times New Roman"/>
                      <w:b/>
                      <w:bCs/>
                      <w:color w:val="auto"/>
                      <w:sz w:val="21"/>
                      <w:szCs w:val="21"/>
                      <w:u w:val="single"/>
                      <w:lang w:eastAsia="zh-CN"/>
                    </w:rPr>
                    <w:t>颗粒物</w:t>
                  </w:r>
                </w:p>
              </w:tc>
              <w:tc>
                <w:tcPr>
                  <w:tcW w:w="1950" w:type="dxa"/>
                  <w:vAlign w:val="top"/>
                </w:tcPr>
                <w:p w14:paraId="4668324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2.1</w:t>
                  </w:r>
                </w:p>
              </w:tc>
              <w:tc>
                <w:tcPr>
                  <w:tcW w:w="1558" w:type="dxa"/>
                  <w:vAlign w:val="top"/>
                </w:tcPr>
                <w:p w14:paraId="0FA7C1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0.021</w:t>
                  </w:r>
                </w:p>
              </w:tc>
              <w:tc>
                <w:tcPr>
                  <w:tcW w:w="1572" w:type="dxa"/>
                  <w:vAlign w:val="top"/>
                </w:tcPr>
                <w:p w14:paraId="3EB786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0.154</w:t>
                  </w:r>
                </w:p>
              </w:tc>
            </w:tr>
            <w:tr w14:paraId="7223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vAlign w:val="center"/>
                </w:tcPr>
                <w:p w14:paraId="5DFCB58B">
                  <w:pPr>
                    <w:spacing w:line="240" w:lineRule="auto"/>
                    <w:jc w:val="center"/>
                    <w:rPr>
                      <w:rFonts w:hint="eastAsia" w:ascii="Times New Roman" w:hAnsi="Times New Roman" w:eastAsia="宋体" w:cs="Times New Roman"/>
                      <w:b/>
                      <w:bCs/>
                      <w:i w:val="0"/>
                      <w:iCs w:val="0"/>
                      <w:color w:val="auto"/>
                      <w:kern w:val="2"/>
                      <w:sz w:val="21"/>
                      <w:szCs w:val="21"/>
                      <w:u w:val="single"/>
                      <w:vertAlign w:val="baseline"/>
                      <w:lang w:val="en-US" w:eastAsia="zh-CN" w:bidi="ar-SA"/>
                    </w:rPr>
                  </w:pPr>
                  <w:r>
                    <w:rPr>
                      <w:rFonts w:hint="eastAsia" w:ascii="Times New Roman" w:hAnsi="Times New Roman" w:cs="Times New Roman"/>
                      <w:b/>
                      <w:bCs/>
                      <w:color w:val="auto"/>
                      <w:sz w:val="21"/>
                      <w:szCs w:val="21"/>
                      <w:u w:val="single"/>
                      <w:lang w:val="en-US" w:eastAsia="zh-CN"/>
                    </w:rPr>
                    <w:t>DA00</w:t>
                  </w:r>
                  <w:r>
                    <w:rPr>
                      <w:rFonts w:hint="eastAsia" w:cs="Times New Roman"/>
                      <w:b/>
                      <w:bCs/>
                      <w:color w:val="auto"/>
                      <w:sz w:val="21"/>
                      <w:szCs w:val="21"/>
                      <w:u w:val="single"/>
                      <w:lang w:val="en-US" w:eastAsia="zh-CN"/>
                    </w:rPr>
                    <w:t>3</w:t>
                  </w:r>
                </w:p>
              </w:tc>
              <w:tc>
                <w:tcPr>
                  <w:tcW w:w="889" w:type="dxa"/>
                  <w:vMerge w:val="continue"/>
                  <w:vAlign w:val="center"/>
                </w:tcPr>
                <w:p w14:paraId="7A72C282">
                  <w:pPr>
                    <w:spacing w:line="240" w:lineRule="auto"/>
                    <w:jc w:val="center"/>
                    <w:rPr>
                      <w:rFonts w:hint="eastAsia" w:ascii="Times New Roman" w:hAnsi="Times New Roman" w:eastAsia="宋体" w:cs="Times New Roman"/>
                      <w:b/>
                      <w:bCs/>
                      <w:i w:val="0"/>
                      <w:iCs w:val="0"/>
                      <w:color w:val="auto"/>
                      <w:kern w:val="2"/>
                      <w:sz w:val="21"/>
                      <w:szCs w:val="21"/>
                      <w:u w:val="single"/>
                      <w:vertAlign w:val="baseline"/>
                      <w:lang w:val="en-US" w:eastAsia="zh-CN" w:bidi="ar-SA"/>
                    </w:rPr>
                  </w:pPr>
                </w:p>
              </w:tc>
              <w:tc>
                <w:tcPr>
                  <w:tcW w:w="888" w:type="dxa"/>
                  <w:vAlign w:val="center"/>
                </w:tcPr>
                <w:p w14:paraId="39E3465E">
                  <w:pPr>
                    <w:pStyle w:val="35"/>
                    <w:spacing w:line="240" w:lineRule="auto"/>
                    <w:ind w:firstLine="0" w:firstLineChars="0"/>
                    <w:jc w:val="center"/>
                    <w:rPr>
                      <w:rFonts w:hint="eastAsia" w:ascii="Times New Roman" w:hAnsi="Times New Roman" w:eastAsia="宋体" w:cs="Times New Roman"/>
                      <w:b/>
                      <w:bCs/>
                      <w:color w:val="auto"/>
                      <w:kern w:val="24"/>
                      <w:sz w:val="21"/>
                      <w:szCs w:val="21"/>
                      <w:u w:val="single"/>
                      <w:lang w:val="en-US" w:eastAsia="zh-CN" w:bidi="ar-SA"/>
                    </w:rPr>
                  </w:pPr>
                  <w:r>
                    <w:rPr>
                      <w:rFonts w:hint="eastAsia" w:ascii="Times New Roman" w:hAnsi="Times New Roman" w:eastAsia="宋体" w:cs="Times New Roman"/>
                      <w:b/>
                      <w:bCs/>
                      <w:color w:val="auto"/>
                      <w:sz w:val="21"/>
                      <w:szCs w:val="21"/>
                      <w:u w:val="single"/>
                      <w:lang w:eastAsia="zh-CN"/>
                    </w:rPr>
                    <w:t>颗粒物</w:t>
                  </w:r>
                </w:p>
              </w:tc>
              <w:tc>
                <w:tcPr>
                  <w:tcW w:w="1950" w:type="dxa"/>
                  <w:vAlign w:val="top"/>
                </w:tcPr>
                <w:p w14:paraId="612C8D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2.1</w:t>
                  </w:r>
                </w:p>
              </w:tc>
              <w:tc>
                <w:tcPr>
                  <w:tcW w:w="1558" w:type="dxa"/>
                  <w:vAlign w:val="top"/>
                </w:tcPr>
                <w:p w14:paraId="2D8A05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0.021</w:t>
                  </w:r>
                </w:p>
              </w:tc>
              <w:tc>
                <w:tcPr>
                  <w:tcW w:w="1572" w:type="dxa"/>
                  <w:vAlign w:val="top"/>
                </w:tcPr>
                <w:p w14:paraId="68BA3E6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0.154</w:t>
                  </w:r>
                </w:p>
              </w:tc>
            </w:tr>
            <w:tr w14:paraId="311A0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vAlign w:val="center"/>
                </w:tcPr>
                <w:p w14:paraId="540ECBD7">
                  <w:pPr>
                    <w:spacing w:line="240" w:lineRule="auto"/>
                    <w:jc w:val="center"/>
                    <w:rPr>
                      <w:rFonts w:hint="eastAsia" w:ascii="Times New Roman" w:hAnsi="Times New Roman" w:eastAsia="宋体" w:cs="Times New Roman"/>
                      <w:b/>
                      <w:bCs/>
                      <w:i w:val="0"/>
                      <w:iCs w:val="0"/>
                      <w:color w:val="auto"/>
                      <w:kern w:val="2"/>
                      <w:sz w:val="21"/>
                      <w:szCs w:val="21"/>
                      <w:u w:val="single"/>
                      <w:vertAlign w:val="baseline"/>
                      <w:lang w:val="en-US" w:eastAsia="zh-CN" w:bidi="ar-SA"/>
                    </w:rPr>
                  </w:pPr>
                  <w:r>
                    <w:rPr>
                      <w:rFonts w:hint="eastAsia" w:ascii="Times New Roman" w:hAnsi="Times New Roman" w:cs="Times New Roman"/>
                      <w:b/>
                      <w:bCs/>
                      <w:color w:val="auto"/>
                      <w:sz w:val="21"/>
                      <w:szCs w:val="21"/>
                      <w:u w:val="single"/>
                      <w:lang w:val="en-US" w:eastAsia="zh-CN"/>
                    </w:rPr>
                    <w:t>DA00</w:t>
                  </w:r>
                  <w:r>
                    <w:rPr>
                      <w:rFonts w:hint="eastAsia" w:cs="Times New Roman"/>
                      <w:b/>
                      <w:bCs/>
                      <w:color w:val="auto"/>
                      <w:sz w:val="21"/>
                      <w:szCs w:val="21"/>
                      <w:u w:val="single"/>
                      <w:lang w:val="en-US" w:eastAsia="zh-CN"/>
                    </w:rPr>
                    <w:t>4</w:t>
                  </w:r>
                </w:p>
              </w:tc>
              <w:tc>
                <w:tcPr>
                  <w:tcW w:w="889" w:type="dxa"/>
                  <w:vMerge w:val="continue"/>
                  <w:vAlign w:val="center"/>
                </w:tcPr>
                <w:p w14:paraId="4CA300C9">
                  <w:pPr>
                    <w:spacing w:line="240" w:lineRule="auto"/>
                    <w:jc w:val="center"/>
                    <w:rPr>
                      <w:rFonts w:hint="eastAsia" w:ascii="Times New Roman" w:hAnsi="Times New Roman" w:eastAsia="宋体" w:cs="Times New Roman"/>
                      <w:b/>
                      <w:bCs/>
                      <w:i w:val="0"/>
                      <w:iCs w:val="0"/>
                      <w:color w:val="auto"/>
                      <w:kern w:val="2"/>
                      <w:sz w:val="21"/>
                      <w:szCs w:val="21"/>
                      <w:u w:val="single"/>
                      <w:vertAlign w:val="baseline"/>
                      <w:lang w:val="en-US" w:eastAsia="zh-CN" w:bidi="ar-SA"/>
                    </w:rPr>
                  </w:pPr>
                </w:p>
              </w:tc>
              <w:tc>
                <w:tcPr>
                  <w:tcW w:w="888" w:type="dxa"/>
                  <w:vAlign w:val="center"/>
                </w:tcPr>
                <w:p w14:paraId="30054A1C">
                  <w:pPr>
                    <w:spacing w:line="240" w:lineRule="auto"/>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cs="Times New Roman"/>
                      <w:b/>
                      <w:bCs/>
                      <w:color w:val="auto"/>
                      <w:sz w:val="21"/>
                      <w:szCs w:val="21"/>
                      <w:u w:val="single"/>
                      <w:lang w:eastAsia="zh-CN"/>
                    </w:rPr>
                    <w:t>油烟</w:t>
                  </w:r>
                </w:p>
              </w:tc>
              <w:tc>
                <w:tcPr>
                  <w:tcW w:w="1950" w:type="dxa"/>
                </w:tcPr>
                <w:p w14:paraId="55F8CE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0.15</w:t>
                  </w:r>
                </w:p>
              </w:tc>
              <w:tc>
                <w:tcPr>
                  <w:tcW w:w="1558" w:type="dxa"/>
                </w:tcPr>
                <w:p w14:paraId="09FE23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0.0012</w:t>
                  </w:r>
                </w:p>
              </w:tc>
              <w:tc>
                <w:tcPr>
                  <w:tcW w:w="1572" w:type="dxa"/>
                </w:tcPr>
                <w:p w14:paraId="179C98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0.0014</w:t>
                  </w:r>
                </w:p>
              </w:tc>
            </w:tr>
            <w:tr w14:paraId="0B668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3" w:type="dxa"/>
                  <w:vAlign w:val="center"/>
                </w:tcPr>
                <w:p w14:paraId="6ACB621E">
                  <w:pPr>
                    <w:spacing w:line="240" w:lineRule="auto"/>
                    <w:jc w:val="center"/>
                    <w:rPr>
                      <w:rFonts w:hint="default" w:ascii="Times New Roman" w:hAnsi="Times New Roman" w:cs="Times New Roman"/>
                      <w:b/>
                      <w:bCs/>
                      <w:color w:val="auto"/>
                      <w:sz w:val="21"/>
                      <w:szCs w:val="21"/>
                      <w:u w:val="single"/>
                      <w:lang w:val="en-US" w:eastAsia="zh-CN"/>
                    </w:rPr>
                  </w:pPr>
                  <w:r>
                    <w:rPr>
                      <w:rFonts w:hint="eastAsia" w:cs="Times New Roman"/>
                      <w:b/>
                      <w:bCs/>
                      <w:color w:val="auto"/>
                      <w:sz w:val="21"/>
                      <w:szCs w:val="21"/>
                      <w:u w:val="single"/>
                      <w:lang w:val="en-US" w:eastAsia="zh-CN"/>
                    </w:rPr>
                    <w:t>/</w:t>
                  </w:r>
                </w:p>
              </w:tc>
              <w:tc>
                <w:tcPr>
                  <w:tcW w:w="889" w:type="dxa"/>
                  <w:vAlign w:val="center"/>
                </w:tcPr>
                <w:p w14:paraId="3D3727E3">
                  <w:pPr>
                    <w:spacing w:line="240" w:lineRule="auto"/>
                    <w:jc w:val="center"/>
                    <w:rPr>
                      <w:rFonts w:hint="default" w:ascii="Times New Roman" w:hAnsi="Times New Roman" w:eastAsia="宋体" w:cs="Times New Roman"/>
                      <w:b/>
                      <w:bCs/>
                      <w:i w:val="0"/>
                      <w:iCs w:val="0"/>
                      <w:color w:val="auto"/>
                      <w:kern w:val="2"/>
                      <w:sz w:val="21"/>
                      <w:szCs w:val="21"/>
                      <w:u w:val="single"/>
                      <w:vertAlign w:val="baseline"/>
                      <w:lang w:val="en-US" w:eastAsia="zh-CN" w:bidi="ar-SA"/>
                    </w:rPr>
                  </w:pPr>
                  <w:r>
                    <w:rPr>
                      <w:rFonts w:hint="eastAsia" w:cs="Times New Roman"/>
                      <w:b/>
                      <w:bCs/>
                      <w:i w:val="0"/>
                      <w:iCs w:val="0"/>
                      <w:color w:val="auto"/>
                      <w:kern w:val="2"/>
                      <w:sz w:val="21"/>
                      <w:szCs w:val="21"/>
                      <w:u w:val="single"/>
                      <w:vertAlign w:val="baseline"/>
                      <w:lang w:val="en-US" w:eastAsia="zh-CN" w:bidi="ar-SA"/>
                    </w:rPr>
                    <w:t>无组织</w:t>
                  </w:r>
                </w:p>
              </w:tc>
              <w:tc>
                <w:tcPr>
                  <w:tcW w:w="888" w:type="dxa"/>
                  <w:vAlign w:val="center"/>
                </w:tcPr>
                <w:p w14:paraId="3EE67E56">
                  <w:pPr>
                    <w:spacing w:line="240" w:lineRule="auto"/>
                    <w:jc w:val="center"/>
                    <w:rPr>
                      <w:rFonts w:hint="eastAsia" w:ascii="Times New Roman" w:hAnsi="Times New Roman" w:cs="Times New Roman"/>
                      <w:b/>
                      <w:bCs/>
                      <w:color w:val="auto"/>
                      <w:sz w:val="21"/>
                      <w:szCs w:val="21"/>
                      <w:u w:val="single"/>
                      <w:lang w:eastAsia="zh-CN"/>
                    </w:rPr>
                  </w:pPr>
                  <w:r>
                    <w:rPr>
                      <w:rFonts w:hint="eastAsia" w:ascii="Times New Roman" w:hAnsi="Times New Roman" w:eastAsia="宋体" w:cs="Times New Roman"/>
                      <w:b/>
                      <w:bCs/>
                      <w:color w:val="auto"/>
                      <w:sz w:val="21"/>
                      <w:szCs w:val="21"/>
                      <w:u w:val="single"/>
                      <w:lang w:eastAsia="zh-CN"/>
                    </w:rPr>
                    <w:t>颗粒物</w:t>
                  </w:r>
                </w:p>
              </w:tc>
              <w:tc>
                <w:tcPr>
                  <w:tcW w:w="1950" w:type="dxa"/>
                </w:tcPr>
                <w:p w14:paraId="3BC006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w:t>
                  </w:r>
                </w:p>
              </w:tc>
              <w:tc>
                <w:tcPr>
                  <w:tcW w:w="1558" w:type="dxa"/>
                </w:tcPr>
                <w:p w14:paraId="58EAE55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0.321</w:t>
                  </w:r>
                </w:p>
              </w:tc>
              <w:tc>
                <w:tcPr>
                  <w:tcW w:w="1572" w:type="dxa"/>
                </w:tcPr>
                <w:p w14:paraId="14397B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2.315</w:t>
                  </w:r>
                </w:p>
              </w:tc>
            </w:tr>
          </w:tbl>
          <w:p w14:paraId="52BFE1FE">
            <w:pPr>
              <w:widowControl/>
              <w:spacing w:line="520" w:lineRule="exact"/>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u w:val="single"/>
                <w:lang w:val="en-US" w:eastAsia="zh-CN" w:bidi="ar-SA"/>
              </w:rPr>
              <w:t>表4-</w:t>
            </w:r>
            <w:r>
              <w:rPr>
                <w:rFonts w:hint="eastAsia" w:cs="Times New Roman"/>
                <w:b/>
                <w:bCs/>
                <w:kern w:val="2"/>
                <w:sz w:val="21"/>
                <w:szCs w:val="21"/>
                <w:u w:val="single"/>
                <w:lang w:val="en-US" w:eastAsia="zh-CN" w:bidi="ar-SA"/>
              </w:rPr>
              <w:t>5</w:t>
            </w:r>
            <w:r>
              <w:rPr>
                <w:rFonts w:hint="eastAsia" w:ascii="Times New Roman" w:hAnsi="Times New Roman" w:eastAsia="宋体" w:cs="Times New Roman"/>
                <w:b/>
                <w:bCs/>
                <w:kern w:val="2"/>
                <w:sz w:val="21"/>
                <w:szCs w:val="21"/>
                <w:u w:val="single"/>
                <w:lang w:val="en-US" w:eastAsia="zh-CN" w:bidi="ar-SA"/>
              </w:rPr>
              <w:t xml:space="preserve"> 废气排放</w:t>
            </w:r>
            <w:r>
              <w:rPr>
                <w:rFonts w:hint="eastAsia" w:ascii="Times New Roman" w:hAnsi="Times New Roman" w:cs="Times New Roman"/>
                <w:b/>
                <w:bCs/>
                <w:kern w:val="2"/>
                <w:sz w:val="21"/>
                <w:szCs w:val="21"/>
                <w:u w:val="single"/>
                <w:lang w:val="en-US" w:eastAsia="zh-CN" w:bidi="ar-SA"/>
              </w:rPr>
              <w:t>口</w:t>
            </w:r>
            <w:r>
              <w:rPr>
                <w:rFonts w:hint="eastAsia" w:ascii="Times New Roman" w:hAnsi="Times New Roman" w:eastAsia="宋体" w:cs="Times New Roman"/>
                <w:b/>
                <w:bCs/>
                <w:kern w:val="2"/>
                <w:sz w:val="21"/>
                <w:szCs w:val="21"/>
                <w:u w:val="single"/>
                <w:lang w:val="en-US" w:eastAsia="zh-CN" w:bidi="ar-SA"/>
              </w:rPr>
              <w:t>达标情况分析</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8"/>
              <w:gridCol w:w="942"/>
              <w:gridCol w:w="877"/>
              <w:gridCol w:w="1177"/>
              <w:gridCol w:w="1062"/>
              <w:gridCol w:w="1096"/>
              <w:gridCol w:w="1073"/>
              <w:gridCol w:w="645"/>
            </w:tblGrid>
            <w:tr w14:paraId="2EE4C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48" w:type="dxa"/>
                  <w:vMerge w:val="restart"/>
                </w:tcPr>
                <w:p w14:paraId="193625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排放口</w:t>
                  </w:r>
                </w:p>
                <w:p w14:paraId="03706A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编号</w:t>
                  </w:r>
                </w:p>
              </w:tc>
              <w:tc>
                <w:tcPr>
                  <w:tcW w:w="942" w:type="dxa"/>
                  <w:vMerge w:val="restart"/>
                </w:tcPr>
                <w:p w14:paraId="362120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排放口</w:t>
                  </w:r>
                </w:p>
                <w:p w14:paraId="3AE1C8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类型</w:t>
                  </w:r>
                </w:p>
              </w:tc>
              <w:tc>
                <w:tcPr>
                  <w:tcW w:w="877" w:type="dxa"/>
                  <w:vMerge w:val="restart"/>
                </w:tcPr>
                <w:p w14:paraId="1636A06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污染物</w:t>
                  </w:r>
                </w:p>
                <w:p w14:paraId="1AF3AA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种类</w:t>
                  </w:r>
                </w:p>
              </w:tc>
              <w:tc>
                <w:tcPr>
                  <w:tcW w:w="2239" w:type="dxa"/>
                  <w:gridSpan w:val="2"/>
                </w:tcPr>
                <w:p w14:paraId="08B0B0E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污染物排放情况</w:t>
                  </w:r>
                </w:p>
              </w:tc>
              <w:tc>
                <w:tcPr>
                  <w:tcW w:w="2169" w:type="dxa"/>
                  <w:gridSpan w:val="2"/>
                </w:tcPr>
                <w:p w14:paraId="365EE2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排放标准限值</w:t>
                  </w:r>
                </w:p>
              </w:tc>
              <w:tc>
                <w:tcPr>
                  <w:tcW w:w="645" w:type="dxa"/>
                  <w:vMerge w:val="restart"/>
                </w:tcPr>
                <w:p w14:paraId="48D913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达标</w:t>
                  </w:r>
                </w:p>
                <w:p w14:paraId="2F3CFA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情况</w:t>
                  </w:r>
                </w:p>
              </w:tc>
            </w:tr>
            <w:tr w14:paraId="2198F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48" w:type="dxa"/>
                  <w:vMerge w:val="continue"/>
                </w:tcPr>
                <w:p w14:paraId="7768494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942" w:type="dxa"/>
                  <w:vMerge w:val="continue"/>
                </w:tcPr>
                <w:p w14:paraId="1F6C67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cs="Times New Roman"/>
                      <w:b/>
                      <w:bCs/>
                      <w:color w:val="000000"/>
                      <w:kern w:val="2"/>
                      <w:sz w:val="21"/>
                      <w:szCs w:val="21"/>
                      <w:u w:val="single"/>
                      <w:lang w:val="en-US" w:eastAsia="zh-CN" w:bidi="ar-SA"/>
                    </w:rPr>
                  </w:pPr>
                </w:p>
              </w:tc>
              <w:tc>
                <w:tcPr>
                  <w:tcW w:w="877" w:type="dxa"/>
                  <w:vMerge w:val="continue"/>
                </w:tcPr>
                <w:p w14:paraId="02CF62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c>
                <w:tcPr>
                  <w:tcW w:w="1177" w:type="dxa"/>
                </w:tcPr>
                <w:p w14:paraId="2721FF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排放浓度</w:t>
                  </w:r>
                </w:p>
                <w:p w14:paraId="72DB0D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（mg/m</w:t>
                  </w:r>
                  <w:r>
                    <w:rPr>
                      <w:rFonts w:hint="default" w:ascii="Times New Roman" w:hAnsi="Times New Roman" w:eastAsia="宋体" w:cs="Times New Roman"/>
                      <w:b/>
                      <w:bCs/>
                      <w:color w:val="000000"/>
                      <w:kern w:val="2"/>
                      <w:sz w:val="21"/>
                      <w:szCs w:val="21"/>
                      <w:u w:val="single"/>
                      <w:vertAlign w:val="superscript"/>
                      <w:lang w:val="en-US" w:eastAsia="zh-CN" w:bidi="ar-SA"/>
                    </w:rPr>
                    <w:t>3</w:t>
                  </w:r>
                  <w:r>
                    <w:rPr>
                      <w:rFonts w:hint="default" w:ascii="Times New Roman" w:hAnsi="Times New Roman" w:eastAsia="宋体" w:cs="Times New Roman"/>
                      <w:b/>
                      <w:bCs/>
                      <w:color w:val="000000"/>
                      <w:kern w:val="2"/>
                      <w:sz w:val="21"/>
                      <w:szCs w:val="21"/>
                      <w:u w:val="single"/>
                      <w:lang w:val="en-US" w:eastAsia="zh-CN" w:bidi="ar-SA"/>
                    </w:rPr>
                    <w:t>）</w:t>
                  </w:r>
                </w:p>
              </w:tc>
              <w:tc>
                <w:tcPr>
                  <w:tcW w:w="1062" w:type="dxa"/>
                </w:tcPr>
                <w:p w14:paraId="79F051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排放速率</w:t>
                  </w:r>
                </w:p>
                <w:p w14:paraId="054287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（kg/h）</w:t>
                  </w:r>
                </w:p>
              </w:tc>
              <w:tc>
                <w:tcPr>
                  <w:tcW w:w="1096" w:type="dxa"/>
                  <w:vAlign w:val="top"/>
                </w:tcPr>
                <w:p w14:paraId="22F22B4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排放浓度</w:t>
                  </w:r>
                </w:p>
                <w:p w14:paraId="129B7E5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（mg/m</w:t>
                  </w:r>
                  <w:r>
                    <w:rPr>
                      <w:rFonts w:hint="default" w:ascii="Times New Roman" w:hAnsi="Times New Roman" w:eastAsia="宋体" w:cs="Times New Roman"/>
                      <w:b/>
                      <w:bCs/>
                      <w:color w:val="000000"/>
                      <w:kern w:val="2"/>
                      <w:sz w:val="21"/>
                      <w:szCs w:val="21"/>
                      <w:u w:val="single"/>
                      <w:vertAlign w:val="superscript"/>
                      <w:lang w:val="en-US" w:eastAsia="zh-CN" w:bidi="ar-SA"/>
                    </w:rPr>
                    <w:t>3</w:t>
                  </w:r>
                  <w:r>
                    <w:rPr>
                      <w:rFonts w:hint="default" w:ascii="Times New Roman" w:hAnsi="Times New Roman" w:eastAsia="宋体" w:cs="Times New Roman"/>
                      <w:b/>
                      <w:bCs/>
                      <w:color w:val="000000"/>
                      <w:kern w:val="2"/>
                      <w:sz w:val="21"/>
                      <w:szCs w:val="21"/>
                      <w:u w:val="single"/>
                      <w:lang w:val="en-US" w:eastAsia="zh-CN" w:bidi="ar-SA"/>
                    </w:rPr>
                    <w:t>）</w:t>
                  </w:r>
                </w:p>
              </w:tc>
              <w:tc>
                <w:tcPr>
                  <w:tcW w:w="1073" w:type="dxa"/>
                  <w:vAlign w:val="top"/>
                </w:tcPr>
                <w:p w14:paraId="1A042D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排放速率</w:t>
                  </w:r>
                </w:p>
                <w:p w14:paraId="5D2DCB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（kg/h）</w:t>
                  </w:r>
                </w:p>
              </w:tc>
              <w:tc>
                <w:tcPr>
                  <w:tcW w:w="645" w:type="dxa"/>
                  <w:vMerge w:val="continue"/>
                </w:tcPr>
                <w:p w14:paraId="05A8C8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p>
              </w:tc>
            </w:tr>
            <w:tr w14:paraId="7BDE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14:paraId="56E9F727">
                  <w:pPr>
                    <w:spacing w:line="240" w:lineRule="auto"/>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cs="Times New Roman"/>
                      <w:b/>
                      <w:bCs/>
                      <w:color w:val="auto"/>
                      <w:sz w:val="21"/>
                      <w:szCs w:val="21"/>
                      <w:u w:val="single"/>
                      <w:lang w:val="en-US" w:eastAsia="zh-CN"/>
                    </w:rPr>
                    <w:t>DA001</w:t>
                  </w:r>
                </w:p>
              </w:tc>
              <w:tc>
                <w:tcPr>
                  <w:tcW w:w="942" w:type="dxa"/>
                  <w:vMerge w:val="restart"/>
                  <w:vAlign w:val="center"/>
                </w:tcPr>
                <w:p w14:paraId="253326E3">
                  <w:pPr>
                    <w:spacing w:line="240" w:lineRule="auto"/>
                    <w:jc w:val="center"/>
                    <w:rPr>
                      <w:rFonts w:hint="eastAsia" w:ascii="Times New Roman" w:hAnsi="Times New Roman" w:cs="Times New Roman"/>
                      <w:b/>
                      <w:bCs/>
                      <w:color w:val="auto"/>
                      <w:kern w:val="2"/>
                      <w:sz w:val="21"/>
                      <w:szCs w:val="21"/>
                      <w:u w:val="single"/>
                      <w:lang w:val="en-US" w:eastAsia="zh-CN" w:bidi="ar-SA"/>
                    </w:rPr>
                  </w:pPr>
                  <w:r>
                    <w:rPr>
                      <w:rFonts w:hint="eastAsia" w:ascii="Times New Roman" w:hAnsi="Times New Roman" w:cs="Times New Roman"/>
                      <w:b/>
                      <w:bCs/>
                      <w:color w:val="auto"/>
                      <w:kern w:val="2"/>
                      <w:sz w:val="21"/>
                      <w:szCs w:val="21"/>
                      <w:u w:val="single"/>
                      <w:lang w:val="en-US" w:eastAsia="zh-CN" w:bidi="ar-SA"/>
                    </w:rPr>
                    <w:t>一般</w:t>
                  </w:r>
                </w:p>
                <w:p w14:paraId="71166D3C">
                  <w:pPr>
                    <w:spacing w:line="240" w:lineRule="auto"/>
                    <w:jc w:val="center"/>
                    <w:rPr>
                      <w:rFonts w:hint="default" w:ascii="Times New Roman" w:hAnsi="Times New Roman" w:eastAsia="宋体" w:cs="Times New Roman"/>
                      <w:b/>
                      <w:bCs/>
                      <w:color w:val="auto"/>
                      <w:kern w:val="2"/>
                      <w:sz w:val="21"/>
                      <w:szCs w:val="21"/>
                      <w:u w:val="single"/>
                      <w:lang w:val="en-US" w:eastAsia="zh-CN" w:bidi="ar-SA"/>
                    </w:rPr>
                  </w:pPr>
                  <w:r>
                    <w:rPr>
                      <w:rFonts w:hint="eastAsia" w:ascii="Times New Roman" w:hAnsi="Times New Roman" w:cs="Times New Roman"/>
                      <w:b/>
                      <w:bCs/>
                      <w:color w:val="auto"/>
                      <w:kern w:val="2"/>
                      <w:sz w:val="21"/>
                      <w:szCs w:val="21"/>
                      <w:u w:val="single"/>
                      <w:lang w:val="en-US" w:eastAsia="zh-CN" w:bidi="ar-SA"/>
                    </w:rPr>
                    <w:t>排放口</w:t>
                  </w:r>
                </w:p>
              </w:tc>
              <w:tc>
                <w:tcPr>
                  <w:tcW w:w="877" w:type="dxa"/>
                  <w:vAlign w:val="center"/>
                </w:tcPr>
                <w:p w14:paraId="2E38BB1A">
                  <w:pPr>
                    <w:pStyle w:val="35"/>
                    <w:spacing w:line="240" w:lineRule="auto"/>
                    <w:ind w:firstLine="0" w:firstLineChars="0"/>
                    <w:jc w:val="center"/>
                    <w:rPr>
                      <w:rFonts w:hint="eastAsia" w:ascii="Times New Roman" w:hAnsi="Times New Roman" w:eastAsia="宋体" w:cs="Times New Roman"/>
                      <w:b/>
                      <w:bCs/>
                      <w:color w:val="auto"/>
                      <w:kern w:val="24"/>
                      <w:sz w:val="21"/>
                      <w:szCs w:val="21"/>
                      <w:u w:val="single"/>
                      <w:lang w:val="en-US" w:eastAsia="zh-CN" w:bidi="ar-SA"/>
                    </w:rPr>
                  </w:pPr>
                  <w:r>
                    <w:rPr>
                      <w:rFonts w:hint="eastAsia" w:ascii="Times New Roman" w:hAnsi="Times New Roman" w:eastAsia="宋体" w:cs="Times New Roman"/>
                      <w:b/>
                      <w:bCs/>
                      <w:color w:val="auto"/>
                      <w:sz w:val="21"/>
                      <w:szCs w:val="21"/>
                      <w:u w:val="single"/>
                      <w:lang w:eastAsia="zh-CN"/>
                    </w:rPr>
                    <w:t>颗粒物</w:t>
                  </w:r>
                </w:p>
              </w:tc>
              <w:tc>
                <w:tcPr>
                  <w:tcW w:w="1177" w:type="dxa"/>
                  <w:vAlign w:val="top"/>
                </w:tcPr>
                <w:p w14:paraId="05C2E9B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2.1</w:t>
                  </w:r>
                </w:p>
              </w:tc>
              <w:tc>
                <w:tcPr>
                  <w:tcW w:w="1062" w:type="dxa"/>
                  <w:vAlign w:val="top"/>
                </w:tcPr>
                <w:p w14:paraId="4170D7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0.021</w:t>
                  </w:r>
                </w:p>
              </w:tc>
              <w:tc>
                <w:tcPr>
                  <w:tcW w:w="1096" w:type="dxa"/>
                </w:tcPr>
                <w:p w14:paraId="0D325A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10</w:t>
                  </w:r>
                </w:p>
              </w:tc>
              <w:tc>
                <w:tcPr>
                  <w:tcW w:w="1073" w:type="dxa"/>
                </w:tcPr>
                <w:p w14:paraId="39B713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w:t>
                  </w:r>
                </w:p>
              </w:tc>
              <w:tc>
                <w:tcPr>
                  <w:tcW w:w="645" w:type="dxa"/>
                </w:tcPr>
                <w:p w14:paraId="37D0FA19">
                  <w:pPr>
                    <w:keepNext w:val="0"/>
                    <w:keepLines w:val="0"/>
                    <w:pageBreakBefore w:val="0"/>
                    <w:widowControl w:val="0"/>
                    <w:kinsoku/>
                    <w:wordWrap/>
                    <w:overflowPunct/>
                    <w:topLinePunct w:val="0"/>
                    <w:autoSpaceDE/>
                    <w:autoSpaceDN/>
                    <w:bidi w:val="0"/>
                    <w:adjustRightInd/>
                    <w:snapToGrid/>
                    <w:spacing w:line="360" w:lineRule="exact"/>
                    <w:ind w:firstLine="0" w:firstLineChars="0"/>
                    <w:jc w:val="both"/>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达标</w:t>
                  </w:r>
                </w:p>
              </w:tc>
            </w:tr>
            <w:tr w14:paraId="34F8B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14:paraId="0762139C">
                  <w:pPr>
                    <w:spacing w:line="240" w:lineRule="auto"/>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cs="Times New Roman"/>
                      <w:b/>
                      <w:bCs/>
                      <w:color w:val="auto"/>
                      <w:sz w:val="21"/>
                      <w:szCs w:val="21"/>
                      <w:u w:val="single"/>
                      <w:lang w:val="en-US" w:eastAsia="zh-CN"/>
                    </w:rPr>
                    <w:t>DA00</w:t>
                  </w:r>
                  <w:r>
                    <w:rPr>
                      <w:rFonts w:hint="eastAsia" w:cs="Times New Roman"/>
                      <w:b/>
                      <w:bCs/>
                      <w:color w:val="auto"/>
                      <w:sz w:val="21"/>
                      <w:szCs w:val="21"/>
                      <w:u w:val="single"/>
                      <w:lang w:val="en-US" w:eastAsia="zh-CN"/>
                    </w:rPr>
                    <w:t>2</w:t>
                  </w:r>
                </w:p>
              </w:tc>
              <w:tc>
                <w:tcPr>
                  <w:tcW w:w="942" w:type="dxa"/>
                  <w:vMerge w:val="continue"/>
                  <w:vAlign w:val="center"/>
                </w:tcPr>
                <w:p w14:paraId="001F1F95">
                  <w:pPr>
                    <w:spacing w:line="240" w:lineRule="auto"/>
                    <w:jc w:val="center"/>
                    <w:rPr>
                      <w:rFonts w:hint="eastAsia" w:ascii="Times New Roman" w:hAnsi="Times New Roman" w:eastAsia="宋体" w:cs="Times New Roman"/>
                      <w:b/>
                      <w:bCs/>
                      <w:color w:val="auto"/>
                      <w:kern w:val="2"/>
                      <w:sz w:val="21"/>
                      <w:szCs w:val="21"/>
                      <w:u w:val="single"/>
                      <w:lang w:val="en-US" w:eastAsia="zh-CN" w:bidi="ar-SA"/>
                    </w:rPr>
                  </w:pPr>
                </w:p>
              </w:tc>
              <w:tc>
                <w:tcPr>
                  <w:tcW w:w="877" w:type="dxa"/>
                  <w:vAlign w:val="center"/>
                </w:tcPr>
                <w:p w14:paraId="0DBF0DF7">
                  <w:pPr>
                    <w:pStyle w:val="35"/>
                    <w:spacing w:line="240" w:lineRule="auto"/>
                    <w:ind w:firstLine="0" w:firstLineChars="0"/>
                    <w:jc w:val="center"/>
                    <w:rPr>
                      <w:rFonts w:hint="eastAsia" w:ascii="Times New Roman" w:hAnsi="Times New Roman" w:eastAsia="宋体" w:cs="Times New Roman"/>
                      <w:b/>
                      <w:bCs/>
                      <w:color w:val="auto"/>
                      <w:kern w:val="24"/>
                      <w:sz w:val="21"/>
                      <w:szCs w:val="21"/>
                      <w:u w:val="single"/>
                      <w:lang w:val="en-US" w:eastAsia="zh-CN" w:bidi="ar-SA"/>
                    </w:rPr>
                  </w:pPr>
                  <w:r>
                    <w:rPr>
                      <w:rFonts w:hint="eastAsia" w:ascii="Times New Roman" w:hAnsi="Times New Roman" w:eastAsia="宋体" w:cs="Times New Roman"/>
                      <w:b/>
                      <w:bCs/>
                      <w:color w:val="auto"/>
                      <w:sz w:val="21"/>
                      <w:szCs w:val="21"/>
                      <w:u w:val="single"/>
                      <w:lang w:eastAsia="zh-CN"/>
                    </w:rPr>
                    <w:t>颗粒物</w:t>
                  </w:r>
                </w:p>
              </w:tc>
              <w:tc>
                <w:tcPr>
                  <w:tcW w:w="1177" w:type="dxa"/>
                  <w:vAlign w:val="top"/>
                </w:tcPr>
                <w:p w14:paraId="45F6A9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2.1</w:t>
                  </w:r>
                </w:p>
              </w:tc>
              <w:tc>
                <w:tcPr>
                  <w:tcW w:w="1062" w:type="dxa"/>
                  <w:vAlign w:val="top"/>
                </w:tcPr>
                <w:p w14:paraId="53EFBC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0.021</w:t>
                  </w:r>
                </w:p>
              </w:tc>
              <w:tc>
                <w:tcPr>
                  <w:tcW w:w="1096" w:type="dxa"/>
                  <w:vAlign w:val="top"/>
                </w:tcPr>
                <w:p w14:paraId="371619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10</w:t>
                  </w:r>
                </w:p>
              </w:tc>
              <w:tc>
                <w:tcPr>
                  <w:tcW w:w="1073" w:type="dxa"/>
                  <w:vAlign w:val="top"/>
                </w:tcPr>
                <w:p w14:paraId="433B16B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w:t>
                  </w:r>
                </w:p>
              </w:tc>
              <w:tc>
                <w:tcPr>
                  <w:tcW w:w="645" w:type="dxa"/>
                  <w:vAlign w:val="top"/>
                </w:tcPr>
                <w:p w14:paraId="6BAB1DE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达标</w:t>
                  </w:r>
                </w:p>
              </w:tc>
            </w:tr>
            <w:tr w14:paraId="7F51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14:paraId="34B2A97C">
                  <w:pPr>
                    <w:spacing w:line="240" w:lineRule="auto"/>
                    <w:jc w:val="center"/>
                    <w:rPr>
                      <w:rFonts w:hint="eastAsia" w:ascii="Times New Roman" w:hAnsi="Times New Roman" w:eastAsia="宋体" w:cs="Times New Roman"/>
                      <w:b/>
                      <w:bCs/>
                      <w:i w:val="0"/>
                      <w:iCs w:val="0"/>
                      <w:color w:val="auto"/>
                      <w:kern w:val="2"/>
                      <w:sz w:val="21"/>
                      <w:szCs w:val="21"/>
                      <w:u w:val="single"/>
                      <w:vertAlign w:val="baseline"/>
                      <w:lang w:val="en-US" w:eastAsia="zh-CN" w:bidi="ar-SA"/>
                    </w:rPr>
                  </w:pPr>
                  <w:r>
                    <w:rPr>
                      <w:rFonts w:hint="eastAsia" w:ascii="Times New Roman" w:hAnsi="Times New Roman" w:cs="Times New Roman"/>
                      <w:b/>
                      <w:bCs/>
                      <w:color w:val="auto"/>
                      <w:sz w:val="21"/>
                      <w:szCs w:val="21"/>
                      <w:u w:val="single"/>
                      <w:lang w:val="en-US" w:eastAsia="zh-CN"/>
                    </w:rPr>
                    <w:t>DA00</w:t>
                  </w:r>
                  <w:r>
                    <w:rPr>
                      <w:rFonts w:hint="eastAsia" w:cs="Times New Roman"/>
                      <w:b/>
                      <w:bCs/>
                      <w:color w:val="auto"/>
                      <w:sz w:val="21"/>
                      <w:szCs w:val="21"/>
                      <w:u w:val="single"/>
                      <w:lang w:val="en-US" w:eastAsia="zh-CN"/>
                    </w:rPr>
                    <w:t>3</w:t>
                  </w:r>
                </w:p>
              </w:tc>
              <w:tc>
                <w:tcPr>
                  <w:tcW w:w="942" w:type="dxa"/>
                  <w:vMerge w:val="continue"/>
                  <w:vAlign w:val="center"/>
                </w:tcPr>
                <w:p w14:paraId="5196B259">
                  <w:pPr>
                    <w:spacing w:line="240" w:lineRule="auto"/>
                    <w:jc w:val="center"/>
                    <w:rPr>
                      <w:rFonts w:hint="eastAsia" w:ascii="Times New Roman" w:hAnsi="Times New Roman" w:eastAsia="宋体" w:cs="Times New Roman"/>
                      <w:b/>
                      <w:bCs/>
                      <w:i w:val="0"/>
                      <w:iCs w:val="0"/>
                      <w:color w:val="auto"/>
                      <w:kern w:val="2"/>
                      <w:sz w:val="21"/>
                      <w:szCs w:val="21"/>
                      <w:u w:val="single"/>
                      <w:vertAlign w:val="baseline"/>
                      <w:lang w:val="en-US" w:eastAsia="zh-CN" w:bidi="ar-SA"/>
                    </w:rPr>
                  </w:pPr>
                </w:p>
              </w:tc>
              <w:tc>
                <w:tcPr>
                  <w:tcW w:w="877" w:type="dxa"/>
                  <w:vAlign w:val="center"/>
                </w:tcPr>
                <w:p w14:paraId="5AC04B31">
                  <w:pPr>
                    <w:pStyle w:val="35"/>
                    <w:spacing w:line="240" w:lineRule="auto"/>
                    <w:ind w:firstLine="0" w:firstLineChars="0"/>
                    <w:jc w:val="center"/>
                    <w:rPr>
                      <w:rFonts w:hint="eastAsia" w:ascii="Times New Roman" w:hAnsi="Times New Roman" w:eastAsia="宋体" w:cs="Times New Roman"/>
                      <w:b/>
                      <w:bCs/>
                      <w:color w:val="auto"/>
                      <w:kern w:val="24"/>
                      <w:sz w:val="21"/>
                      <w:szCs w:val="21"/>
                      <w:u w:val="single"/>
                      <w:lang w:val="en-US" w:eastAsia="zh-CN" w:bidi="ar-SA"/>
                    </w:rPr>
                  </w:pPr>
                  <w:r>
                    <w:rPr>
                      <w:rFonts w:hint="eastAsia" w:ascii="Times New Roman" w:hAnsi="Times New Roman" w:eastAsia="宋体" w:cs="Times New Roman"/>
                      <w:b/>
                      <w:bCs/>
                      <w:color w:val="auto"/>
                      <w:sz w:val="21"/>
                      <w:szCs w:val="21"/>
                      <w:u w:val="single"/>
                      <w:lang w:eastAsia="zh-CN"/>
                    </w:rPr>
                    <w:t>颗粒物</w:t>
                  </w:r>
                </w:p>
              </w:tc>
              <w:tc>
                <w:tcPr>
                  <w:tcW w:w="1177" w:type="dxa"/>
                  <w:vAlign w:val="top"/>
                </w:tcPr>
                <w:p w14:paraId="3E6C23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2.1</w:t>
                  </w:r>
                </w:p>
              </w:tc>
              <w:tc>
                <w:tcPr>
                  <w:tcW w:w="1062" w:type="dxa"/>
                  <w:vAlign w:val="top"/>
                </w:tcPr>
                <w:p w14:paraId="09ECE7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0.021</w:t>
                  </w:r>
                </w:p>
              </w:tc>
              <w:tc>
                <w:tcPr>
                  <w:tcW w:w="1096" w:type="dxa"/>
                  <w:vAlign w:val="top"/>
                </w:tcPr>
                <w:p w14:paraId="2739CC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10</w:t>
                  </w:r>
                </w:p>
              </w:tc>
              <w:tc>
                <w:tcPr>
                  <w:tcW w:w="1073" w:type="dxa"/>
                  <w:vAlign w:val="top"/>
                </w:tcPr>
                <w:p w14:paraId="0FE6410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w:t>
                  </w:r>
                </w:p>
              </w:tc>
              <w:tc>
                <w:tcPr>
                  <w:tcW w:w="645" w:type="dxa"/>
                  <w:vAlign w:val="top"/>
                </w:tcPr>
                <w:p w14:paraId="75B07A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达标</w:t>
                  </w:r>
                </w:p>
              </w:tc>
            </w:tr>
            <w:tr w14:paraId="7784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8" w:type="dxa"/>
                  <w:vAlign w:val="center"/>
                </w:tcPr>
                <w:p w14:paraId="26D7993D">
                  <w:pPr>
                    <w:spacing w:line="240" w:lineRule="auto"/>
                    <w:jc w:val="center"/>
                    <w:rPr>
                      <w:rFonts w:hint="eastAsia" w:ascii="Times New Roman" w:hAnsi="Times New Roman" w:eastAsia="宋体" w:cs="Times New Roman"/>
                      <w:b/>
                      <w:bCs/>
                      <w:i w:val="0"/>
                      <w:iCs w:val="0"/>
                      <w:color w:val="auto"/>
                      <w:kern w:val="2"/>
                      <w:sz w:val="21"/>
                      <w:szCs w:val="21"/>
                      <w:u w:val="single"/>
                      <w:vertAlign w:val="baseline"/>
                      <w:lang w:val="en-US" w:eastAsia="zh-CN" w:bidi="ar-SA"/>
                    </w:rPr>
                  </w:pPr>
                  <w:r>
                    <w:rPr>
                      <w:rFonts w:hint="eastAsia" w:ascii="Times New Roman" w:hAnsi="Times New Roman" w:cs="Times New Roman"/>
                      <w:b/>
                      <w:bCs/>
                      <w:color w:val="auto"/>
                      <w:sz w:val="21"/>
                      <w:szCs w:val="21"/>
                      <w:u w:val="single"/>
                      <w:lang w:val="en-US" w:eastAsia="zh-CN"/>
                    </w:rPr>
                    <w:t>DA00</w:t>
                  </w:r>
                  <w:r>
                    <w:rPr>
                      <w:rFonts w:hint="eastAsia" w:cs="Times New Roman"/>
                      <w:b/>
                      <w:bCs/>
                      <w:color w:val="auto"/>
                      <w:sz w:val="21"/>
                      <w:szCs w:val="21"/>
                      <w:u w:val="single"/>
                      <w:lang w:val="en-US" w:eastAsia="zh-CN"/>
                    </w:rPr>
                    <w:t>4</w:t>
                  </w:r>
                </w:p>
              </w:tc>
              <w:tc>
                <w:tcPr>
                  <w:tcW w:w="942" w:type="dxa"/>
                  <w:vMerge w:val="continue"/>
                  <w:vAlign w:val="center"/>
                </w:tcPr>
                <w:p w14:paraId="30E3A166">
                  <w:pPr>
                    <w:spacing w:line="240" w:lineRule="auto"/>
                    <w:jc w:val="center"/>
                    <w:rPr>
                      <w:rFonts w:hint="eastAsia" w:ascii="Times New Roman" w:hAnsi="Times New Roman" w:eastAsia="宋体" w:cs="Times New Roman"/>
                      <w:b/>
                      <w:bCs/>
                      <w:i w:val="0"/>
                      <w:iCs w:val="0"/>
                      <w:color w:val="auto"/>
                      <w:kern w:val="2"/>
                      <w:sz w:val="21"/>
                      <w:szCs w:val="21"/>
                      <w:u w:val="single"/>
                      <w:vertAlign w:val="baseline"/>
                      <w:lang w:val="en-US" w:eastAsia="zh-CN" w:bidi="ar-SA"/>
                    </w:rPr>
                  </w:pPr>
                </w:p>
              </w:tc>
              <w:tc>
                <w:tcPr>
                  <w:tcW w:w="877" w:type="dxa"/>
                  <w:vAlign w:val="center"/>
                </w:tcPr>
                <w:p w14:paraId="685D0D3D">
                  <w:pPr>
                    <w:spacing w:line="240" w:lineRule="auto"/>
                    <w:jc w:val="center"/>
                    <w:rPr>
                      <w:rFonts w:hint="eastAsia" w:ascii="Times New Roman" w:hAnsi="Times New Roman" w:eastAsia="宋体" w:cs="Times New Roman"/>
                      <w:b/>
                      <w:bCs/>
                      <w:color w:val="auto"/>
                      <w:kern w:val="2"/>
                      <w:sz w:val="21"/>
                      <w:szCs w:val="21"/>
                      <w:u w:val="single"/>
                      <w:lang w:val="en-US" w:eastAsia="zh-CN" w:bidi="ar-SA"/>
                    </w:rPr>
                  </w:pPr>
                  <w:r>
                    <w:rPr>
                      <w:rFonts w:hint="eastAsia" w:ascii="Times New Roman" w:hAnsi="Times New Roman" w:cs="Times New Roman"/>
                      <w:b/>
                      <w:bCs/>
                      <w:color w:val="auto"/>
                      <w:sz w:val="21"/>
                      <w:szCs w:val="21"/>
                      <w:u w:val="single"/>
                      <w:lang w:eastAsia="zh-CN"/>
                    </w:rPr>
                    <w:t>油烟</w:t>
                  </w:r>
                </w:p>
              </w:tc>
              <w:tc>
                <w:tcPr>
                  <w:tcW w:w="1177" w:type="dxa"/>
                  <w:vAlign w:val="top"/>
                </w:tcPr>
                <w:p w14:paraId="35406E5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0.15</w:t>
                  </w:r>
                </w:p>
              </w:tc>
              <w:tc>
                <w:tcPr>
                  <w:tcW w:w="1062" w:type="dxa"/>
                  <w:vAlign w:val="top"/>
                </w:tcPr>
                <w:p w14:paraId="3A9C763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0.0012</w:t>
                  </w:r>
                </w:p>
              </w:tc>
              <w:tc>
                <w:tcPr>
                  <w:tcW w:w="1096" w:type="dxa"/>
                </w:tcPr>
                <w:p w14:paraId="2C0B8E8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1.5</w:t>
                  </w:r>
                </w:p>
              </w:tc>
              <w:tc>
                <w:tcPr>
                  <w:tcW w:w="1073" w:type="dxa"/>
                </w:tcPr>
                <w:p w14:paraId="719615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w:t>
                  </w:r>
                </w:p>
              </w:tc>
              <w:tc>
                <w:tcPr>
                  <w:tcW w:w="645" w:type="dxa"/>
                </w:tcPr>
                <w:p w14:paraId="6540CB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cs="Times New Roman"/>
                      <w:b/>
                      <w:bCs/>
                      <w:color w:val="000000"/>
                      <w:kern w:val="2"/>
                      <w:sz w:val="21"/>
                      <w:szCs w:val="21"/>
                      <w:u w:val="single"/>
                      <w:lang w:val="en-US" w:eastAsia="zh-CN" w:bidi="ar-SA"/>
                    </w:rPr>
                    <w:t>达标</w:t>
                  </w:r>
                </w:p>
              </w:tc>
            </w:tr>
          </w:tbl>
          <w:p w14:paraId="5F78054D">
            <w:pPr>
              <w:pStyle w:val="28"/>
              <w:spacing w:line="520" w:lineRule="exact"/>
              <w:ind w:firstLine="480" w:firstLineChars="200"/>
              <w:jc w:val="left"/>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根据上表可知，锅炉废气满足河南省地方标准《锅炉大气污染物排放标准》（DB41/2089-2021)相关标准，炒制工序废气满足满足《餐饮业油烟污染物排放标准》(DB41/1604-2018)要求(小型)：最高允许排放浓度1.5mg/m</w:t>
            </w:r>
            <w:r>
              <w:rPr>
                <w:rFonts w:hint="eastAsia" w:ascii="Times New Roman" w:hAnsi="Times New Roman" w:eastAsia="宋体" w:cs="Times New Roman"/>
                <w:color w:val="000000"/>
                <w:kern w:val="2"/>
                <w:sz w:val="24"/>
                <w:szCs w:val="24"/>
                <w:vertAlign w:val="superscript"/>
                <w:lang w:val="en-US" w:eastAsia="zh-CN" w:bidi="ar-SA"/>
              </w:rPr>
              <w:t>3</w:t>
            </w:r>
            <w:r>
              <w:rPr>
                <w:rFonts w:hint="eastAsia" w:ascii="Times New Roman" w:hAnsi="Times New Roman" w:eastAsia="宋体" w:cs="Times New Roman"/>
                <w:color w:val="000000"/>
                <w:kern w:val="2"/>
                <w:sz w:val="24"/>
                <w:szCs w:val="24"/>
                <w:lang w:val="en-US" w:eastAsia="zh-CN" w:bidi="ar-SA"/>
              </w:rPr>
              <w:t>、油烟去除率≥90%。</w:t>
            </w:r>
          </w:p>
          <w:p w14:paraId="49B564E8">
            <w:pPr>
              <w:pStyle w:val="28"/>
              <w:spacing w:line="520" w:lineRule="exact"/>
              <w:ind w:firstLine="480" w:firstLineChars="200"/>
              <w:jc w:val="left"/>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投料工序粉尘采取降低投料高度、密闭空间操作、移动式吸尘器等措施后防止粉尘外排，该部分粉尘在车间内部无组织排放，逸散的粉尘能够满足《大气污染物综合排放标准》(GB16297-1996) 中表2的无组织排放浓度限值标准要求(周边界外浓度最高点，颗粒物≤1.0 mg/m</w:t>
            </w:r>
            <w:r>
              <w:rPr>
                <w:rFonts w:hint="eastAsia" w:ascii="Times New Roman" w:hAnsi="Times New Roman" w:eastAsia="宋体" w:cs="Times New Roman"/>
                <w:color w:val="000000"/>
                <w:kern w:val="2"/>
                <w:sz w:val="24"/>
                <w:szCs w:val="24"/>
                <w:vertAlign w:val="superscript"/>
                <w:lang w:val="en-US" w:eastAsia="zh-CN" w:bidi="ar-SA"/>
              </w:rPr>
              <w:t>3</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w:t>
            </w:r>
            <w:r>
              <w:rPr>
                <w:rFonts w:hint="eastAsia" w:ascii="Times New Roman" w:hAnsi="Times New Roman" w:eastAsia="宋体" w:cs="Times New Roman"/>
                <w:color w:val="000000"/>
                <w:kern w:val="2"/>
                <w:sz w:val="24"/>
                <w:szCs w:val="24"/>
                <w:lang w:val="en-US" w:eastAsia="zh-CN" w:bidi="ar-SA"/>
              </w:rPr>
              <w:t>本项目废气污染物处理后均可达标排放，项目采取的废气处理措施属于可行措施。</w:t>
            </w:r>
          </w:p>
          <w:p w14:paraId="62727EC7">
            <w:pPr>
              <w:pStyle w:val="28"/>
              <w:spacing w:line="520" w:lineRule="exact"/>
              <w:ind w:firstLine="480" w:firstLineChars="200"/>
              <w:jc w:val="left"/>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综上所述，该项目废气不会对周围的环境保护目标造成影响，不会对所在区域为大气环境质量造成影响，因此本项目对大气环境影响较小，环境影响可接受。</w:t>
            </w:r>
          </w:p>
          <w:p w14:paraId="55B578F7">
            <w:pPr>
              <w:pStyle w:val="28"/>
              <w:spacing w:line="520" w:lineRule="exact"/>
              <w:ind w:firstLine="480" w:firstLineChars="200"/>
              <w:jc w:val="left"/>
              <w:rPr>
                <w:rFonts w:hint="eastAsia" w:ascii="Times New Roman" w:hAnsi="Times New Roman" w:eastAsia="宋体" w:cs="Times New Roman"/>
                <w:color w:val="000000"/>
                <w:kern w:val="2"/>
                <w:sz w:val="24"/>
                <w:szCs w:val="24"/>
                <w:lang w:val="en-US" w:eastAsia="zh-CN" w:bidi="ar-SA"/>
              </w:rPr>
            </w:pPr>
          </w:p>
          <w:p w14:paraId="21B79937">
            <w:pPr>
              <w:pStyle w:val="28"/>
              <w:spacing w:line="520" w:lineRule="exact"/>
              <w:ind w:firstLine="482" w:firstLineChars="200"/>
              <w:jc w:val="left"/>
              <w:rPr>
                <w:rFonts w:hint="eastAsia" w:ascii="Times New Roman" w:hAnsi="Times New Roman" w:eastAsia="宋体" w:cs="Times New Roman"/>
                <w:b/>
                <w:bCs/>
                <w:color w:val="000000"/>
                <w:highlight w:val="none"/>
                <w:lang w:val="en-US" w:eastAsia="zh-CN" w:bidi="zh-CN"/>
              </w:rPr>
            </w:pPr>
            <w:r>
              <w:rPr>
                <w:rFonts w:hint="eastAsia" w:ascii="Times New Roman" w:hAnsi="Times New Roman" w:eastAsia="宋体" w:cs="Times New Roman"/>
                <w:b/>
                <w:bCs/>
                <w:color w:val="000000"/>
                <w:highlight w:val="none"/>
                <w:lang w:val="en-US" w:eastAsia="zh-CN" w:bidi="zh-CN"/>
              </w:rPr>
              <w:t>1.</w:t>
            </w:r>
            <w:r>
              <w:rPr>
                <w:rFonts w:hint="eastAsia" w:ascii="Times New Roman" w:hAnsi="Times New Roman" w:cs="Times New Roman"/>
                <w:b/>
                <w:bCs/>
                <w:color w:val="000000"/>
                <w:highlight w:val="none"/>
                <w:lang w:val="en-US" w:eastAsia="zh-CN" w:bidi="zh-CN"/>
              </w:rPr>
              <w:t>4</w:t>
            </w:r>
            <w:r>
              <w:rPr>
                <w:rFonts w:hint="eastAsia" w:ascii="Times New Roman" w:hAnsi="Times New Roman" w:eastAsia="宋体" w:cs="Times New Roman"/>
                <w:b/>
                <w:bCs/>
                <w:color w:val="000000"/>
                <w:highlight w:val="none"/>
                <w:lang w:val="en-US" w:eastAsia="zh-CN" w:bidi="zh-CN"/>
              </w:rPr>
              <w:t>、自行监测要求</w:t>
            </w:r>
          </w:p>
          <w:p w14:paraId="3342BCF6">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根据《固定污染源排污许可分类管理名录（2019 年版）》，本项目属于“三十七、废弃资源综合利用业 42 废电池、废油、废轮胎加工处理”，属于重点管理，制定本项目自行监测计划如下：</w:t>
            </w:r>
          </w:p>
          <w:p w14:paraId="7EABAAF5">
            <w:pPr>
              <w:widowControl/>
              <w:spacing w:line="520" w:lineRule="exact"/>
              <w:jc w:val="center"/>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u w:val="single"/>
                <w:lang w:val="en-US" w:eastAsia="zh-CN" w:bidi="ar-SA"/>
              </w:rPr>
              <w:t>表4-</w:t>
            </w:r>
            <w:r>
              <w:rPr>
                <w:rFonts w:hint="eastAsia" w:cs="Times New Roman"/>
                <w:b/>
                <w:bCs/>
                <w:kern w:val="2"/>
                <w:sz w:val="21"/>
                <w:szCs w:val="21"/>
                <w:u w:val="single"/>
                <w:lang w:val="en-US" w:eastAsia="zh-CN" w:bidi="ar-SA"/>
              </w:rPr>
              <w:t>6</w:t>
            </w:r>
            <w:r>
              <w:rPr>
                <w:rFonts w:hint="eastAsia" w:ascii="Times New Roman" w:hAnsi="Times New Roman" w:eastAsia="宋体" w:cs="Times New Roman"/>
                <w:b/>
                <w:bCs/>
                <w:kern w:val="2"/>
                <w:sz w:val="21"/>
                <w:szCs w:val="21"/>
                <w:u w:val="single"/>
                <w:lang w:val="en-US" w:eastAsia="zh-CN" w:bidi="ar-SA"/>
              </w:rPr>
              <w:t xml:space="preserve"> 自行监测</w:t>
            </w:r>
            <w:r>
              <w:rPr>
                <w:rFonts w:hint="eastAsia" w:cs="Times New Roman"/>
                <w:b/>
                <w:bCs/>
                <w:kern w:val="2"/>
                <w:sz w:val="21"/>
                <w:szCs w:val="21"/>
                <w:u w:val="single"/>
                <w:lang w:val="en-US" w:eastAsia="zh-CN" w:bidi="ar-SA"/>
              </w:rPr>
              <w:t>计划</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96"/>
              <w:gridCol w:w="1212"/>
              <w:gridCol w:w="1212"/>
              <w:gridCol w:w="3080"/>
            </w:tblGrid>
            <w:tr w14:paraId="40DF6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5B6AB5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监测点位</w:t>
                  </w:r>
                </w:p>
              </w:tc>
              <w:tc>
                <w:tcPr>
                  <w:tcW w:w="1096" w:type="dxa"/>
                  <w:vAlign w:val="center"/>
                </w:tcPr>
                <w:p w14:paraId="4D6EBD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监测因子</w:t>
                  </w:r>
                </w:p>
              </w:tc>
              <w:tc>
                <w:tcPr>
                  <w:tcW w:w="1212" w:type="dxa"/>
                  <w:vAlign w:val="center"/>
                </w:tcPr>
                <w:p w14:paraId="6E110D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cs="Times New Roman"/>
                      <w:b/>
                      <w:bCs/>
                      <w:sz w:val="21"/>
                      <w:szCs w:val="21"/>
                      <w:u w:val="single"/>
                      <w:lang w:eastAsia="zh-CN"/>
                    </w:rPr>
                    <w:t>监测方式</w:t>
                  </w:r>
                </w:p>
              </w:tc>
              <w:tc>
                <w:tcPr>
                  <w:tcW w:w="1212" w:type="dxa"/>
                  <w:vAlign w:val="center"/>
                </w:tcPr>
                <w:p w14:paraId="680542B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监测频次</w:t>
                  </w:r>
                </w:p>
              </w:tc>
              <w:tc>
                <w:tcPr>
                  <w:tcW w:w="3080" w:type="dxa"/>
                  <w:vAlign w:val="center"/>
                </w:tcPr>
                <w:p w14:paraId="176D27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执行排放标准</w:t>
                  </w:r>
                </w:p>
              </w:tc>
            </w:tr>
            <w:tr w14:paraId="5544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00F084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DA001</w:t>
                  </w:r>
                </w:p>
              </w:tc>
              <w:tc>
                <w:tcPr>
                  <w:tcW w:w="1096" w:type="dxa"/>
                  <w:vAlign w:val="center"/>
                </w:tcPr>
                <w:p w14:paraId="75A529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212" w:type="dxa"/>
                  <w:vAlign w:val="center"/>
                </w:tcPr>
                <w:p w14:paraId="741704A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cs="Times New Roman"/>
                      <w:b/>
                      <w:bCs/>
                      <w:sz w:val="21"/>
                      <w:szCs w:val="21"/>
                      <w:u w:val="single"/>
                      <w:lang w:eastAsia="zh-CN"/>
                    </w:rPr>
                    <w:t>手工监测</w:t>
                  </w:r>
                </w:p>
              </w:tc>
              <w:tc>
                <w:tcPr>
                  <w:tcW w:w="1212" w:type="dxa"/>
                  <w:vAlign w:val="center"/>
                </w:tcPr>
                <w:p w14:paraId="4E4C1C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1次/半年</w:t>
                  </w:r>
                </w:p>
              </w:tc>
              <w:tc>
                <w:tcPr>
                  <w:tcW w:w="3080" w:type="dxa"/>
                  <w:vAlign w:val="center"/>
                </w:tcPr>
                <w:p w14:paraId="4EF9684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《大气污染物综合排放标准》（GB16297-1996）</w:t>
                  </w:r>
                </w:p>
              </w:tc>
            </w:tr>
            <w:tr w14:paraId="6A609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16E32A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DA002</w:t>
                  </w:r>
                </w:p>
              </w:tc>
              <w:tc>
                <w:tcPr>
                  <w:tcW w:w="1096" w:type="dxa"/>
                  <w:vAlign w:val="center"/>
                </w:tcPr>
                <w:p w14:paraId="552CE8A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212" w:type="dxa"/>
                  <w:vAlign w:val="center"/>
                </w:tcPr>
                <w:p w14:paraId="2117B5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cs="Times New Roman"/>
                      <w:b/>
                      <w:bCs/>
                      <w:sz w:val="21"/>
                      <w:szCs w:val="21"/>
                      <w:u w:val="single"/>
                      <w:lang w:eastAsia="zh-CN"/>
                    </w:rPr>
                    <w:t>手工监测</w:t>
                  </w:r>
                </w:p>
              </w:tc>
              <w:tc>
                <w:tcPr>
                  <w:tcW w:w="1212" w:type="dxa"/>
                  <w:vAlign w:val="center"/>
                </w:tcPr>
                <w:p w14:paraId="5EF9BE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1次/半年</w:t>
                  </w:r>
                </w:p>
              </w:tc>
              <w:tc>
                <w:tcPr>
                  <w:tcW w:w="3080" w:type="dxa"/>
                  <w:vAlign w:val="center"/>
                </w:tcPr>
                <w:p w14:paraId="7B4F9C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《大气污染物综合排放标准》（GB16297-1996）</w:t>
                  </w:r>
                </w:p>
              </w:tc>
            </w:tr>
            <w:tr w14:paraId="624F7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789E9BE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DA003</w:t>
                  </w:r>
                </w:p>
              </w:tc>
              <w:tc>
                <w:tcPr>
                  <w:tcW w:w="1096" w:type="dxa"/>
                  <w:vAlign w:val="center"/>
                </w:tcPr>
                <w:p w14:paraId="1595A2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212" w:type="dxa"/>
                  <w:vAlign w:val="center"/>
                </w:tcPr>
                <w:p w14:paraId="314A08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cs="Times New Roman"/>
                      <w:b/>
                      <w:bCs/>
                      <w:sz w:val="21"/>
                      <w:szCs w:val="21"/>
                      <w:u w:val="single"/>
                      <w:lang w:eastAsia="zh-CN"/>
                    </w:rPr>
                    <w:t>手工监测</w:t>
                  </w:r>
                </w:p>
              </w:tc>
              <w:tc>
                <w:tcPr>
                  <w:tcW w:w="1212" w:type="dxa"/>
                  <w:vAlign w:val="center"/>
                </w:tcPr>
                <w:p w14:paraId="367A9B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1次/半年</w:t>
                  </w:r>
                </w:p>
              </w:tc>
              <w:tc>
                <w:tcPr>
                  <w:tcW w:w="3080" w:type="dxa"/>
                  <w:vAlign w:val="center"/>
                </w:tcPr>
                <w:p w14:paraId="38EB52D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《大气污染物综合排放标准》（GB16297-1996）</w:t>
                  </w:r>
                </w:p>
              </w:tc>
            </w:tr>
            <w:tr w14:paraId="1347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33B3DC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w:t>
                  </w:r>
                  <w:r>
                    <w:rPr>
                      <w:rFonts w:hint="eastAsia" w:cs="Times New Roman"/>
                      <w:b/>
                      <w:bCs/>
                      <w:color w:val="000000"/>
                      <w:kern w:val="2"/>
                      <w:sz w:val="21"/>
                      <w:szCs w:val="21"/>
                      <w:u w:val="single"/>
                      <w:lang w:val="en-US" w:eastAsia="zh-CN" w:bidi="ar-SA"/>
                    </w:rPr>
                    <w:t>4</w:t>
                  </w:r>
                </w:p>
              </w:tc>
              <w:tc>
                <w:tcPr>
                  <w:tcW w:w="1096" w:type="dxa"/>
                  <w:vAlign w:val="center"/>
                </w:tcPr>
                <w:p w14:paraId="7645811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油烟</w:t>
                  </w:r>
                </w:p>
              </w:tc>
              <w:tc>
                <w:tcPr>
                  <w:tcW w:w="1212" w:type="dxa"/>
                  <w:vAlign w:val="center"/>
                </w:tcPr>
                <w:p w14:paraId="20EFEF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cs="Times New Roman"/>
                      <w:b/>
                      <w:bCs/>
                      <w:color w:val="000000"/>
                      <w:kern w:val="2"/>
                      <w:sz w:val="21"/>
                      <w:szCs w:val="21"/>
                      <w:u w:val="single"/>
                      <w:lang w:val="en-US" w:eastAsia="zh-CN" w:bidi="ar-SA"/>
                    </w:rPr>
                  </w:pPr>
                  <w:r>
                    <w:rPr>
                      <w:rFonts w:hint="default" w:ascii="Times New Roman" w:hAnsi="Times New Roman" w:cs="Times New Roman"/>
                      <w:b/>
                      <w:bCs/>
                      <w:sz w:val="21"/>
                      <w:szCs w:val="21"/>
                      <w:u w:val="single"/>
                      <w:lang w:eastAsia="zh-CN"/>
                    </w:rPr>
                    <w:t>手工监测</w:t>
                  </w:r>
                </w:p>
              </w:tc>
              <w:tc>
                <w:tcPr>
                  <w:tcW w:w="1212" w:type="dxa"/>
                  <w:vAlign w:val="center"/>
                </w:tcPr>
                <w:p w14:paraId="783BB6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1次/半年</w:t>
                  </w:r>
                </w:p>
              </w:tc>
              <w:tc>
                <w:tcPr>
                  <w:tcW w:w="3080" w:type="dxa"/>
                  <w:vAlign w:val="center"/>
                </w:tcPr>
                <w:p w14:paraId="10BE3C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《餐饮业油烟污染物排放标准》(DB41/1604-2018)</w:t>
                  </w:r>
                </w:p>
              </w:tc>
            </w:tr>
            <w:tr w14:paraId="07FE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5" w:type="dxa"/>
                  <w:vAlign w:val="center"/>
                </w:tcPr>
                <w:p w14:paraId="022F18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无组织</w:t>
                  </w:r>
                </w:p>
              </w:tc>
              <w:tc>
                <w:tcPr>
                  <w:tcW w:w="1096" w:type="dxa"/>
                  <w:vAlign w:val="center"/>
                </w:tcPr>
                <w:p w14:paraId="4F80B7A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212" w:type="dxa"/>
                  <w:vAlign w:val="center"/>
                </w:tcPr>
                <w:p w14:paraId="3CF7CC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default" w:ascii="Times New Roman" w:hAnsi="Times New Roman" w:cs="Times New Roman"/>
                      <w:b/>
                      <w:bCs/>
                      <w:sz w:val="21"/>
                      <w:szCs w:val="21"/>
                      <w:u w:val="single"/>
                      <w:lang w:eastAsia="zh-CN"/>
                    </w:rPr>
                    <w:t>手工监测</w:t>
                  </w:r>
                </w:p>
              </w:tc>
              <w:tc>
                <w:tcPr>
                  <w:tcW w:w="1212" w:type="dxa"/>
                  <w:vAlign w:val="center"/>
                </w:tcPr>
                <w:p w14:paraId="0B838B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1次/半年</w:t>
                  </w:r>
                </w:p>
              </w:tc>
              <w:tc>
                <w:tcPr>
                  <w:tcW w:w="3080" w:type="dxa"/>
                  <w:vAlign w:val="center"/>
                </w:tcPr>
                <w:p w14:paraId="63AC9EB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《大气污染物综合排放标准》（GB16297-1996）</w:t>
                  </w:r>
                </w:p>
              </w:tc>
            </w:tr>
          </w:tbl>
          <w:p w14:paraId="1E515559">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1.</w:t>
            </w:r>
            <w:r>
              <w:rPr>
                <w:rFonts w:hint="eastAsia" w:ascii="Times New Roman" w:hAnsi="Times New Roman" w:cs="Times New Roman"/>
                <w:b/>
                <w:bCs/>
                <w:color w:val="000000"/>
                <w:lang w:val="en-US" w:eastAsia="zh-CN" w:bidi="zh-CN"/>
              </w:rPr>
              <w:t>5</w:t>
            </w:r>
            <w:r>
              <w:rPr>
                <w:rFonts w:hint="eastAsia" w:ascii="Times New Roman" w:hAnsi="Times New Roman" w:eastAsia="宋体" w:cs="Times New Roman"/>
                <w:b/>
                <w:bCs/>
                <w:color w:val="000000"/>
                <w:lang w:val="en-US" w:eastAsia="zh-CN" w:bidi="zh-CN"/>
              </w:rPr>
              <w:t>、非正常工况污染物排放情况</w:t>
            </w:r>
          </w:p>
          <w:p w14:paraId="0E353147">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根据《建设项目环境影响报告表编制技术指南》（污染影响类）（试行），非正常排放包括点火开炉、设备检修、污染物排放控制措施达不到应有效率、工艺设备运转异常等。</w:t>
            </w:r>
          </w:p>
          <w:p w14:paraId="044C35D9">
            <w:pPr>
              <w:spacing w:line="520" w:lineRule="exact"/>
              <w:ind w:firstLine="480" w:firstLineChars="200"/>
              <w:rPr>
                <w:rFonts w:hint="default" w:ascii="Times New Roman" w:hAnsi="Times New Roman" w:eastAsia="宋体" w:cs="Times New Roman"/>
                <w:color w:val="000000"/>
                <w:lang w:val="en-US" w:eastAsia="zh-CN"/>
              </w:rPr>
            </w:pPr>
            <w:r>
              <w:rPr>
                <w:rFonts w:hint="default" w:ascii="Times New Roman" w:hAnsi="Times New Roman" w:eastAsia="宋体" w:cs="Times New Roman"/>
                <w:color w:val="000000"/>
                <w:lang w:val="en-US" w:eastAsia="zh-CN"/>
              </w:rPr>
              <w:t>本项目非正常工况主要为废气处理装置失效。在此情景下，本项目废气污染物产生情况及排放情况，具体见下表</w:t>
            </w:r>
            <w:r>
              <w:rPr>
                <w:rFonts w:hint="eastAsia" w:ascii="Times New Roman" w:hAnsi="Times New Roman" w:eastAsia="宋体" w:cs="Times New Roman"/>
                <w:color w:val="000000"/>
                <w:lang w:val="en-US" w:eastAsia="zh-CN"/>
              </w:rPr>
              <w:t>4-</w:t>
            </w:r>
            <w:r>
              <w:rPr>
                <w:rFonts w:hint="eastAsia" w:cs="Times New Roman"/>
                <w:color w:val="000000"/>
                <w:lang w:val="en-US" w:eastAsia="zh-CN"/>
              </w:rPr>
              <w:t>7</w:t>
            </w:r>
            <w:r>
              <w:rPr>
                <w:rFonts w:hint="default" w:ascii="Times New Roman" w:hAnsi="Times New Roman" w:eastAsia="宋体" w:cs="Times New Roman"/>
                <w:color w:val="000000"/>
                <w:lang w:val="en-US" w:eastAsia="zh-CN"/>
              </w:rPr>
              <w:t>。</w:t>
            </w:r>
          </w:p>
          <w:p w14:paraId="5A0A0410">
            <w:pPr>
              <w:pStyle w:val="4"/>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u w:val="single"/>
                <w:lang w:val="en-US" w:eastAsia="zh-CN" w:bidi="ar-SA"/>
              </w:rPr>
              <w:t>表4-</w:t>
            </w:r>
            <w:r>
              <w:rPr>
                <w:rFonts w:hint="eastAsia" w:eastAsia="宋体" w:cs="Times New Roman"/>
                <w:b/>
                <w:bCs/>
                <w:kern w:val="2"/>
                <w:sz w:val="21"/>
                <w:szCs w:val="21"/>
                <w:u w:val="single"/>
                <w:lang w:val="en-US" w:eastAsia="zh-CN" w:bidi="ar-SA"/>
              </w:rPr>
              <w:t>7</w:t>
            </w:r>
            <w:r>
              <w:rPr>
                <w:rFonts w:hint="eastAsia" w:ascii="Times New Roman" w:hAnsi="Times New Roman" w:eastAsia="宋体" w:cs="Times New Roman"/>
                <w:b/>
                <w:bCs/>
                <w:kern w:val="2"/>
                <w:sz w:val="21"/>
                <w:szCs w:val="21"/>
                <w:u w:val="single"/>
                <w:lang w:val="en-US" w:eastAsia="zh-CN" w:bidi="ar-SA"/>
              </w:rPr>
              <w:t xml:space="preserve"> 非正常工况下排污情况</w:t>
            </w:r>
          </w:p>
          <w:tbl>
            <w:tblPr>
              <w:tblStyle w:val="17"/>
              <w:tblW w:w="75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
              <w:gridCol w:w="950"/>
              <w:gridCol w:w="1450"/>
              <w:gridCol w:w="1250"/>
              <w:gridCol w:w="1088"/>
              <w:gridCol w:w="1025"/>
              <w:gridCol w:w="887"/>
            </w:tblGrid>
            <w:tr w14:paraId="266D5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892" w:type="dxa"/>
                  <w:vAlign w:val="center"/>
                </w:tcPr>
                <w:p w14:paraId="22E1BB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污染源</w:t>
                  </w:r>
                </w:p>
              </w:tc>
              <w:tc>
                <w:tcPr>
                  <w:tcW w:w="950" w:type="dxa"/>
                  <w:vAlign w:val="center"/>
                </w:tcPr>
                <w:p w14:paraId="6D99DE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污染物</w:t>
                  </w:r>
                </w:p>
              </w:tc>
              <w:tc>
                <w:tcPr>
                  <w:tcW w:w="1450" w:type="dxa"/>
                  <w:vAlign w:val="center"/>
                </w:tcPr>
                <w:p w14:paraId="7123E6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非正常排放原因</w:t>
                  </w:r>
                </w:p>
              </w:tc>
              <w:tc>
                <w:tcPr>
                  <w:tcW w:w="1250" w:type="dxa"/>
                  <w:vAlign w:val="center"/>
                </w:tcPr>
                <w:p w14:paraId="6E9A741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非正常排放浓度mg/</w:t>
                  </w:r>
                  <w:r>
                    <w:rPr>
                      <w:rFonts w:hint="eastAsia" w:ascii="Times New Roman" w:hAnsi="Times New Roman" w:eastAsia="宋体"/>
                      <w:b/>
                      <w:bCs/>
                      <w:color w:val="000000"/>
                      <w:u w:val="single"/>
                      <w:lang w:val="en-US" w:eastAsia="zh-CN"/>
                    </w:rPr>
                    <w:t>m³</w:t>
                  </w:r>
                </w:p>
              </w:tc>
              <w:tc>
                <w:tcPr>
                  <w:tcW w:w="1088" w:type="dxa"/>
                  <w:vAlign w:val="center"/>
                </w:tcPr>
                <w:p w14:paraId="434BC9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非正常排放速率kg/h</w:t>
                  </w:r>
                </w:p>
              </w:tc>
              <w:tc>
                <w:tcPr>
                  <w:tcW w:w="1025" w:type="dxa"/>
                  <w:vAlign w:val="center"/>
                </w:tcPr>
                <w:p w14:paraId="5A838D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持续时间</w:t>
                  </w:r>
                </w:p>
              </w:tc>
              <w:tc>
                <w:tcPr>
                  <w:tcW w:w="887" w:type="dxa"/>
                  <w:vAlign w:val="center"/>
                </w:tcPr>
                <w:p w14:paraId="130CC6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产生</w:t>
                  </w:r>
                </w:p>
                <w:p w14:paraId="5D8DB9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频次</w:t>
                  </w:r>
                </w:p>
              </w:tc>
            </w:tr>
            <w:tr w14:paraId="7253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Align w:val="center"/>
                </w:tcPr>
                <w:p w14:paraId="290273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DA001</w:t>
                  </w:r>
                </w:p>
              </w:tc>
              <w:tc>
                <w:tcPr>
                  <w:tcW w:w="950" w:type="dxa"/>
                  <w:vAlign w:val="center"/>
                </w:tcPr>
                <w:p w14:paraId="7112092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450" w:type="dxa"/>
                  <w:vAlign w:val="center"/>
                </w:tcPr>
                <w:p w14:paraId="497D8B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集气罩+袋式除尘器+二级活性炭吸附装置故障</w:t>
                  </w:r>
                </w:p>
              </w:tc>
              <w:tc>
                <w:tcPr>
                  <w:tcW w:w="1250" w:type="dxa"/>
                  <w:vAlign w:val="center"/>
                </w:tcPr>
                <w:p w14:paraId="34E9CB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1088" w:type="dxa"/>
                  <w:vAlign w:val="center"/>
                </w:tcPr>
                <w:p w14:paraId="7C3A64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1025" w:type="dxa"/>
                  <w:vAlign w:val="center"/>
                </w:tcPr>
                <w:p w14:paraId="70E660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＜1h</w:t>
                  </w:r>
                </w:p>
              </w:tc>
              <w:tc>
                <w:tcPr>
                  <w:tcW w:w="887" w:type="dxa"/>
                  <w:vAlign w:val="center"/>
                </w:tcPr>
                <w:p w14:paraId="25E9A7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1次/年</w:t>
                  </w:r>
                </w:p>
              </w:tc>
            </w:tr>
            <w:tr w14:paraId="33EE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Align w:val="center"/>
                </w:tcPr>
                <w:p w14:paraId="21AA38C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DA002</w:t>
                  </w:r>
                </w:p>
              </w:tc>
              <w:tc>
                <w:tcPr>
                  <w:tcW w:w="950" w:type="dxa"/>
                  <w:vAlign w:val="center"/>
                </w:tcPr>
                <w:p w14:paraId="7C8F7B4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450" w:type="dxa"/>
                  <w:vAlign w:val="center"/>
                </w:tcPr>
                <w:p w14:paraId="78DB405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集气罩+袋式除尘器+二级活性炭吸附装置故障</w:t>
                  </w:r>
                </w:p>
              </w:tc>
              <w:tc>
                <w:tcPr>
                  <w:tcW w:w="1250" w:type="dxa"/>
                  <w:vAlign w:val="center"/>
                </w:tcPr>
                <w:p w14:paraId="4C0171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1088" w:type="dxa"/>
                  <w:vAlign w:val="center"/>
                </w:tcPr>
                <w:p w14:paraId="612677C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1025" w:type="dxa"/>
                  <w:vAlign w:val="center"/>
                </w:tcPr>
                <w:p w14:paraId="6C0C94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＜1h</w:t>
                  </w:r>
                </w:p>
              </w:tc>
              <w:tc>
                <w:tcPr>
                  <w:tcW w:w="887" w:type="dxa"/>
                  <w:vAlign w:val="center"/>
                </w:tcPr>
                <w:p w14:paraId="11ED27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1次/年</w:t>
                  </w:r>
                </w:p>
              </w:tc>
            </w:tr>
            <w:tr w14:paraId="5A9F7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2" w:type="dxa"/>
                  <w:vAlign w:val="center"/>
                </w:tcPr>
                <w:p w14:paraId="4BE612F4">
                  <w:pPr>
                    <w:widowControl/>
                    <w:jc w:val="center"/>
                    <w:rPr>
                      <w:rFonts w:hint="eastAsia" w:ascii="Times New Roman" w:hAnsi="Times New Roman" w:eastAsia="宋体" w:cs="Times New Roman"/>
                      <w:b/>
                      <w:bCs/>
                      <w:color w:val="000000" w:themeColor="text1"/>
                      <w:kern w:val="0"/>
                      <w:sz w:val="21"/>
                      <w:szCs w:val="21"/>
                      <w:highlight w:val="none"/>
                      <w:u w:val="single"/>
                      <w:lang w:val="en-US" w:eastAsia="zh-CN" w:bidi="ar"/>
                      <w14:textFill>
                        <w14:solidFill>
                          <w14:schemeClr w14:val="tx1"/>
                        </w14:solidFill>
                      </w14:textFill>
                    </w:rPr>
                  </w:pPr>
                  <w:r>
                    <w:rPr>
                      <w:rFonts w:hint="eastAsia" w:ascii="Times New Roman" w:hAnsi="Times New Roman" w:eastAsia="宋体" w:cs="Times New Roman"/>
                      <w:b/>
                      <w:bCs/>
                      <w:color w:val="000000"/>
                      <w:kern w:val="2"/>
                      <w:sz w:val="21"/>
                      <w:szCs w:val="21"/>
                      <w:u w:val="single"/>
                      <w:lang w:val="en-US" w:eastAsia="zh-CN" w:bidi="ar-SA"/>
                    </w:rPr>
                    <w:t>DA003</w:t>
                  </w:r>
                </w:p>
              </w:tc>
              <w:tc>
                <w:tcPr>
                  <w:tcW w:w="950" w:type="dxa"/>
                  <w:vAlign w:val="center"/>
                </w:tcPr>
                <w:p w14:paraId="38AC5A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颗粒物</w:t>
                  </w:r>
                </w:p>
              </w:tc>
              <w:tc>
                <w:tcPr>
                  <w:tcW w:w="1450" w:type="dxa"/>
                  <w:vAlign w:val="center"/>
                </w:tcPr>
                <w:p w14:paraId="6502DBC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集气罩+袋式除尘器+二级活性炭吸附装置故障</w:t>
                  </w:r>
                </w:p>
              </w:tc>
              <w:tc>
                <w:tcPr>
                  <w:tcW w:w="1250" w:type="dxa"/>
                  <w:vAlign w:val="center"/>
                </w:tcPr>
                <w:p w14:paraId="729CC0C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1088" w:type="dxa"/>
                  <w:vAlign w:val="center"/>
                </w:tcPr>
                <w:p w14:paraId="07CB76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1.072</w:t>
                  </w:r>
                </w:p>
              </w:tc>
              <w:tc>
                <w:tcPr>
                  <w:tcW w:w="1025" w:type="dxa"/>
                  <w:vAlign w:val="center"/>
                </w:tcPr>
                <w:p w14:paraId="04D017E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＜1h</w:t>
                  </w:r>
                </w:p>
              </w:tc>
              <w:tc>
                <w:tcPr>
                  <w:tcW w:w="887" w:type="dxa"/>
                  <w:vAlign w:val="center"/>
                </w:tcPr>
                <w:p w14:paraId="0A8DF3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1次/年</w:t>
                  </w:r>
                </w:p>
              </w:tc>
            </w:tr>
          </w:tbl>
          <w:p w14:paraId="1AAA50BF">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由上表可见，非正常工况下颗粒物不可达标排放。建设单位应加强对风机的日常维护、保养，出现故障立即更换，确保废气得到有效收集，同时也减少废气聚集带来的安全隐患；废气处理设计过程中注重加强气流的组织和引导，确保废气被有效收集，减少短流、绕流及死角现象出现；加强构筑物检修日常维护和检修，出现破损、螺栓、密封条等损坏，立即解决，减少有组织排放，发现故障或效率降低立即停产检修，直至排除故障；建立环保设施运行台账。</w:t>
            </w:r>
          </w:p>
          <w:p w14:paraId="32399DF8">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1.</w:t>
            </w:r>
            <w:r>
              <w:rPr>
                <w:rFonts w:hint="eastAsia" w:ascii="Times New Roman" w:hAnsi="Times New Roman" w:cs="Times New Roman"/>
                <w:b/>
                <w:bCs/>
                <w:color w:val="000000"/>
                <w:lang w:val="en-US" w:eastAsia="zh-CN" w:bidi="zh-CN"/>
              </w:rPr>
              <w:t>6</w:t>
            </w:r>
            <w:r>
              <w:rPr>
                <w:rFonts w:hint="eastAsia" w:ascii="Times New Roman" w:hAnsi="Times New Roman" w:eastAsia="宋体" w:cs="Times New Roman"/>
                <w:b/>
                <w:bCs/>
                <w:color w:val="000000"/>
                <w:lang w:val="en-US" w:eastAsia="zh-CN" w:bidi="zh-CN"/>
              </w:rPr>
              <w:t>、环境保护措施可行性分析</w:t>
            </w:r>
          </w:p>
          <w:p w14:paraId="5CD26FEB">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项目生产过程中使用废旧轮胎整胎均为外购成品，经皮带传送机从废胎堆场进入粉碎机，后经过碎胶机、除铁、筛选等得到胶粉，最后成品包装，整个过程在全封闭环境中进行，产生</w:t>
            </w:r>
            <w:r>
              <w:rPr>
                <w:rFonts w:hint="eastAsia" w:ascii="Times New Roman" w:hAnsi="Times New Roman" w:eastAsia="宋体" w:cs="Times New Roman"/>
                <w:color w:val="000000"/>
                <w:highlight w:val="none"/>
                <w:lang w:val="en-US" w:eastAsia="zh-CN"/>
              </w:rPr>
              <w:t>的粉尘由设备顶端的引风机吸入袋式除尘器，经过滤棉过滤后仅有少量气</w:t>
            </w:r>
            <w:r>
              <w:rPr>
                <w:rFonts w:hint="eastAsia" w:ascii="Times New Roman" w:hAnsi="Times New Roman" w:eastAsia="宋体" w:cs="Times New Roman"/>
                <w:color w:val="000000"/>
                <w:lang w:val="en-US" w:eastAsia="zh-CN"/>
              </w:rPr>
              <w:t>体通过15m高排气筒排放，其余粉尘均被收集至收尘仓进行回收利用。布袋除尘器末端加装二级活性炭吸附装置，以减少异味对周边环境的影响，活性炭具有较大的比表面积和孔隙度，因此能够有效地吸附废气中的有机物质和臭味物质。</w:t>
            </w:r>
          </w:p>
          <w:p w14:paraId="2ECA1554">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本项目所在区域颗粒物满足大气环境质量要求，且项目周边500m内无环境保护目标。项目所涉及污染物为成品包装时产生的颗粒物，项目产生的有组织颗粒物均能达到</w:t>
            </w:r>
            <w:r>
              <w:rPr>
                <w:rFonts w:hint="default" w:ascii="Times New Roman" w:hAnsi="Times New Roman" w:eastAsia="宋体" w:cs="Times New Roman"/>
                <w:color w:val="000000"/>
                <w:lang w:val="en-US" w:eastAsia="zh-CN"/>
              </w:rPr>
              <w:t>《大气污染物综合排放标准》（GB16297-1996）表2二级标准</w:t>
            </w:r>
            <w:r>
              <w:rPr>
                <w:rFonts w:hint="eastAsia" w:ascii="Times New Roman" w:hAnsi="Times New Roman" w:eastAsia="宋体" w:cs="Times New Roman"/>
                <w:color w:val="000000"/>
                <w:lang w:val="en-US" w:eastAsia="zh-CN"/>
              </w:rPr>
              <w:t>及</w:t>
            </w:r>
            <w:r>
              <w:rPr>
                <w:rFonts w:hint="default" w:ascii="Times New Roman" w:hAnsi="Times New Roman" w:eastAsia="宋体" w:cs="Times New Roman"/>
                <w:color w:val="000000"/>
                <w:lang w:val="en-US" w:eastAsia="zh-CN"/>
              </w:rPr>
              <w:t>《濮阳市2021年重污染天气通用行业应急减排措施制定技术指南（试行）》通用行业绩效分级B级要求中全厂有组织PM排放浓度限值≤10mg/</w:t>
            </w:r>
            <w:r>
              <w:rPr>
                <w:rFonts w:hint="eastAsia" w:ascii="Times New Roman" w:hAnsi="Times New Roman" w:eastAsia="宋体" w:cs="Times New Roman"/>
                <w:color w:val="000000"/>
                <w:lang w:val="en-US" w:eastAsia="zh-CN"/>
              </w:rPr>
              <w:t>m</w:t>
            </w:r>
            <w:r>
              <w:rPr>
                <w:rFonts w:hint="default" w:ascii="Times New Roman" w:hAnsi="Times New Roman" w:eastAsia="宋体" w:cs="Times New Roman"/>
                <w:color w:val="000000"/>
                <w:vertAlign w:val="superscript"/>
                <w:lang w:val="en-US" w:eastAsia="zh-CN"/>
              </w:rPr>
              <w:t>3</w:t>
            </w:r>
            <w:r>
              <w:rPr>
                <w:rFonts w:hint="default" w:ascii="Times New Roman" w:hAnsi="Times New Roman" w:eastAsia="宋体" w:cs="Times New Roman"/>
                <w:color w:val="000000"/>
                <w:lang w:val="en-US" w:eastAsia="zh-CN"/>
              </w:rPr>
              <w:t>的要求</w:t>
            </w:r>
            <w:r>
              <w:rPr>
                <w:rFonts w:hint="eastAsia" w:ascii="Times New Roman" w:hAnsi="Times New Roman" w:eastAsia="宋体" w:cs="Times New Roman"/>
                <w:color w:val="000000"/>
                <w:lang w:val="en-US" w:eastAsia="zh-CN"/>
              </w:rPr>
              <w:t>，不会对所在区域大气环境质量造成影响，因此本项目对大气环境影响较小。</w:t>
            </w:r>
          </w:p>
          <w:p w14:paraId="45A3C952"/>
          <w:p w14:paraId="0F1E811F">
            <w:pPr>
              <w:adjustRightInd w:val="0"/>
              <w:spacing w:line="360" w:lineRule="auto"/>
              <w:rPr>
                <w:rFonts w:hint="default" w:ascii="Times New Roman" w:hAnsi="Times New Roman" w:eastAsia="宋体" w:cs="Times New Roman"/>
                <w:b/>
                <w:bCs/>
                <w:color w:val="000000"/>
                <w:kern w:val="2"/>
                <w:sz w:val="24"/>
                <w:szCs w:val="24"/>
                <w:lang w:val="en-US" w:eastAsia="zh-CN" w:bidi="zh-CN"/>
              </w:rPr>
            </w:pPr>
            <w:r>
              <w:rPr>
                <w:rFonts w:hint="eastAsia" w:ascii="Times New Roman" w:hAnsi="Times New Roman" w:eastAsia="宋体" w:cs="Times New Roman"/>
                <w:b/>
                <w:bCs/>
                <w:color w:val="000000"/>
                <w:kern w:val="2"/>
                <w:sz w:val="24"/>
                <w:szCs w:val="24"/>
                <w:lang w:val="en-US" w:eastAsia="zh-CN" w:bidi="zh-CN"/>
              </w:rPr>
              <w:t>2、</w:t>
            </w:r>
            <w:r>
              <w:rPr>
                <w:rFonts w:hint="default" w:ascii="Times New Roman" w:hAnsi="Times New Roman" w:eastAsia="宋体" w:cs="Times New Roman"/>
                <w:b/>
                <w:bCs/>
                <w:color w:val="000000"/>
                <w:kern w:val="2"/>
                <w:sz w:val="24"/>
                <w:szCs w:val="24"/>
                <w:lang w:val="en-US" w:eastAsia="zh-CN" w:bidi="zh-CN"/>
              </w:rPr>
              <w:t>水环境影响</w:t>
            </w:r>
            <w:r>
              <w:rPr>
                <w:rFonts w:hint="eastAsia" w:ascii="Times New Roman" w:hAnsi="Times New Roman" w:eastAsia="宋体" w:cs="Times New Roman"/>
                <w:b/>
                <w:bCs/>
                <w:color w:val="000000"/>
                <w:kern w:val="2"/>
                <w:sz w:val="24"/>
                <w:szCs w:val="24"/>
                <w:lang w:val="en-US" w:eastAsia="zh-CN" w:bidi="zh-CN"/>
              </w:rPr>
              <w:t>及保护措施</w:t>
            </w:r>
          </w:p>
          <w:p w14:paraId="0D30456E">
            <w:pPr>
              <w:spacing w:line="520" w:lineRule="exact"/>
              <w:ind w:firstLine="482" w:firstLineChars="200"/>
              <w:rPr>
                <w:rFonts w:hint="eastAsia" w:ascii="Times New Roman" w:hAnsi="Times New Roman" w:eastAsia="宋体" w:cs="Times New Roman"/>
                <w:b/>
                <w:bCs/>
                <w:color w:val="000000"/>
                <w:kern w:val="2"/>
                <w:sz w:val="24"/>
                <w:szCs w:val="24"/>
                <w:u w:val="single"/>
                <w:lang w:val="en-US" w:eastAsia="zh-CN" w:bidi="zh-CN"/>
              </w:rPr>
            </w:pPr>
            <w:r>
              <w:rPr>
                <w:rFonts w:hint="eastAsia" w:ascii="Times New Roman" w:hAnsi="Times New Roman" w:eastAsia="宋体" w:cs="Times New Roman"/>
                <w:b/>
                <w:bCs/>
                <w:color w:val="000000"/>
                <w:kern w:val="2"/>
                <w:sz w:val="24"/>
                <w:szCs w:val="24"/>
                <w:u w:val="single"/>
                <w:lang w:val="en-US" w:eastAsia="zh-CN" w:bidi="zh-CN"/>
              </w:rPr>
              <w:t>2.1 废水产排分析</w:t>
            </w:r>
          </w:p>
          <w:p w14:paraId="6A0E9682">
            <w:pPr>
              <w:autoSpaceDE w:val="0"/>
              <w:autoSpaceDN w:val="0"/>
              <w:adjustRightInd w:val="0"/>
              <w:spacing w:line="480" w:lineRule="exact"/>
              <w:ind w:firstLine="480" w:firstLineChars="200"/>
              <w:rPr>
                <w:rFonts w:hint="eastAsia"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lang w:val="en-US" w:eastAsia="zh-CN"/>
              </w:rPr>
              <w:t>本项目用水主要是员工生活用水。本项目劳动定员为200人，均不在厂区食宿，员工用水量按40</w:t>
            </w:r>
            <w:r>
              <w:rPr>
                <w:rFonts w:hint="eastAsia" w:cs="Times New Roman"/>
                <w:color w:val="000000"/>
                <w:lang w:val="en-US" w:eastAsia="zh-CN"/>
              </w:rPr>
              <w:t xml:space="preserve"> </w:t>
            </w:r>
            <w:r>
              <w:rPr>
                <w:rFonts w:hint="eastAsia" w:ascii="Times New Roman" w:hAnsi="Times New Roman" w:eastAsia="宋体" w:cs="Times New Roman"/>
                <w:color w:val="000000"/>
                <w:lang w:val="en-US" w:eastAsia="zh-CN"/>
              </w:rPr>
              <w:t>L/人·d计，则用水量为8.0m³/d，即2400m³/a。废水产生总量按照用水量的80%计算，则废水产生量为6.4m³/d，即1920m³/a。经类比</w:t>
            </w:r>
            <w:r>
              <w:rPr>
                <w:rFonts w:hint="eastAsia" w:ascii="Times New Roman" w:hAnsi="Times New Roman" w:eastAsia="宋体" w:cs="Times New Roman"/>
                <w:color w:val="000000"/>
                <w:highlight w:val="none"/>
                <w:lang w:val="en-US" w:eastAsia="zh-CN"/>
              </w:rPr>
              <w:t>，废水污染物浓度为COD：300mg/L；BOD</w:t>
            </w:r>
            <w:r>
              <w:rPr>
                <w:rFonts w:hint="eastAsia" w:ascii="Times New Roman" w:hAnsi="Times New Roman" w:eastAsia="宋体" w:cs="Times New Roman"/>
                <w:color w:val="000000"/>
                <w:sz w:val="21"/>
                <w:highlight w:val="none"/>
                <w:vertAlign w:val="subscript"/>
                <w:lang w:val="en-US" w:eastAsia="zh-CN"/>
              </w:rPr>
              <w:t xml:space="preserve">5 </w:t>
            </w:r>
            <w:r>
              <w:rPr>
                <w:rFonts w:hint="eastAsia" w:ascii="Times New Roman" w:hAnsi="Times New Roman" w:eastAsia="宋体" w:cs="Times New Roman"/>
                <w:color w:val="000000"/>
                <w:highlight w:val="none"/>
                <w:lang w:val="en-US" w:eastAsia="zh-CN"/>
              </w:rPr>
              <w:t>：150mg/L；SS：200mg/L；NH</w:t>
            </w:r>
            <w:r>
              <w:rPr>
                <w:rFonts w:hint="eastAsia" w:ascii="Times New Roman" w:hAnsi="Times New Roman" w:eastAsia="宋体" w:cs="Times New Roman"/>
                <w:color w:val="000000"/>
                <w:sz w:val="21"/>
                <w:highlight w:val="none"/>
                <w:vertAlign w:val="subscript"/>
                <w:lang w:val="en-US" w:eastAsia="zh-CN"/>
              </w:rPr>
              <w:t>3</w:t>
            </w:r>
            <w:r>
              <w:rPr>
                <w:rFonts w:hint="eastAsia" w:ascii="Times New Roman" w:hAnsi="Times New Roman" w:eastAsia="宋体" w:cs="Times New Roman"/>
                <w:color w:val="000000"/>
                <w:highlight w:val="none"/>
                <w:lang w:val="en-US" w:eastAsia="zh-CN"/>
              </w:rPr>
              <w:t>-N：25mg/L。项目废水经隔油池+化粪池沉淀处理后排入南乐县产业集聚区污水厂处理厂进行深度处理。</w:t>
            </w:r>
          </w:p>
          <w:p w14:paraId="4E5DEA74">
            <w:pPr>
              <w:pStyle w:val="4"/>
              <w:rPr>
                <w:rFonts w:hint="eastAsia" w:ascii="Times New Roman" w:hAnsi="Times New Roman" w:eastAsia="宋体" w:cs="Times New Roman"/>
                <w:b/>
                <w:bCs/>
                <w:kern w:val="2"/>
                <w:sz w:val="21"/>
                <w:szCs w:val="21"/>
                <w:highlight w:val="yellow"/>
                <w:lang w:val="en-US" w:eastAsia="zh-CN" w:bidi="ar-SA"/>
              </w:rPr>
            </w:pPr>
            <w:r>
              <w:rPr>
                <w:rFonts w:hint="eastAsia" w:ascii="Times New Roman" w:hAnsi="Times New Roman" w:eastAsia="宋体" w:cs="Times New Roman"/>
                <w:b/>
                <w:bCs/>
                <w:kern w:val="2"/>
                <w:sz w:val="21"/>
                <w:szCs w:val="21"/>
                <w:highlight w:val="none"/>
                <w:lang w:val="en-US" w:eastAsia="zh-CN" w:bidi="ar-SA"/>
              </w:rPr>
              <w:t>表4-</w:t>
            </w:r>
            <w:r>
              <w:rPr>
                <w:rFonts w:hint="eastAsia" w:eastAsia="宋体" w:cs="Times New Roman"/>
                <w:b/>
                <w:bCs/>
                <w:kern w:val="2"/>
                <w:sz w:val="21"/>
                <w:szCs w:val="21"/>
                <w:highlight w:val="none"/>
                <w:lang w:val="en-US" w:eastAsia="zh-CN" w:bidi="ar-SA"/>
              </w:rPr>
              <w:t>8</w:t>
            </w:r>
            <w:r>
              <w:rPr>
                <w:rFonts w:hint="eastAsia" w:ascii="Times New Roman" w:hAnsi="Times New Roman" w:eastAsia="宋体" w:cs="Times New Roman"/>
                <w:b/>
                <w:bCs/>
                <w:kern w:val="2"/>
                <w:sz w:val="21"/>
                <w:szCs w:val="21"/>
                <w:highlight w:val="none"/>
                <w:lang w:val="en-US" w:eastAsia="zh-CN" w:bidi="ar-SA"/>
              </w:rPr>
              <w:t xml:space="preserve"> 本项目自行监测计划一览表</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884"/>
              <w:gridCol w:w="852"/>
              <w:gridCol w:w="848"/>
              <w:gridCol w:w="876"/>
              <w:gridCol w:w="849"/>
              <w:gridCol w:w="876"/>
              <w:gridCol w:w="850"/>
              <w:gridCol w:w="877"/>
            </w:tblGrid>
            <w:tr w14:paraId="6E350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gridSpan w:val="2"/>
                  <w:vMerge w:val="restart"/>
                  <w:vAlign w:val="center"/>
                </w:tcPr>
                <w:p w14:paraId="6D7E2B97">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污染物名称</w:t>
                  </w:r>
                </w:p>
              </w:tc>
              <w:tc>
                <w:tcPr>
                  <w:tcW w:w="852" w:type="dxa"/>
                  <w:vMerge w:val="restart"/>
                  <w:vAlign w:val="center"/>
                </w:tcPr>
                <w:p w14:paraId="72FCFD80">
                  <w:pPr>
                    <w:keepNext w:val="0"/>
                    <w:keepLines w:val="0"/>
                    <w:widowControl/>
                    <w:suppressLineNumbers w:val="0"/>
                    <w:jc w:val="center"/>
                    <w:rPr>
                      <w:rFonts w:hint="eastAsia" w:ascii="宋体" w:hAnsi="宋体" w:eastAsia="宋体" w:cs="宋体"/>
                      <w:b w:val="0"/>
                      <w:bCs w:val="0"/>
                      <w:color w:val="000000"/>
                      <w:kern w:val="0"/>
                      <w:sz w:val="21"/>
                      <w:szCs w:val="21"/>
                      <w:lang w:val="en-US" w:eastAsia="zh-CN" w:bidi="ar"/>
                    </w:rPr>
                  </w:pPr>
                  <w:r>
                    <w:rPr>
                      <w:rFonts w:hint="eastAsia" w:ascii="宋体" w:hAnsi="宋体" w:eastAsia="宋体" w:cs="宋体"/>
                      <w:b w:val="0"/>
                      <w:bCs w:val="0"/>
                      <w:color w:val="000000"/>
                      <w:kern w:val="0"/>
                      <w:sz w:val="21"/>
                      <w:szCs w:val="21"/>
                      <w:lang w:val="en-US" w:eastAsia="zh-CN" w:bidi="ar"/>
                    </w:rPr>
                    <w:t>废水排放量</w:t>
                  </w:r>
                </w:p>
                <w:p w14:paraId="0AD8CEAC">
                  <w:pPr>
                    <w:keepNext w:val="0"/>
                    <w:keepLines w:val="0"/>
                    <w:widowControl/>
                    <w:suppressLineNumbers w:val="0"/>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kern w:val="0"/>
                      <w:sz w:val="21"/>
                      <w:szCs w:val="21"/>
                      <w:lang w:val="en-US" w:eastAsia="zh-CN" w:bidi="ar"/>
                    </w:rPr>
                    <w:t>（t/a）</w:t>
                  </w:r>
                </w:p>
              </w:tc>
              <w:tc>
                <w:tcPr>
                  <w:tcW w:w="1724" w:type="dxa"/>
                  <w:gridSpan w:val="2"/>
                  <w:vAlign w:val="center"/>
                </w:tcPr>
                <w:p w14:paraId="0FDAD8DD">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生产</w:t>
                  </w:r>
                </w:p>
              </w:tc>
              <w:tc>
                <w:tcPr>
                  <w:tcW w:w="1725" w:type="dxa"/>
                  <w:gridSpan w:val="2"/>
                  <w:vAlign w:val="center"/>
                </w:tcPr>
                <w:p w14:paraId="6F400FDD">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化粪池处理后</w:t>
                  </w:r>
                </w:p>
              </w:tc>
              <w:tc>
                <w:tcPr>
                  <w:tcW w:w="1727" w:type="dxa"/>
                  <w:gridSpan w:val="2"/>
                  <w:vAlign w:val="center"/>
                </w:tcPr>
                <w:p w14:paraId="2800095F">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污水厂处理后</w:t>
                  </w:r>
                </w:p>
              </w:tc>
            </w:tr>
            <w:tr w14:paraId="246A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2" w:type="dxa"/>
                  <w:gridSpan w:val="2"/>
                  <w:vMerge w:val="continue"/>
                  <w:vAlign w:val="center"/>
                </w:tcPr>
                <w:p w14:paraId="6094EF71">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p>
              </w:tc>
              <w:tc>
                <w:tcPr>
                  <w:tcW w:w="852" w:type="dxa"/>
                  <w:vMerge w:val="continue"/>
                  <w:vAlign w:val="center"/>
                </w:tcPr>
                <w:p w14:paraId="64293E0B">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p>
              </w:tc>
              <w:tc>
                <w:tcPr>
                  <w:tcW w:w="848" w:type="dxa"/>
                  <w:vAlign w:val="center"/>
                </w:tcPr>
                <w:p w14:paraId="5FE23572">
                  <w:pPr>
                    <w:keepNext w:val="0"/>
                    <w:keepLines w:val="0"/>
                    <w:widowControl/>
                    <w:suppressLineNumbers w:val="0"/>
                    <w:jc w:val="center"/>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浓度</w:t>
                  </w:r>
                </w:p>
                <w:p w14:paraId="2C0BEAF5">
                  <w:pPr>
                    <w:keepNext w:val="0"/>
                    <w:keepLines w:val="0"/>
                    <w:widowControl/>
                    <w:suppressLineNumbers w:val="0"/>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kern w:val="0"/>
                      <w:sz w:val="21"/>
                      <w:szCs w:val="21"/>
                      <w:lang w:val="en-US" w:eastAsia="zh-CN" w:bidi="ar"/>
                    </w:rPr>
                    <w:t>(mg/L)</w:t>
                  </w:r>
                </w:p>
              </w:tc>
              <w:tc>
                <w:tcPr>
                  <w:tcW w:w="876" w:type="dxa"/>
                  <w:vAlign w:val="center"/>
                </w:tcPr>
                <w:p w14:paraId="5897481B">
                  <w:pPr>
                    <w:keepNext w:val="0"/>
                    <w:keepLines w:val="0"/>
                    <w:widowControl/>
                    <w:suppressLineNumbers w:val="0"/>
                    <w:jc w:val="center"/>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产生量</w:t>
                  </w:r>
                </w:p>
                <w:p w14:paraId="7AF25142">
                  <w:pPr>
                    <w:keepNext w:val="0"/>
                    <w:keepLines w:val="0"/>
                    <w:widowControl/>
                    <w:suppressLineNumbers w:val="0"/>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kern w:val="0"/>
                      <w:sz w:val="21"/>
                      <w:szCs w:val="21"/>
                      <w:lang w:val="en-US" w:eastAsia="zh-CN" w:bidi="ar"/>
                    </w:rPr>
                    <w:t>(t/a)</w:t>
                  </w:r>
                </w:p>
              </w:tc>
              <w:tc>
                <w:tcPr>
                  <w:tcW w:w="849" w:type="dxa"/>
                  <w:vAlign w:val="center"/>
                </w:tcPr>
                <w:p w14:paraId="449A1001">
                  <w:pPr>
                    <w:keepNext w:val="0"/>
                    <w:keepLines w:val="0"/>
                    <w:widowControl/>
                    <w:suppressLineNumbers w:val="0"/>
                    <w:jc w:val="center"/>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浓度</w:t>
                  </w:r>
                </w:p>
                <w:p w14:paraId="77FFA766">
                  <w:pPr>
                    <w:keepNext w:val="0"/>
                    <w:keepLines w:val="0"/>
                    <w:widowControl/>
                    <w:suppressLineNumbers w:val="0"/>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kern w:val="0"/>
                      <w:sz w:val="21"/>
                      <w:szCs w:val="21"/>
                      <w:lang w:val="en-US" w:eastAsia="zh-CN" w:bidi="ar"/>
                    </w:rPr>
                    <w:t>(mg/L)</w:t>
                  </w:r>
                </w:p>
              </w:tc>
              <w:tc>
                <w:tcPr>
                  <w:tcW w:w="876" w:type="dxa"/>
                  <w:vAlign w:val="center"/>
                </w:tcPr>
                <w:p w14:paraId="3E20885A">
                  <w:pPr>
                    <w:keepNext w:val="0"/>
                    <w:keepLines w:val="0"/>
                    <w:widowControl/>
                    <w:suppressLineNumbers w:val="0"/>
                    <w:jc w:val="center"/>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排放量</w:t>
                  </w:r>
                </w:p>
                <w:p w14:paraId="79B5AA86">
                  <w:pPr>
                    <w:keepNext w:val="0"/>
                    <w:keepLines w:val="0"/>
                    <w:widowControl/>
                    <w:suppressLineNumbers w:val="0"/>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kern w:val="0"/>
                      <w:sz w:val="21"/>
                      <w:szCs w:val="21"/>
                      <w:lang w:val="en-US" w:eastAsia="zh-CN" w:bidi="ar"/>
                    </w:rPr>
                    <w:t>(t/a)</w:t>
                  </w:r>
                </w:p>
              </w:tc>
              <w:tc>
                <w:tcPr>
                  <w:tcW w:w="850" w:type="dxa"/>
                  <w:vAlign w:val="center"/>
                </w:tcPr>
                <w:p w14:paraId="03FA1195">
                  <w:pPr>
                    <w:keepNext w:val="0"/>
                    <w:keepLines w:val="0"/>
                    <w:widowControl/>
                    <w:suppressLineNumbers w:val="0"/>
                    <w:jc w:val="center"/>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浓度</w:t>
                  </w:r>
                </w:p>
                <w:p w14:paraId="0C733C97">
                  <w:pPr>
                    <w:keepNext w:val="0"/>
                    <w:keepLines w:val="0"/>
                    <w:widowControl/>
                    <w:suppressLineNumbers w:val="0"/>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kern w:val="0"/>
                      <w:sz w:val="21"/>
                      <w:szCs w:val="21"/>
                      <w:lang w:val="en-US" w:eastAsia="zh-CN" w:bidi="ar"/>
                    </w:rPr>
                    <w:t>(mg/L)</w:t>
                  </w:r>
                </w:p>
              </w:tc>
              <w:tc>
                <w:tcPr>
                  <w:tcW w:w="877" w:type="dxa"/>
                  <w:vAlign w:val="center"/>
                </w:tcPr>
                <w:p w14:paraId="28008105">
                  <w:pPr>
                    <w:keepNext w:val="0"/>
                    <w:keepLines w:val="0"/>
                    <w:widowControl/>
                    <w:suppressLineNumbers w:val="0"/>
                    <w:jc w:val="center"/>
                    <w:rPr>
                      <w:rFonts w:hint="eastAsia" w:ascii="宋体" w:hAnsi="宋体" w:eastAsia="宋体" w:cs="宋体"/>
                      <w:b w:val="0"/>
                      <w:bCs w:val="0"/>
                      <w:sz w:val="21"/>
                      <w:szCs w:val="21"/>
                    </w:rPr>
                  </w:pPr>
                  <w:r>
                    <w:rPr>
                      <w:rFonts w:hint="eastAsia" w:ascii="宋体" w:hAnsi="宋体" w:eastAsia="宋体" w:cs="宋体"/>
                      <w:b w:val="0"/>
                      <w:bCs w:val="0"/>
                      <w:color w:val="000000"/>
                      <w:kern w:val="0"/>
                      <w:sz w:val="21"/>
                      <w:szCs w:val="21"/>
                      <w:lang w:val="en-US" w:eastAsia="zh-CN" w:bidi="ar"/>
                    </w:rPr>
                    <w:t>排放量</w:t>
                  </w:r>
                </w:p>
                <w:p w14:paraId="20C1AF72">
                  <w:pPr>
                    <w:keepNext w:val="0"/>
                    <w:keepLines w:val="0"/>
                    <w:widowControl/>
                    <w:suppressLineNumbers w:val="0"/>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kern w:val="0"/>
                      <w:sz w:val="21"/>
                      <w:szCs w:val="21"/>
                      <w:lang w:val="en-US" w:eastAsia="zh-CN" w:bidi="ar"/>
                    </w:rPr>
                    <w:t>(t/a)</w:t>
                  </w:r>
                </w:p>
              </w:tc>
            </w:tr>
            <w:tr w14:paraId="24B7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Merge w:val="restart"/>
                  <w:vAlign w:val="center"/>
                </w:tcPr>
                <w:p w14:paraId="44E529CC">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废水</w:t>
                  </w:r>
                </w:p>
              </w:tc>
              <w:tc>
                <w:tcPr>
                  <w:tcW w:w="884" w:type="dxa"/>
                  <w:vAlign w:val="center"/>
                </w:tcPr>
                <w:p w14:paraId="6859393B">
                  <w:pPr>
                    <w:keepNext w:val="0"/>
                    <w:keepLines w:val="0"/>
                    <w:widowControl/>
                    <w:suppressLineNumbers w:val="0"/>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kern w:val="0"/>
                      <w:sz w:val="21"/>
                      <w:szCs w:val="21"/>
                      <w:lang w:val="en-US" w:eastAsia="zh-CN" w:bidi="ar"/>
                    </w:rPr>
                    <w:t>COD</w:t>
                  </w:r>
                </w:p>
              </w:tc>
              <w:tc>
                <w:tcPr>
                  <w:tcW w:w="852" w:type="dxa"/>
                  <w:vMerge w:val="restart"/>
                  <w:vAlign w:val="center"/>
                </w:tcPr>
                <w:p w14:paraId="615F4AB2">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1920</w:t>
                  </w:r>
                </w:p>
              </w:tc>
              <w:tc>
                <w:tcPr>
                  <w:tcW w:w="848" w:type="dxa"/>
                  <w:vAlign w:val="center"/>
                </w:tcPr>
                <w:p w14:paraId="76B34FCB">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300</w:t>
                  </w:r>
                </w:p>
              </w:tc>
              <w:tc>
                <w:tcPr>
                  <w:tcW w:w="876" w:type="dxa"/>
                  <w:vAlign w:val="center"/>
                </w:tcPr>
                <w:p w14:paraId="00426574">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0.5760</w:t>
                  </w:r>
                </w:p>
              </w:tc>
              <w:tc>
                <w:tcPr>
                  <w:tcW w:w="849" w:type="dxa"/>
                  <w:vAlign w:val="center"/>
                </w:tcPr>
                <w:p w14:paraId="42E292FB">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280</w:t>
                  </w:r>
                </w:p>
              </w:tc>
              <w:tc>
                <w:tcPr>
                  <w:tcW w:w="876" w:type="dxa"/>
                  <w:vAlign w:val="center"/>
                </w:tcPr>
                <w:p w14:paraId="01F26CE8">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0.5376</w:t>
                  </w:r>
                </w:p>
              </w:tc>
              <w:tc>
                <w:tcPr>
                  <w:tcW w:w="850" w:type="dxa"/>
                  <w:vAlign w:val="center"/>
                </w:tcPr>
                <w:p w14:paraId="1423BA90">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40</w:t>
                  </w:r>
                </w:p>
              </w:tc>
              <w:tc>
                <w:tcPr>
                  <w:tcW w:w="877" w:type="dxa"/>
                  <w:vAlign w:val="center"/>
                </w:tcPr>
                <w:p w14:paraId="34EF009E">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0.0768</w:t>
                  </w:r>
                </w:p>
              </w:tc>
            </w:tr>
            <w:tr w14:paraId="38C6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8" w:type="dxa"/>
                  <w:vMerge w:val="continue"/>
                  <w:vAlign w:val="center"/>
                </w:tcPr>
                <w:p w14:paraId="6BF7C4C0">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p>
              </w:tc>
              <w:tc>
                <w:tcPr>
                  <w:tcW w:w="884" w:type="dxa"/>
                  <w:vAlign w:val="center"/>
                </w:tcPr>
                <w:p w14:paraId="6A4F456C">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lang w:val="en-US" w:eastAsia="zh-CN"/>
                    </w:rPr>
                    <w:t>NH</w:t>
                  </w:r>
                  <w:r>
                    <w:rPr>
                      <w:rFonts w:hint="eastAsia" w:ascii="宋体" w:hAnsi="宋体" w:eastAsia="宋体" w:cs="宋体"/>
                      <w:b w:val="0"/>
                      <w:bCs w:val="0"/>
                      <w:color w:val="000000"/>
                      <w:sz w:val="21"/>
                      <w:szCs w:val="21"/>
                      <w:vertAlign w:val="subscript"/>
                      <w:lang w:val="en-US" w:eastAsia="zh-CN"/>
                    </w:rPr>
                    <w:t>3</w:t>
                  </w:r>
                  <w:r>
                    <w:rPr>
                      <w:rFonts w:hint="eastAsia" w:ascii="宋体" w:hAnsi="宋体" w:eastAsia="宋体" w:cs="宋体"/>
                      <w:b w:val="0"/>
                      <w:bCs w:val="0"/>
                      <w:color w:val="000000"/>
                      <w:sz w:val="21"/>
                      <w:szCs w:val="21"/>
                      <w:lang w:val="en-US" w:eastAsia="zh-CN"/>
                    </w:rPr>
                    <w:t>-N</w:t>
                  </w:r>
                </w:p>
              </w:tc>
              <w:tc>
                <w:tcPr>
                  <w:tcW w:w="852" w:type="dxa"/>
                  <w:vMerge w:val="continue"/>
                  <w:vAlign w:val="center"/>
                </w:tcPr>
                <w:p w14:paraId="6CAB57F0">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p>
              </w:tc>
              <w:tc>
                <w:tcPr>
                  <w:tcW w:w="848" w:type="dxa"/>
                  <w:vAlign w:val="center"/>
                </w:tcPr>
                <w:p w14:paraId="738537EA">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25</w:t>
                  </w:r>
                </w:p>
              </w:tc>
              <w:tc>
                <w:tcPr>
                  <w:tcW w:w="876" w:type="dxa"/>
                  <w:vAlign w:val="center"/>
                </w:tcPr>
                <w:p w14:paraId="32C4E78E">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0.0480</w:t>
                  </w:r>
                </w:p>
              </w:tc>
              <w:tc>
                <w:tcPr>
                  <w:tcW w:w="849" w:type="dxa"/>
                  <w:vAlign w:val="center"/>
                </w:tcPr>
                <w:p w14:paraId="4C6C80E3">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24</w:t>
                  </w:r>
                </w:p>
              </w:tc>
              <w:tc>
                <w:tcPr>
                  <w:tcW w:w="876" w:type="dxa"/>
                  <w:vAlign w:val="center"/>
                </w:tcPr>
                <w:p w14:paraId="7B30DAE4">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0.0461</w:t>
                  </w:r>
                </w:p>
              </w:tc>
              <w:tc>
                <w:tcPr>
                  <w:tcW w:w="850" w:type="dxa"/>
                  <w:vAlign w:val="center"/>
                </w:tcPr>
                <w:p w14:paraId="0E778A74">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2</w:t>
                  </w:r>
                </w:p>
              </w:tc>
              <w:tc>
                <w:tcPr>
                  <w:tcW w:w="877" w:type="dxa"/>
                  <w:vAlign w:val="center"/>
                </w:tcPr>
                <w:p w14:paraId="25B3EE00">
                  <w:pPr>
                    <w:autoSpaceDE w:val="0"/>
                    <w:autoSpaceDN w:val="0"/>
                    <w:adjustRightInd w:val="0"/>
                    <w:spacing w:line="480" w:lineRule="exact"/>
                    <w:jc w:val="center"/>
                    <w:rPr>
                      <w:rFonts w:hint="eastAsia" w:ascii="宋体" w:hAnsi="宋体" w:eastAsia="宋体" w:cs="宋体"/>
                      <w:b w:val="0"/>
                      <w:bCs w:val="0"/>
                      <w:color w:val="000000"/>
                      <w:sz w:val="21"/>
                      <w:szCs w:val="21"/>
                      <w:vertAlign w:val="baseline"/>
                      <w:lang w:val="en-US" w:eastAsia="zh-CN"/>
                    </w:rPr>
                  </w:pPr>
                  <w:r>
                    <w:rPr>
                      <w:rFonts w:hint="eastAsia" w:ascii="宋体" w:hAnsi="宋体" w:eastAsia="宋体" w:cs="宋体"/>
                      <w:b w:val="0"/>
                      <w:bCs w:val="0"/>
                      <w:color w:val="000000"/>
                      <w:sz w:val="21"/>
                      <w:szCs w:val="21"/>
                      <w:vertAlign w:val="baseline"/>
                      <w:lang w:val="en-US" w:eastAsia="zh-CN"/>
                    </w:rPr>
                    <w:t>0.0038</w:t>
                  </w:r>
                </w:p>
              </w:tc>
            </w:tr>
          </w:tbl>
          <w:p w14:paraId="05669B73">
            <w:pPr>
              <w:spacing w:line="520" w:lineRule="exact"/>
              <w:ind w:firstLine="482" w:firstLineChars="200"/>
              <w:rPr>
                <w:rFonts w:hint="eastAsia" w:ascii="Times New Roman" w:hAnsi="Times New Roman" w:eastAsia="宋体" w:cs="Times New Roman"/>
                <w:b/>
                <w:bCs/>
                <w:color w:val="000000"/>
                <w:kern w:val="2"/>
                <w:sz w:val="24"/>
                <w:szCs w:val="24"/>
                <w:u w:val="single"/>
                <w:lang w:val="en-US" w:eastAsia="zh-CN" w:bidi="zh-CN"/>
              </w:rPr>
            </w:pPr>
            <w:r>
              <w:rPr>
                <w:rFonts w:hint="eastAsia" w:ascii="Times New Roman" w:hAnsi="Times New Roman" w:eastAsia="宋体" w:cs="Times New Roman"/>
                <w:b/>
                <w:bCs/>
                <w:color w:val="000000"/>
                <w:kern w:val="2"/>
                <w:sz w:val="24"/>
                <w:szCs w:val="24"/>
                <w:u w:val="single"/>
                <w:lang w:val="en-US" w:eastAsia="zh-CN" w:bidi="zh-CN"/>
              </w:rPr>
              <w:t>2.2 本项目废水进入</w:t>
            </w:r>
            <w:r>
              <w:rPr>
                <w:rFonts w:hint="eastAsia" w:cs="Times New Roman"/>
                <w:b/>
                <w:bCs/>
                <w:color w:val="000000"/>
                <w:kern w:val="2"/>
                <w:sz w:val="24"/>
                <w:szCs w:val="24"/>
                <w:u w:val="single"/>
                <w:lang w:val="en-US" w:eastAsia="zh-CN" w:bidi="zh-CN"/>
              </w:rPr>
              <w:t>南乐县城污水处理厂</w:t>
            </w:r>
            <w:r>
              <w:rPr>
                <w:rFonts w:hint="eastAsia" w:ascii="Times New Roman" w:hAnsi="Times New Roman" w:eastAsia="宋体" w:cs="Times New Roman"/>
                <w:b/>
                <w:bCs/>
                <w:color w:val="000000"/>
                <w:kern w:val="2"/>
                <w:sz w:val="24"/>
                <w:szCs w:val="24"/>
                <w:u w:val="single"/>
                <w:lang w:val="en-US" w:eastAsia="zh-CN" w:bidi="zh-CN"/>
              </w:rPr>
              <w:t>的可行性分析</w:t>
            </w:r>
          </w:p>
          <w:p w14:paraId="26D059CB">
            <w:pPr>
              <w:autoSpaceDE w:val="0"/>
              <w:autoSpaceDN w:val="0"/>
              <w:adjustRightInd w:val="0"/>
              <w:spacing w:line="480" w:lineRule="exact"/>
              <w:ind w:firstLine="482" w:firstLineChars="200"/>
              <w:rPr>
                <w:rFonts w:hint="eastAsia" w:ascii="Times New Roman" w:hAnsi="Times New Roman" w:eastAsia="宋体" w:cs="Times New Roman"/>
                <w:b/>
                <w:bCs/>
                <w:color w:val="000000"/>
                <w:u w:val="single"/>
                <w:lang w:val="en-US" w:eastAsia="zh-CN"/>
              </w:rPr>
            </w:pPr>
            <w:r>
              <w:rPr>
                <w:rFonts w:hint="eastAsia" w:cs="Times New Roman"/>
                <w:b/>
                <w:bCs/>
                <w:color w:val="000000"/>
                <w:u w:val="single"/>
                <w:lang w:val="en-US" w:eastAsia="zh-CN"/>
              </w:rPr>
              <w:t>南乐县城污水处理厂</w:t>
            </w:r>
            <w:r>
              <w:rPr>
                <w:rFonts w:hint="eastAsia" w:ascii="Times New Roman" w:hAnsi="Times New Roman" w:eastAsia="宋体" w:cs="Times New Roman"/>
                <w:b/>
                <w:bCs/>
                <w:color w:val="000000"/>
                <w:u w:val="single"/>
                <w:lang w:val="en-US" w:eastAsia="zh-CN"/>
              </w:rPr>
              <w:t>位于南乐县发展大道与仓颉东路交叉口南100米，处理规模 5万m</w:t>
            </w:r>
            <w:r>
              <w:rPr>
                <w:rFonts w:hint="eastAsia" w:ascii="Times New Roman" w:hAnsi="Times New Roman" w:eastAsia="宋体" w:cs="Times New Roman"/>
                <w:b/>
                <w:bCs/>
                <w:color w:val="000000"/>
                <w:u w:val="single"/>
                <w:vertAlign w:val="superscript"/>
                <w:lang w:val="en-US" w:eastAsia="zh-CN"/>
              </w:rPr>
              <w:t>3</w:t>
            </w:r>
            <w:r>
              <w:rPr>
                <w:rFonts w:hint="eastAsia" w:ascii="Times New Roman" w:hAnsi="Times New Roman" w:eastAsia="宋体" w:cs="Times New Roman"/>
                <w:b/>
                <w:bCs/>
                <w:color w:val="000000"/>
                <w:u w:val="single"/>
                <w:lang w:val="en-US" w:eastAsia="zh-CN"/>
              </w:rPr>
              <w:t>/d（其中一期2万m</w:t>
            </w:r>
            <w:r>
              <w:rPr>
                <w:rFonts w:hint="eastAsia" w:ascii="Times New Roman" w:hAnsi="Times New Roman" w:eastAsia="宋体" w:cs="Times New Roman"/>
                <w:b/>
                <w:bCs/>
                <w:color w:val="000000"/>
                <w:u w:val="single"/>
                <w:vertAlign w:val="superscript"/>
                <w:lang w:val="en-US" w:eastAsia="zh-CN"/>
              </w:rPr>
              <w:t>3</w:t>
            </w:r>
            <w:r>
              <w:rPr>
                <w:rFonts w:hint="eastAsia" w:ascii="Times New Roman" w:hAnsi="Times New Roman" w:eastAsia="宋体" w:cs="Times New Roman"/>
                <w:b/>
                <w:bCs/>
                <w:color w:val="000000"/>
                <w:u w:val="single"/>
                <w:lang w:val="en-US" w:eastAsia="zh-CN"/>
              </w:rPr>
              <w:t>/d，二期3万m</w:t>
            </w:r>
            <w:r>
              <w:rPr>
                <w:rFonts w:hint="eastAsia" w:ascii="Times New Roman" w:hAnsi="Times New Roman" w:eastAsia="宋体" w:cs="Times New Roman"/>
                <w:b/>
                <w:bCs/>
                <w:color w:val="000000"/>
                <w:u w:val="single"/>
                <w:vertAlign w:val="superscript"/>
                <w:lang w:val="en-US" w:eastAsia="zh-CN"/>
              </w:rPr>
              <w:t>3</w:t>
            </w:r>
            <w:r>
              <w:rPr>
                <w:rFonts w:hint="eastAsia" w:ascii="Times New Roman" w:hAnsi="Times New Roman" w:eastAsia="宋体" w:cs="Times New Roman"/>
                <w:b/>
                <w:bCs/>
                <w:color w:val="000000"/>
                <w:u w:val="single"/>
                <w:lang w:val="en-US" w:eastAsia="zh-CN"/>
              </w:rPr>
              <w:t>/d），采用两段式 A/O+MBR 处理工艺，主要设计进水水质要求为 pH6-9、COD≤400mg/L、BOD</w:t>
            </w:r>
            <w:r>
              <w:rPr>
                <w:rFonts w:hint="eastAsia" w:ascii="Times New Roman" w:hAnsi="Times New Roman" w:eastAsia="宋体" w:cs="Times New Roman"/>
                <w:b/>
                <w:bCs/>
                <w:color w:val="000000"/>
                <w:u w:val="single"/>
                <w:vertAlign w:val="subscript"/>
                <w:lang w:val="en-US" w:eastAsia="zh-CN"/>
              </w:rPr>
              <w:t>5</w:t>
            </w:r>
            <w:r>
              <w:rPr>
                <w:rFonts w:hint="eastAsia" w:ascii="Times New Roman" w:hAnsi="Times New Roman" w:eastAsia="宋体" w:cs="Times New Roman"/>
                <w:b/>
                <w:bCs/>
                <w:color w:val="000000"/>
                <w:u w:val="single"/>
                <w:lang w:val="en-US" w:eastAsia="zh-CN"/>
              </w:rPr>
              <w:t>≤200mg/L、SS≤350mg/L、NH</w:t>
            </w:r>
            <w:r>
              <w:rPr>
                <w:rFonts w:hint="eastAsia" w:ascii="Times New Roman" w:hAnsi="Times New Roman" w:eastAsia="宋体" w:cs="Times New Roman"/>
                <w:b/>
                <w:bCs/>
                <w:color w:val="000000"/>
                <w:u w:val="single"/>
                <w:vertAlign w:val="subscript"/>
                <w:lang w:val="en-US" w:eastAsia="zh-CN"/>
              </w:rPr>
              <w:t>3</w:t>
            </w:r>
            <w:r>
              <w:rPr>
                <w:rFonts w:hint="eastAsia" w:ascii="Times New Roman" w:hAnsi="Times New Roman" w:eastAsia="宋体" w:cs="Times New Roman"/>
                <w:b/>
                <w:bCs/>
                <w:color w:val="000000"/>
                <w:u w:val="single"/>
                <w:lang w:val="en-US" w:eastAsia="zh-CN"/>
              </w:rPr>
              <w:t>-N≤35mg/L、TN≤45mg/L、TP≤5mg/L，排放水质除总氮≤15mg/L 外，其余指标达到国家现行的《地表水环境质量标准》（GB3838-2002）中规定的地表水Ⅳ类标准。污水去向为经永顺沟，排入徒骇河。</w:t>
            </w:r>
          </w:p>
          <w:p w14:paraId="70001E66">
            <w:pPr>
              <w:autoSpaceDE w:val="0"/>
              <w:autoSpaceDN w:val="0"/>
              <w:adjustRightInd w:val="0"/>
              <w:spacing w:line="480" w:lineRule="exact"/>
              <w:ind w:firstLine="482" w:firstLineChars="200"/>
              <w:rPr>
                <w:rFonts w:hint="eastAsia" w:ascii="Times New Roman" w:hAnsi="Times New Roman" w:eastAsia="宋体" w:cs="Times New Roman"/>
                <w:b/>
                <w:bCs/>
                <w:color w:val="000000"/>
                <w:u w:val="single"/>
                <w:lang w:val="en-US" w:eastAsia="zh-CN"/>
              </w:rPr>
            </w:pPr>
            <w:r>
              <w:rPr>
                <w:rFonts w:hint="eastAsia" w:cs="Times New Roman"/>
                <w:b/>
                <w:bCs/>
                <w:color w:val="000000"/>
                <w:u w:val="single"/>
                <w:lang w:val="en-US" w:eastAsia="zh-CN"/>
              </w:rPr>
              <w:t>南乐县城污水处理厂</w:t>
            </w:r>
            <w:r>
              <w:rPr>
                <w:rFonts w:hint="eastAsia" w:ascii="Times New Roman" w:hAnsi="Times New Roman" w:eastAsia="宋体" w:cs="Times New Roman"/>
                <w:b/>
                <w:bCs/>
                <w:color w:val="000000"/>
                <w:u w:val="single"/>
                <w:lang w:val="en-US" w:eastAsia="zh-CN"/>
              </w:rPr>
              <w:t>的服务范围为南乐县产业集聚区，收水范围东至谷金楼乡李家屯，南至安济公路南侧 500m，西至县城规划谷杨路，北至马颊河南岸，现状服务范围约为2.8平方公里。本项目在</w:t>
            </w:r>
            <w:r>
              <w:rPr>
                <w:rFonts w:hint="eastAsia" w:cs="Times New Roman"/>
                <w:b/>
                <w:bCs/>
                <w:color w:val="000000"/>
                <w:u w:val="single"/>
                <w:lang w:val="en-US" w:eastAsia="zh-CN"/>
              </w:rPr>
              <w:t>南乐县城污水处理厂</w:t>
            </w:r>
            <w:r>
              <w:rPr>
                <w:rFonts w:hint="eastAsia" w:ascii="Times New Roman" w:hAnsi="Times New Roman" w:eastAsia="宋体" w:cs="Times New Roman"/>
                <w:b/>
                <w:bCs/>
                <w:color w:val="000000"/>
                <w:u w:val="single"/>
                <w:lang w:val="en-US" w:eastAsia="zh-CN"/>
              </w:rPr>
              <w:t>收水范围内，且所在区域已铺设污水管网可排入</w:t>
            </w:r>
            <w:r>
              <w:rPr>
                <w:rFonts w:hint="eastAsia" w:cs="Times New Roman"/>
                <w:b/>
                <w:bCs/>
                <w:color w:val="000000"/>
                <w:u w:val="single"/>
                <w:lang w:val="en-US" w:eastAsia="zh-CN"/>
              </w:rPr>
              <w:t>南乐县城污水处理厂</w:t>
            </w:r>
            <w:r>
              <w:rPr>
                <w:rFonts w:hint="eastAsia" w:ascii="Times New Roman" w:hAnsi="Times New Roman" w:eastAsia="宋体" w:cs="Times New Roman"/>
                <w:b/>
                <w:bCs/>
                <w:color w:val="000000"/>
                <w:u w:val="single"/>
                <w:lang w:val="en-US" w:eastAsia="zh-CN"/>
              </w:rPr>
              <w:t>，因此废水可排入</w:t>
            </w:r>
            <w:r>
              <w:rPr>
                <w:rFonts w:hint="eastAsia" w:cs="Times New Roman"/>
                <w:b/>
                <w:bCs/>
                <w:color w:val="000000"/>
                <w:u w:val="single"/>
                <w:lang w:val="en-US" w:eastAsia="zh-CN"/>
              </w:rPr>
              <w:t>南乐县城污水处理厂</w:t>
            </w:r>
            <w:r>
              <w:rPr>
                <w:rFonts w:hint="eastAsia" w:ascii="Times New Roman" w:hAnsi="Times New Roman" w:eastAsia="宋体" w:cs="Times New Roman"/>
                <w:b/>
                <w:bCs/>
                <w:color w:val="000000"/>
                <w:u w:val="single"/>
                <w:lang w:val="en-US" w:eastAsia="zh-CN"/>
              </w:rPr>
              <w:t>。</w:t>
            </w:r>
          </w:p>
          <w:p w14:paraId="0E13CFCD">
            <w:pPr>
              <w:autoSpaceDE w:val="0"/>
              <w:autoSpaceDN w:val="0"/>
              <w:adjustRightInd w:val="0"/>
              <w:spacing w:line="480" w:lineRule="exact"/>
              <w:ind w:firstLine="482" w:firstLineChars="200"/>
              <w:rPr>
                <w:rFonts w:hint="eastAsia"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en-US" w:eastAsia="zh-CN"/>
              </w:rPr>
              <w:t>本项目建成后，厂区总排放口排水水质可满足</w:t>
            </w:r>
            <w:r>
              <w:rPr>
                <w:rFonts w:hint="eastAsia" w:cs="Times New Roman"/>
                <w:b/>
                <w:bCs/>
                <w:color w:val="000000"/>
                <w:u w:val="single"/>
                <w:lang w:val="en-US" w:eastAsia="zh-CN"/>
              </w:rPr>
              <w:t>南乐县城污水处理厂</w:t>
            </w:r>
            <w:r>
              <w:rPr>
                <w:rFonts w:hint="eastAsia" w:ascii="Times New Roman" w:hAnsi="Times New Roman" w:eastAsia="宋体" w:cs="Times New Roman"/>
                <w:b/>
                <w:bCs/>
                <w:color w:val="000000"/>
                <w:u w:val="single"/>
                <w:lang w:val="en-US" w:eastAsia="zh-CN"/>
              </w:rPr>
              <w:t>进水水质要求（COD</w:t>
            </w:r>
            <w:r>
              <w:rPr>
                <w:rFonts w:hint="eastAsia" w:ascii="Times New Roman" w:hAnsi="Times New Roman" w:cs="Times New Roman"/>
                <w:b/>
                <w:bCs/>
                <w:color w:val="000000"/>
                <w:u w:val="single"/>
                <w:lang w:val="en-US" w:eastAsia="zh-CN"/>
              </w:rPr>
              <w:t xml:space="preserve"> </w:t>
            </w:r>
            <w:r>
              <w:rPr>
                <w:rFonts w:hint="eastAsia" w:cs="Times New Roman"/>
                <w:b/>
                <w:bCs/>
                <w:color w:val="000000"/>
                <w:u w:val="single"/>
                <w:lang w:val="en-US" w:eastAsia="zh-CN"/>
              </w:rPr>
              <w:t>4</w:t>
            </w:r>
            <w:r>
              <w:rPr>
                <w:rFonts w:hint="eastAsia" w:ascii="Times New Roman" w:hAnsi="Times New Roman" w:eastAsia="宋体" w:cs="Times New Roman"/>
                <w:b/>
                <w:bCs/>
                <w:color w:val="000000"/>
                <w:u w:val="single"/>
                <w:lang w:val="en-US" w:eastAsia="zh-CN"/>
              </w:rPr>
              <w:t>00mg/L、BOD</w:t>
            </w:r>
            <w:r>
              <w:rPr>
                <w:rFonts w:hint="eastAsia" w:ascii="Times New Roman" w:hAnsi="Times New Roman" w:eastAsia="宋体" w:cs="Times New Roman"/>
                <w:b/>
                <w:bCs/>
                <w:color w:val="000000"/>
                <w:u w:val="single"/>
                <w:vertAlign w:val="subscript"/>
                <w:lang w:val="en-US" w:eastAsia="zh-CN"/>
              </w:rPr>
              <w:t>5</w:t>
            </w:r>
            <w:r>
              <w:rPr>
                <w:rFonts w:hint="eastAsia" w:ascii="Times New Roman" w:hAnsi="Times New Roman" w:cs="Times New Roman"/>
                <w:b/>
                <w:bCs/>
                <w:color w:val="000000"/>
                <w:u w:val="single"/>
                <w:vertAlign w:val="subscript"/>
                <w:lang w:val="en-US" w:eastAsia="zh-CN"/>
              </w:rPr>
              <w:t xml:space="preserve"> </w:t>
            </w:r>
            <w:r>
              <w:rPr>
                <w:rFonts w:hint="eastAsia" w:ascii="Times New Roman" w:hAnsi="Times New Roman" w:eastAsia="宋体" w:cs="Times New Roman"/>
                <w:b/>
                <w:bCs/>
                <w:color w:val="000000"/>
                <w:u w:val="single"/>
                <w:lang w:val="en-US" w:eastAsia="zh-CN"/>
              </w:rPr>
              <w:t>2</w:t>
            </w:r>
            <w:r>
              <w:rPr>
                <w:rFonts w:hint="eastAsia" w:cs="Times New Roman"/>
                <w:b/>
                <w:bCs/>
                <w:color w:val="000000"/>
                <w:u w:val="single"/>
                <w:lang w:val="en-US" w:eastAsia="zh-CN"/>
              </w:rPr>
              <w:t>0</w:t>
            </w:r>
            <w:r>
              <w:rPr>
                <w:rFonts w:hint="eastAsia" w:ascii="Times New Roman" w:hAnsi="Times New Roman" w:eastAsia="宋体" w:cs="Times New Roman"/>
                <w:b/>
                <w:bCs/>
                <w:color w:val="000000"/>
                <w:u w:val="single"/>
                <w:lang w:val="en-US" w:eastAsia="zh-CN"/>
              </w:rPr>
              <w:t>0mg/L、SS</w:t>
            </w:r>
            <w:r>
              <w:rPr>
                <w:rFonts w:hint="eastAsia" w:ascii="Times New Roman" w:hAnsi="Times New Roman" w:cs="Times New Roman"/>
                <w:b/>
                <w:bCs/>
                <w:color w:val="000000"/>
                <w:u w:val="single"/>
                <w:lang w:val="en-US" w:eastAsia="zh-CN"/>
              </w:rPr>
              <w:t xml:space="preserve"> </w:t>
            </w:r>
            <w:r>
              <w:rPr>
                <w:rFonts w:hint="eastAsia" w:ascii="Times New Roman" w:hAnsi="Times New Roman" w:eastAsia="宋体" w:cs="Times New Roman"/>
                <w:b/>
                <w:bCs/>
                <w:color w:val="000000"/>
                <w:u w:val="single"/>
                <w:lang w:val="en-US" w:eastAsia="zh-CN"/>
              </w:rPr>
              <w:t>350mg/L、氨氮</w:t>
            </w:r>
            <w:r>
              <w:rPr>
                <w:rFonts w:hint="eastAsia" w:ascii="Times New Roman" w:hAnsi="Times New Roman" w:cs="Times New Roman"/>
                <w:b/>
                <w:bCs/>
                <w:color w:val="000000"/>
                <w:u w:val="single"/>
                <w:lang w:val="en-US" w:eastAsia="zh-CN"/>
              </w:rPr>
              <w:t xml:space="preserve"> </w:t>
            </w:r>
            <w:r>
              <w:rPr>
                <w:rFonts w:hint="eastAsia" w:ascii="Times New Roman" w:hAnsi="Times New Roman" w:eastAsia="宋体" w:cs="Times New Roman"/>
                <w:b/>
                <w:bCs/>
                <w:color w:val="000000"/>
                <w:u w:val="single"/>
                <w:lang w:val="en-US" w:eastAsia="zh-CN"/>
              </w:rPr>
              <w:t>3</w:t>
            </w:r>
            <w:r>
              <w:rPr>
                <w:rFonts w:hint="eastAsia" w:cs="Times New Roman"/>
                <w:b/>
                <w:bCs/>
                <w:color w:val="000000"/>
                <w:u w:val="single"/>
                <w:lang w:val="en-US" w:eastAsia="zh-CN"/>
              </w:rPr>
              <w:t>5</w:t>
            </w:r>
            <w:r>
              <w:rPr>
                <w:rFonts w:hint="eastAsia" w:ascii="Times New Roman" w:hAnsi="Times New Roman" w:eastAsia="宋体" w:cs="Times New Roman"/>
                <w:b/>
                <w:bCs/>
                <w:color w:val="000000"/>
                <w:u w:val="single"/>
                <w:lang w:val="en-US" w:eastAsia="zh-CN"/>
              </w:rPr>
              <w:t>mg/L）以及《污水综合排放标准》（GB8978-1996）表4三级标准要求，本项目废水经厂区污水处理设施处理后排入，</w:t>
            </w:r>
            <w:r>
              <w:rPr>
                <w:rFonts w:hint="eastAsia" w:cs="Times New Roman"/>
                <w:b/>
                <w:bCs/>
                <w:color w:val="000000"/>
                <w:u w:val="single"/>
                <w:lang w:val="en-US" w:eastAsia="zh-CN"/>
              </w:rPr>
              <w:t>南乐县城污水处理厂</w:t>
            </w:r>
            <w:r>
              <w:rPr>
                <w:rFonts w:hint="eastAsia" w:ascii="Times New Roman" w:hAnsi="Times New Roman" w:eastAsia="宋体" w:cs="Times New Roman"/>
                <w:b/>
                <w:bCs/>
                <w:color w:val="000000"/>
                <w:u w:val="single"/>
                <w:lang w:val="en-US" w:eastAsia="zh-CN"/>
              </w:rPr>
              <w:t>，项目废水不会对</w:t>
            </w:r>
            <w:r>
              <w:rPr>
                <w:rFonts w:hint="eastAsia" w:cs="Times New Roman"/>
                <w:b/>
                <w:bCs/>
                <w:color w:val="000000"/>
                <w:u w:val="single"/>
                <w:lang w:val="en-US" w:eastAsia="zh-CN"/>
              </w:rPr>
              <w:t>南乐县城污水处理厂</w:t>
            </w:r>
            <w:r>
              <w:rPr>
                <w:rFonts w:hint="eastAsia" w:ascii="Times New Roman" w:hAnsi="Times New Roman" w:eastAsia="宋体" w:cs="Times New Roman"/>
                <w:b/>
                <w:bCs/>
                <w:color w:val="000000"/>
                <w:u w:val="single"/>
                <w:lang w:val="en-US" w:eastAsia="zh-CN"/>
              </w:rPr>
              <w:t>的正常运营造成不利影响。</w:t>
            </w:r>
          </w:p>
          <w:p w14:paraId="1CF6D7C7">
            <w:pPr>
              <w:autoSpaceDE w:val="0"/>
              <w:autoSpaceDN w:val="0"/>
              <w:adjustRightInd w:val="0"/>
              <w:spacing w:line="480" w:lineRule="exact"/>
              <w:ind w:firstLine="482" w:firstLineChars="200"/>
              <w:rPr>
                <w:rFonts w:hint="eastAsia"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en-US" w:eastAsia="zh-CN"/>
              </w:rPr>
              <w:t>综上分析，本项目废水均得到合理有效处置，处理措施合理可行。</w:t>
            </w:r>
          </w:p>
          <w:p w14:paraId="47F9BF9E">
            <w:pPr>
              <w:adjustRightInd w:val="0"/>
              <w:spacing w:line="360" w:lineRule="auto"/>
              <w:rPr>
                <w:rFonts w:hint="eastAsia" w:ascii="Times New Roman" w:hAnsi="Times New Roman" w:eastAsia="宋体" w:cs="Times New Roman"/>
                <w:b/>
                <w:bCs/>
                <w:color w:val="000000"/>
                <w:kern w:val="2"/>
                <w:sz w:val="24"/>
                <w:szCs w:val="24"/>
                <w:lang w:val="en-US" w:eastAsia="zh-CN" w:bidi="zh-CN"/>
              </w:rPr>
            </w:pPr>
            <w:r>
              <w:rPr>
                <w:rFonts w:hint="eastAsia" w:cs="Times New Roman"/>
                <w:b/>
                <w:bCs/>
                <w:color w:val="000000"/>
                <w:kern w:val="2"/>
                <w:sz w:val="24"/>
                <w:szCs w:val="24"/>
                <w:lang w:val="en-US" w:eastAsia="zh-CN" w:bidi="zh-CN"/>
              </w:rPr>
              <w:t xml:space="preserve">    </w:t>
            </w:r>
            <w:r>
              <w:rPr>
                <w:rFonts w:hint="eastAsia" w:ascii="Times New Roman" w:hAnsi="Times New Roman" w:eastAsia="宋体" w:cs="Times New Roman"/>
                <w:b/>
                <w:bCs/>
                <w:color w:val="000000"/>
                <w:kern w:val="2"/>
                <w:sz w:val="24"/>
                <w:szCs w:val="24"/>
                <w:u w:val="single"/>
                <w:lang w:val="en-US" w:eastAsia="zh-CN" w:bidi="zh-CN"/>
              </w:rPr>
              <w:t>2.3 建设项目污染物排放信息</w:t>
            </w:r>
          </w:p>
          <w:p w14:paraId="75B58C22">
            <w:pPr>
              <w:autoSpaceDE w:val="0"/>
              <w:autoSpaceDN w:val="0"/>
              <w:adjustRightInd w:val="0"/>
              <w:spacing w:line="480" w:lineRule="exact"/>
              <w:rPr>
                <w:rFonts w:hint="eastAsia" w:ascii="Times New Roman" w:hAnsi="Times New Roman" w:eastAsia="宋体" w:cs="Times New Roman"/>
                <w:b/>
                <w:bCs/>
                <w:color w:val="000000"/>
                <w:u w:val="single"/>
                <w:lang w:val="en-US" w:eastAsia="zh-CN"/>
              </w:rPr>
            </w:pPr>
            <w:r>
              <w:rPr>
                <w:rFonts w:hint="eastAsia" w:ascii="Times New Roman" w:hAnsi="Times New Roman" w:cs="Times New Roman"/>
                <w:color w:val="000000"/>
                <w:lang w:val="en-US" w:eastAsia="zh-CN"/>
              </w:rPr>
              <w:t xml:space="preserve">   </w:t>
            </w:r>
            <w:r>
              <w:rPr>
                <w:rFonts w:hint="eastAsia" w:ascii="Times New Roman" w:hAnsi="Times New Roman" w:cs="Times New Roman"/>
                <w:b/>
                <w:bCs/>
                <w:color w:val="000000"/>
                <w:lang w:val="en-US" w:eastAsia="zh-CN"/>
              </w:rPr>
              <w:t xml:space="preserve"> </w:t>
            </w:r>
            <w:r>
              <w:rPr>
                <w:rFonts w:hint="eastAsia" w:ascii="Times New Roman" w:hAnsi="Times New Roman" w:eastAsia="宋体" w:cs="Times New Roman"/>
                <w:b/>
                <w:bCs/>
                <w:color w:val="000000"/>
                <w:u w:val="single"/>
                <w:lang w:val="en-US" w:eastAsia="zh-CN"/>
              </w:rPr>
              <w:t>①</w:t>
            </w:r>
            <w:r>
              <w:rPr>
                <w:rFonts w:hint="eastAsia" w:ascii="Times New Roman" w:hAnsi="Times New Roman" w:cs="Times New Roman"/>
                <w:b/>
                <w:bCs/>
                <w:color w:val="000000"/>
                <w:u w:val="single"/>
                <w:lang w:val="en-US" w:eastAsia="zh-CN"/>
              </w:rPr>
              <w:t xml:space="preserve"> </w:t>
            </w:r>
            <w:r>
              <w:rPr>
                <w:rFonts w:hint="eastAsia" w:ascii="Times New Roman" w:hAnsi="Times New Roman" w:eastAsia="宋体" w:cs="Times New Roman"/>
                <w:b/>
                <w:bCs/>
                <w:color w:val="000000"/>
                <w:u w:val="single"/>
                <w:lang w:val="en-US" w:eastAsia="zh-CN"/>
              </w:rPr>
              <w:t>废水类别、污染物及污染治理设施信息</w:t>
            </w:r>
          </w:p>
          <w:p w14:paraId="3AFEB9FD">
            <w:pPr>
              <w:adjustRightInd w:val="0"/>
              <w:spacing w:line="360" w:lineRule="auto"/>
              <w:jc w:val="center"/>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eastAsia="宋体" w:cs="Times New Roman"/>
                <w:b/>
                <w:bCs/>
                <w:kern w:val="2"/>
                <w:sz w:val="21"/>
                <w:szCs w:val="21"/>
                <w:u w:val="single"/>
                <w:lang w:val="en-US" w:eastAsia="zh-CN" w:bidi="ar-SA"/>
              </w:rPr>
              <w:t>表4-</w:t>
            </w:r>
            <w:r>
              <w:rPr>
                <w:rFonts w:hint="eastAsia" w:cs="Times New Roman"/>
                <w:b/>
                <w:bCs/>
                <w:kern w:val="2"/>
                <w:sz w:val="21"/>
                <w:szCs w:val="21"/>
                <w:u w:val="single"/>
                <w:lang w:val="en-US" w:eastAsia="zh-CN" w:bidi="ar-SA"/>
              </w:rPr>
              <w:t>9</w:t>
            </w:r>
            <w:r>
              <w:rPr>
                <w:rFonts w:hint="eastAsia" w:ascii="Times New Roman" w:hAnsi="Times New Roman" w:eastAsia="宋体" w:cs="Times New Roman"/>
                <w:b/>
                <w:bCs/>
                <w:kern w:val="2"/>
                <w:sz w:val="21"/>
                <w:szCs w:val="21"/>
                <w:u w:val="single"/>
                <w:lang w:val="en-US" w:eastAsia="zh-CN" w:bidi="ar-SA"/>
              </w:rPr>
              <w:t xml:space="preserve"> 废水类别、污染物及污染治理设施信息表</w:t>
            </w:r>
          </w:p>
          <w:tbl>
            <w:tblPr>
              <w:tblStyle w:val="17"/>
              <w:tblW w:w="0" w:type="auto"/>
              <w:tblInd w:w="74" w:type="dxa"/>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907"/>
              <w:gridCol w:w="927"/>
              <w:gridCol w:w="1168"/>
              <w:gridCol w:w="680"/>
              <w:gridCol w:w="699"/>
              <w:gridCol w:w="619"/>
              <w:gridCol w:w="598"/>
              <w:gridCol w:w="725"/>
              <w:gridCol w:w="595"/>
            </w:tblGrid>
            <w:tr w14:paraId="2E914898">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682" w:type="dxa"/>
                  <w:vMerge w:val="restart"/>
                  <w:tcBorders>
                    <w:tl2br w:val="nil"/>
                    <w:tr2bl w:val="nil"/>
                  </w:tcBorders>
                  <w:noWrap w:val="0"/>
                  <w:vAlign w:val="center"/>
                </w:tcPr>
                <w:p w14:paraId="4573A0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废水类别</w:t>
                  </w:r>
                </w:p>
              </w:tc>
              <w:tc>
                <w:tcPr>
                  <w:tcW w:w="907" w:type="dxa"/>
                  <w:vMerge w:val="restart"/>
                  <w:tcBorders>
                    <w:tl2br w:val="nil"/>
                    <w:tr2bl w:val="nil"/>
                  </w:tcBorders>
                  <w:noWrap w:val="0"/>
                  <w:vAlign w:val="center"/>
                </w:tcPr>
                <w:p w14:paraId="1EFAF8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污染物种类</w:t>
                  </w:r>
                </w:p>
              </w:tc>
              <w:tc>
                <w:tcPr>
                  <w:tcW w:w="927" w:type="dxa"/>
                  <w:vMerge w:val="restart"/>
                  <w:tcBorders>
                    <w:tl2br w:val="nil"/>
                    <w:tr2bl w:val="nil"/>
                  </w:tcBorders>
                  <w:noWrap w:val="0"/>
                  <w:vAlign w:val="center"/>
                </w:tcPr>
                <w:p w14:paraId="788F1A2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排放</w:t>
                  </w:r>
                </w:p>
                <w:p w14:paraId="444DD09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去向</w:t>
                  </w:r>
                </w:p>
              </w:tc>
              <w:tc>
                <w:tcPr>
                  <w:tcW w:w="1168" w:type="dxa"/>
                  <w:vMerge w:val="restart"/>
                  <w:tcBorders>
                    <w:tl2br w:val="nil"/>
                    <w:tr2bl w:val="nil"/>
                  </w:tcBorders>
                  <w:noWrap w:val="0"/>
                  <w:vAlign w:val="center"/>
                </w:tcPr>
                <w:p w14:paraId="4C6E9F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排放</w:t>
                  </w:r>
                </w:p>
                <w:p w14:paraId="38E1166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规律</w:t>
                  </w:r>
                </w:p>
              </w:tc>
              <w:tc>
                <w:tcPr>
                  <w:tcW w:w="1998" w:type="dxa"/>
                  <w:gridSpan w:val="3"/>
                  <w:tcBorders>
                    <w:tl2br w:val="nil"/>
                    <w:tr2bl w:val="nil"/>
                  </w:tcBorders>
                  <w:noWrap w:val="0"/>
                  <w:vAlign w:val="center"/>
                </w:tcPr>
                <w:p w14:paraId="71F6503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污染治理设施</w:t>
                  </w:r>
                </w:p>
              </w:tc>
              <w:tc>
                <w:tcPr>
                  <w:tcW w:w="598" w:type="dxa"/>
                  <w:vMerge w:val="restart"/>
                  <w:tcBorders>
                    <w:tl2br w:val="nil"/>
                    <w:tr2bl w:val="nil"/>
                  </w:tcBorders>
                  <w:noWrap w:val="0"/>
                  <w:vAlign w:val="center"/>
                </w:tcPr>
                <w:p w14:paraId="117455D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排放口编号</w:t>
                  </w:r>
                </w:p>
              </w:tc>
              <w:tc>
                <w:tcPr>
                  <w:tcW w:w="725" w:type="dxa"/>
                  <w:vMerge w:val="restart"/>
                  <w:tcBorders>
                    <w:tl2br w:val="nil"/>
                    <w:tr2bl w:val="nil"/>
                  </w:tcBorders>
                  <w:noWrap w:val="0"/>
                  <w:vAlign w:val="center"/>
                </w:tcPr>
                <w:p w14:paraId="704913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排放空间设施是否符合要求</w:t>
                  </w:r>
                </w:p>
              </w:tc>
              <w:tc>
                <w:tcPr>
                  <w:tcW w:w="595" w:type="dxa"/>
                  <w:vMerge w:val="restart"/>
                  <w:tcBorders>
                    <w:tl2br w:val="nil"/>
                    <w:tr2bl w:val="nil"/>
                  </w:tcBorders>
                  <w:noWrap w:val="0"/>
                  <w:vAlign w:val="center"/>
                </w:tcPr>
                <w:p w14:paraId="317B739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排放口类型</w:t>
                  </w:r>
                </w:p>
              </w:tc>
            </w:tr>
            <w:tr w14:paraId="02AB4C4C">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234" w:hRule="atLeast"/>
              </w:trPr>
              <w:tc>
                <w:tcPr>
                  <w:tcW w:w="682" w:type="dxa"/>
                  <w:vMerge w:val="continue"/>
                  <w:tcBorders>
                    <w:tl2br w:val="nil"/>
                    <w:tr2bl w:val="nil"/>
                  </w:tcBorders>
                  <w:noWrap w:val="0"/>
                  <w:vAlign w:val="center"/>
                </w:tcPr>
                <w:p w14:paraId="616DB0D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p>
              </w:tc>
              <w:tc>
                <w:tcPr>
                  <w:tcW w:w="907" w:type="dxa"/>
                  <w:vMerge w:val="continue"/>
                  <w:tcBorders>
                    <w:tl2br w:val="nil"/>
                    <w:tr2bl w:val="nil"/>
                  </w:tcBorders>
                  <w:noWrap w:val="0"/>
                  <w:vAlign w:val="center"/>
                </w:tcPr>
                <w:p w14:paraId="44C93F0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p>
              </w:tc>
              <w:tc>
                <w:tcPr>
                  <w:tcW w:w="927" w:type="dxa"/>
                  <w:vMerge w:val="continue"/>
                  <w:tcBorders>
                    <w:tl2br w:val="nil"/>
                    <w:tr2bl w:val="nil"/>
                  </w:tcBorders>
                  <w:noWrap w:val="0"/>
                  <w:vAlign w:val="center"/>
                </w:tcPr>
                <w:p w14:paraId="63C15C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p>
              </w:tc>
              <w:tc>
                <w:tcPr>
                  <w:tcW w:w="1168" w:type="dxa"/>
                  <w:vMerge w:val="continue"/>
                  <w:tcBorders>
                    <w:tl2br w:val="nil"/>
                    <w:tr2bl w:val="nil"/>
                  </w:tcBorders>
                  <w:noWrap w:val="0"/>
                  <w:vAlign w:val="center"/>
                </w:tcPr>
                <w:p w14:paraId="1039574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p>
              </w:tc>
              <w:tc>
                <w:tcPr>
                  <w:tcW w:w="680" w:type="dxa"/>
                  <w:tcBorders>
                    <w:tl2br w:val="nil"/>
                    <w:tr2bl w:val="nil"/>
                  </w:tcBorders>
                  <w:noWrap w:val="0"/>
                  <w:vAlign w:val="center"/>
                </w:tcPr>
                <w:p w14:paraId="73D3ED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编号</w:t>
                  </w:r>
                </w:p>
              </w:tc>
              <w:tc>
                <w:tcPr>
                  <w:tcW w:w="699" w:type="dxa"/>
                  <w:tcBorders>
                    <w:tl2br w:val="nil"/>
                    <w:tr2bl w:val="nil"/>
                  </w:tcBorders>
                  <w:noWrap w:val="0"/>
                  <w:vAlign w:val="center"/>
                </w:tcPr>
                <w:p w14:paraId="32902E1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名称</w:t>
                  </w:r>
                </w:p>
              </w:tc>
              <w:tc>
                <w:tcPr>
                  <w:tcW w:w="619" w:type="dxa"/>
                  <w:tcBorders>
                    <w:tl2br w:val="nil"/>
                    <w:tr2bl w:val="nil"/>
                  </w:tcBorders>
                  <w:noWrap w:val="0"/>
                  <w:vAlign w:val="center"/>
                </w:tcPr>
                <w:p w14:paraId="4F9C4E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工艺</w:t>
                  </w:r>
                </w:p>
              </w:tc>
              <w:tc>
                <w:tcPr>
                  <w:tcW w:w="598" w:type="dxa"/>
                  <w:vMerge w:val="continue"/>
                  <w:tcBorders>
                    <w:tl2br w:val="nil"/>
                    <w:tr2bl w:val="nil"/>
                  </w:tcBorders>
                  <w:noWrap w:val="0"/>
                  <w:vAlign w:val="center"/>
                </w:tcPr>
                <w:p w14:paraId="4EAC83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p>
              </w:tc>
              <w:tc>
                <w:tcPr>
                  <w:tcW w:w="725" w:type="dxa"/>
                  <w:vMerge w:val="continue"/>
                  <w:tcBorders>
                    <w:tl2br w:val="nil"/>
                    <w:tr2bl w:val="nil"/>
                  </w:tcBorders>
                  <w:noWrap w:val="0"/>
                  <w:vAlign w:val="center"/>
                </w:tcPr>
                <w:p w14:paraId="75F123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p>
              </w:tc>
              <w:tc>
                <w:tcPr>
                  <w:tcW w:w="595" w:type="dxa"/>
                  <w:vMerge w:val="continue"/>
                  <w:tcBorders>
                    <w:tl2br w:val="nil"/>
                    <w:tr2bl w:val="nil"/>
                  </w:tcBorders>
                  <w:noWrap w:val="0"/>
                  <w:vAlign w:val="center"/>
                </w:tcPr>
                <w:p w14:paraId="47DD93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p>
              </w:tc>
            </w:tr>
            <w:tr w14:paraId="74BCB3D8">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682" w:type="dxa"/>
                  <w:tcBorders>
                    <w:tl2br w:val="nil"/>
                    <w:tr2bl w:val="nil"/>
                  </w:tcBorders>
                  <w:noWrap w:val="0"/>
                  <w:vAlign w:val="center"/>
                </w:tcPr>
                <w:p w14:paraId="0D614C3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eastAsia="zh-CN"/>
                    </w:rPr>
                    <w:t>生活污水</w:t>
                  </w:r>
                </w:p>
              </w:tc>
              <w:tc>
                <w:tcPr>
                  <w:tcW w:w="907" w:type="dxa"/>
                  <w:tcBorders>
                    <w:tl2br w:val="nil"/>
                    <w:tr2bl w:val="nil"/>
                  </w:tcBorders>
                  <w:noWrap w:val="0"/>
                  <w:vAlign w:val="center"/>
                </w:tcPr>
                <w:p w14:paraId="17C6B0D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Times New Roman" w:cs="Times New Roman"/>
                      <w:color w:val="auto"/>
                      <w:sz w:val="21"/>
                      <w:szCs w:val="21"/>
                      <w:highlight w:val="none"/>
                      <w:vertAlign w:val="baseline"/>
                      <w:lang w:val="en-US" w:eastAsia="zh-CN"/>
                    </w:rPr>
                  </w:pPr>
                  <w:r>
                    <w:rPr>
                      <w:rFonts w:hint="eastAsia" w:ascii="Times New Roman" w:hAnsi="Times New Roman" w:eastAsia="Times New Roman" w:cs="Times New Roman"/>
                      <w:color w:val="auto"/>
                      <w:sz w:val="21"/>
                      <w:szCs w:val="21"/>
                      <w:highlight w:val="none"/>
                      <w:vertAlign w:val="baseline"/>
                      <w:lang w:val="en-US" w:eastAsia="zh-CN"/>
                    </w:rPr>
                    <w:t>pH、COD、BOD</w:t>
                  </w:r>
                  <w:r>
                    <w:rPr>
                      <w:rFonts w:hint="eastAsia" w:ascii="Times New Roman" w:hAnsi="Times New Roman" w:eastAsia="Times New Roman" w:cs="Times New Roman"/>
                      <w:color w:val="auto"/>
                      <w:sz w:val="21"/>
                      <w:szCs w:val="21"/>
                      <w:highlight w:val="none"/>
                      <w:vertAlign w:val="subscript"/>
                      <w:lang w:val="en-US" w:eastAsia="zh-CN"/>
                    </w:rPr>
                    <w:t>5</w:t>
                  </w:r>
                  <w:r>
                    <w:rPr>
                      <w:rFonts w:hint="eastAsia" w:ascii="Times New Roman" w:hAnsi="Times New Roman" w:eastAsia="Times New Roman" w:cs="Times New Roman"/>
                      <w:color w:val="auto"/>
                      <w:sz w:val="21"/>
                      <w:szCs w:val="21"/>
                      <w:highlight w:val="none"/>
                      <w:vertAlign w:val="baseline"/>
                      <w:lang w:val="en-US" w:eastAsia="zh-CN"/>
                    </w:rPr>
                    <w:t>、NH</w:t>
                  </w:r>
                  <w:r>
                    <w:rPr>
                      <w:rFonts w:hint="eastAsia" w:ascii="Times New Roman" w:hAnsi="Times New Roman" w:eastAsia="Times New Roman" w:cs="Times New Roman"/>
                      <w:color w:val="auto"/>
                      <w:sz w:val="21"/>
                      <w:szCs w:val="21"/>
                      <w:highlight w:val="none"/>
                      <w:vertAlign w:val="subscript"/>
                      <w:lang w:val="en-US" w:eastAsia="zh-CN"/>
                    </w:rPr>
                    <w:t>3</w:t>
                  </w:r>
                  <w:r>
                    <w:rPr>
                      <w:rFonts w:hint="eastAsia" w:ascii="Times New Roman" w:hAnsi="Times New Roman" w:eastAsia="Times New Roman" w:cs="Times New Roman"/>
                      <w:color w:val="auto"/>
                      <w:sz w:val="21"/>
                      <w:szCs w:val="21"/>
                      <w:highlight w:val="none"/>
                      <w:vertAlign w:val="baseline"/>
                      <w:lang w:val="en-US" w:eastAsia="zh-CN"/>
                    </w:rPr>
                    <w:t>-N、SS</w:t>
                  </w:r>
                </w:p>
              </w:tc>
              <w:tc>
                <w:tcPr>
                  <w:tcW w:w="927" w:type="dxa"/>
                  <w:tcBorders>
                    <w:tl2br w:val="nil"/>
                    <w:tr2bl w:val="nil"/>
                  </w:tcBorders>
                  <w:noWrap w:val="0"/>
                  <w:vAlign w:val="center"/>
                </w:tcPr>
                <w:p w14:paraId="70510B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Times New Roman" w:cs="Times New Roman"/>
                      <w:color w:val="auto"/>
                      <w:sz w:val="21"/>
                      <w:szCs w:val="21"/>
                      <w:highlight w:val="none"/>
                      <w:lang w:eastAsia="zh-CN"/>
                    </w:rPr>
                  </w:pPr>
                  <w:r>
                    <w:rPr>
                      <w:rFonts w:hint="eastAsia" w:ascii="Times New Roman" w:hAnsi="Times New Roman" w:eastAsia="Times New Roman" w:cs="Times New Roman"/>
                      <w:color w:val="auto"/>
                      <w:sz w:val="21"/>
                      <w:szCs w:val="21"/>
                      <w:highlight w:val="none"/>
                      <w:lang w:eastAsia="zh-CN"/>
                    </w:rPr>
                    <w:t>南乐县产业集聚区污水处理</w:t>
                  </w:r>
                </w:p>
                <w:p w14:paraId="1EF1F7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Times New Roman" w:cs="Times New Roman"/>
                      <w:color w:val="auto"/>
                      <w:sz w:val="21"/>
                      <w:szCs w:val="21"/>
                      <w:highlight w:val="none"/>
                      <w:vertAlign w:val="baseline"/>
                      <w:lang w:eastAsia="zh-CN"/>
                    </w:rPr>
                  </w:pPr>
                  <w:r>
                    <w:rPr>
                      <w:rFonts w:hint="eastAsia" w:ascii="Times New Roman" w:hAnsi="Times New Roman" w:eastAsia="Times New Roman" w:cs="Times New Roman"/>
                      <w:color w:val="auto"/>
                      <w:sz w:val="21"/>
                      <w:szCs w:val="21"/>
                      <w:highlight w:val="none"/>
                      <w:lang w:eastAsia="zh-CN"/>
                    </w:rPr>
                    <w:t>厂</w:t>
                  </w:r>
                </w:p>
              </w:tc>
              <w:tc>
                <w:tcPr>
                  <w:tcW w:w="1168" w:type="dxa"/>
                  <w:tcBorders>
                    <w:tl2br w:val="nil"/>
                    <w:tr2bl w:val="nil"/>
                  </w:tcBorders>
                  <w:noWrap w:val="0"/>
                  <w:vAlign w:val="center"/>
                </w:tcPr>
                <w:p w14:paraId="326BD4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间断排放，排放期间流量不稳定且无规律，但不属于冲击型排放</w:t>
                  </w:r>
                </w:p>
              </w:tc>
              <w:tc>
                <w:tcPr>
                  <w:tcW w:w="680" w:type="dxa"/>
                  <w:tcBorders>
                    <w:tl2br w:val="nil"/>
                    <w:tr2bl w:val="nil"/>
                  </w:tcBorders>
                  <w:noWrap w:val="0"/>
                  <w:vAlign w:val="center"/>
                </w:tcPr>
                <w:p w14:paraId="144A33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TW001</w:t>
                  </w:r>
                </w:p>
              </w:tc>
              <w:tc>
                <w:tcPr>
                  <w:tcW w:w="699" w:type="dxa"/>
                  <w:tcBorders>
                    <w:tl2br w:val="nil"/>
                    <w:tr2bl w:val="nil"/>
                  </w:tcBorders>
                  <w:noWrap w:val="0"/>
                  <w:vAlign w:val="center"/>
                </w:tcPr>
                <w:p w14:paraId="2025119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val="en-US" w:eastAsia="zh-CN"/>
                    </w:rPr>
                    <w:t>隔油池+化粪池</w:t>
                  </w:r>
                </w:p>
              </w:tc>
              <w:tc>
                <w:tcPr>
                  <w:tcW w:w="619" w:type="dxa"/>
                  <w:tcBorders>
                    <w:tl2br w:val="nil"/>
                    <w:tr2bl w:val="nil"/>
                  </w:tcBorders>
                  <w:noWrap w:val="0"/>
                  <w:vAlign w:val="center"/>
                </w:tcPr>
                <w:p w14:paraId="66F568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沉淀</w:t>
                  </w:r>
                </w:p>
              </w:tc>
              <w:tc>
                <w:tcPr>
                  <w:tcW w:w="598" w:type="dxa"/>
                  <w:tcBorders>
                    <w:tl2br w:val="nil"/>
                    <w:tr2bl w:val="nil"/>
                  </w:tcBorders>
                  <w:noWrap w:val="0"/>
                  <w:vAlign w:val="center"/>
                </w:tcPr>
                <w:p w14:paraId="4F396E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DW001</w:t>
                  </w:r>
                </w:p>
              </w:tc>
              <w:tc>
                <w:tcPr>
                  <w:tcW w:w="725" w:type="dxa"/>
                  <w:tcBorders>
                    <w:tl2br w:val="nil"/>
                    <w:tr2bl w:val="nil"/>
                  </w:tcBorders>
                  <w:noWrap w:val="0"/>
                  <w:vAlign w:val="center"/>
                </w:tcPr>
                <w:p w14:paraId="784005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default" w:ascii="Times New Roman" w:hAnsi="Times New Roman" w:cs="Times New Roman"/>
                      <w:color w:val="auto"/>
                      <w:sz w:val="21"/>
                      <w:szCs w:val="21"/>
                      <w:highlight w:val="none"/>
                      <w:vertAlign w:val="baseline"/>
                      <w:lang w:eastAsia="zh-CN"/>
                    </w:rPr>
                    <w:t>是</w:t>
                  </w:r>
                </w:p>
              </w:tc>
              <w:tc>
                <w:tcPr>
                  <w:tcW w:w="595" w:type="dxa"/>
                  <w:tcBorders>
                    <w:tl2br w:val="nil"/>
                    <w:tr2bl w:val="nil"/>
                  </w:tcBorders>
                  <w:noWrap w:val="0"/>
                  <w:vAlign w:val="center"/>
                </w:tcPr>
                <w:p w14:paraId="36137C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highlight w:val="none"/>
                      <w:vertAlign w:val="baseline"/>
                      <w:lang w:eastAsia="zh-CN"/>
                    </w:rPr>
                  </w:pPr>
                  <w:r>
                    <w:rPr>
                      <w:rFonts w:hint="eastAsia" w:cs="Times New Roman"/>
                      <w:color w:val="auto"/>
                      <w:sz w:val="21"/>
                      <w:szCs w:val="21"/>
                      <w:highlight w:val="none"/>
                      <w:vertAlign w:val="baseline"/>
                      <w:lang w:val="en-US" w:eastAsia="zh-CN"/>
                    </w:rPr>
                    <w:t>一般排放口</w:t>
                  </w:r>
                </w:p>
              </w:tc>
            </w:tr>
          </w:tbl>
          <w:p w14:paraId="72A62886">
            <w:pPr>
              <w:numPr>
                <w:ilvl w:val="0"/>
                <w:numId w:val="0"/>
              </w:numPr>
              <w:adjustRightInd w:val="0"/>
              <w:spacing w:line="360" w:lineRule="auto"/>
              <w:ind w:left="480" w:leftChars="0"/>
              <w:jc w:val="left"/>
              <w:rPr>
                <w:rFonts w:hint="eastAsia" w:ascii="Times New Roman" w:hAnsi="Times New Roman" w:eastAsia="宋体" w:cs="Times New Roman"/>
                <w:b/>
                <w:bCs/>
                <w:color w:val="000000"/>
                <w:u w:val="single"/>
                <w:lang w:val="en-US" w:eastAsia="zh-CN"/>
              </w:rPr>
            </w:pPr>
            <w:r>
              <w:rPr>
                <w:rFonts w:hint="eastAsia" w:ascii="Times New Roman" w:hAnsi="Times New Roman" w:cs="Times New Roman"/>
                <w:b/>
                <w:bCs/>
                <w:color w:val="000000"/>
                <w:u w:val="single"/>
                <w:lang w:val="en-US" w:eastAsia="zh-CN"/>
              </w:rPr>
              <w:t xml:space="preserve">② </w:t>
            </w:r>
            <w:r>
              <w:rPr>
                <w:rFonts w:hint="eastAsia" w:ascii="Times New Roman" w:hAnsi="Times New Roman" w:eastAsia="宋体" w:cs="Times New Roman"/>
                <w:b/>
                <w:bCs/>
                <w:color w:val="000000"/>
                <w:u w:val="single"/>
                <w:lang w:val="en-US" w:eastAsia="zh-CN"/>
              </w:rPr>
              <w:t>废水间接排放口基本情况</w:t>
            </w:r>
          </w:p>
          <w:p w14:paraId="61D84759">
            <w:pPr>
              <w:adjustRightInd w:val="0"/>
              <w:spacing w:line="360" w:lineRule="auto"/>
              <w:jc w:val="center"/>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eastAsia="宋体" w:cs="Times New Roman"/>
                <w:b/>
                <w:bCs/>
                <w:kern w:val="2"/>
                <w:sz w:val="21"/>
                <w:szCs w:val="21"/>
                <w:u w:val="single"/>
                <w:lang w:val="en-US" w:eastAsia="zh-CN" w:bidi="ar-SA"/>
              </w:rPr>
              <w:t>表4-</w:t>
            </w:r>
            <w:r>
              <w:rPr>
                <w:rFonts w:hint="eastAsia" w:cs="Times New Roman"/>
                <w:b/>
                <w:bCs/>
                <w:kern w:val="2"/>
                <w:sz w:val="21"/>
                <w:szCs w:val="21"/>
                <w:u w:val="single"/>
                <w:lang w:val="en-US" w:eastAsia="zh-CN" w:bidi="ar-SA"/>
              </w:rPr>
              <w:t>10</w:t>
            </w:r>
            <w:r>
              <w:rPr>
                <w:rFonts w:hint="eastAsia" w:ascii="Times New Roman" w:hAnsi="Times New Roman" w:eastAsia="宋体" w:cs="Times New Roman"/>
                <w:b/>
                <w:bCs/>
                <w:kern w:val="2"/>
                <w:sz w:val="21"/>
                <w:szCs w:val="21"/>
                <w:u w:val="single"/>
                <w:lang w:val="en-US" w:eastAsia="zh-CN" w:bidi="ar-SA"/>
              </w:rPr>
              <w:t xml:space="preserve"> 废水间接排放口基本情况</w:t>
            </w:r>
          </w:p>
          <w:tbl>
            <w:tblPr>
              <w:tblStyle w:val="17"/>
              <w:tblW w:w="7800" w:type="dxa"/>
              <w:jc w:val="center"/>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526"/>
              <w:gridCol w:w="797"/>
              <w:gridCol w:w="692"/>
              <w:gridCol w:w="831"/>
              <w:gridCol w:w="738"/>
              <w:gridCol w:w="981"/>
              <w:gridCol w:w="646"/>
              <w:gridCol w:w="715"/>
              <w:gridCol w:w="773"/>
              <w:gridCol w:w="1101"/>
            </w:tblGrid>
            <w:tr w14:paraId="227C1F5C">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26" w:type="dxa"/>
                  <w:vMerge w:val="restart"/>
                  <w:tcBorders>
                    <w:tl2br w:val="nil"/>
                    <w:tr2bl w:val="nil"/>
                  </w:tcBorders>
                  <w:noWrap w:val="0"/>
                  <w:vAlign w:val="center"/>
                </w:tcPr>
                <w:p w14:paraId="5C330D2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排放口编号</w:t>
                  </w:r>
                </w:p>
              </w:tc>
              <w:tc>
                <w:tcPr>
                  <w:tcW w:w="1489" w:type="dxa"/>
                  <w:gridSpan w:val="2"/>
                  <w:tcBorders>
                    <w:tl2br w:val="nil"/>
                    <w:tr2bl w:val="nil"/>
                  </w:tcBorders>
                  <w:noWrap w:val="0"/>
                  <w:vAlign w:val="center"/>
                </w:tcPr>
                <w:p w14:paraId="5AE8417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排放口地理坐标</w:t>
                  </w:r>
                </w:p>
              </w:tc>
              <w:tc>
                <w:tcPr>
                  <w:tcW w:w="831" w:type="dxa"/>
                  <w:vMerge w:val="restart"/>
                  <w:tcBorders>
                    <w:tl2br w:val="nil"/>
                    <w:tr2bl w:val="nil"/>
                  </w:tcBorders>
                  <w:noWrap w:val="0"/>
                  <w:vAlign w:val="center"/>
                </w:tcPr>
                <w:p w14:paraId="2A8F6FC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default" w:ascii="Times New Roman" w:hAnsi="Times New Roman" w:cs="Times New Roman"/>
                      <w:b/>
                      <w:bCs/>
                      <w:color w:val="auto"/>
                      <w:sz w:val="21"/>
                      <w:szCs w:val="21"/>
                      <w:highlight w:val="none"/>
                      <w:u w:val="single"/>
                      <w:vertAlign w:val="baseline"/>
                      <w:lang w:eastAsia="zh-CN"/>
                    </w:rPr>
                    <w:t>废水排放量</w:t>
                  </w:r>
                  <w:r>
                    <w:rPr>
                      <w:rFonts w:hint="default" w:ascii="Times New Roman" w:hAnsi="Times New Roman" w:cs="Times New Roman"/>
                      <w:b/>
                      <w:bCs/>
                      <w:color w:val="auto"/>
                      <w:sz w:val="21"/>
                      <w:szCs w:val="21"/>
                      <w:highlight w:val="none"/>
                      <w:u w:val="single"/>
                      <w:vertAlign w:val="baseline"/>
                      <w:lang w:val="en-US" w:eastAsia="zh-CN"/>
                    </w:rPr>
                    <w:t>/（</w:t>
                  </w:r>
                  <w:r>
                    <w:rPr>
                      <w:rFonts w:hint="eastAsia" w:ascii="Times New Roman" w:hAnsi="Times New Roman" w:cs="Times New Roman"/>
                      <w:b/>
                      <w:bCs/>
                      <w:color w:val="auto"/>
                      <w:sz w:val="21"/>
                      <w:szCs w:val="21"/>
                      <w:highlight w:val="none"/>
                      <w:u w:val="single"/>
                      <w:vertAlign w:val="baseline"/>
                      <w:lang w:val="en-US" w:eastAsia="zh-CN"/>
                    </w:rPr>
                    <w:t>m</w:t>
                  </w:r>
                  <w:r>
                    <w:rPr>
                      <w:rFonts w:hint="eastAsia" w:ascii="Times New Roman" w:hAnsi="Times New Roman" w:cs="Times New Roman"/>
                      <w:b/>
                      <w:bCs/>
                      <w:color w:val="auto"/>
                      <w:sz w:val="21"/>
                      <w:szCs w:val="21"/>
                      <w:highlight w:val="none"/>
                      <w:u w:val="single"/>
                      <w:vertAlign w:val="superscript"/>
                      <w:lang w:val="en-US" w:eastAsia="zh-CN"/>
                    </w:rPr>
                    <w:t>3</w:t>
                  </w:r>
                  <w:r>
                    <w:rPr>
                      <w:rFonts w:hint="default" w:ascii="Times New Roman" w:hAnsi="Times New Roman" w:cs="Times New Roman"/>
                      <w:b/>
                      <w:bCs/>
                      <w:color w:val="auto"/>
                      <w:sz w:val="21"/>
                      <w:szCs w:val="21"/>
                      <w:highlight w:val="none"/>
                      <w:u w:val="single"/>
                      <w:vertAlign w:val="baseline"/>
                      <w:lang w:val="en-US" w:eastAsia="zh-CN"/>
                    </w:rPr>
                    <w:t>/a）</w:t>
                  </w:r>
                </w:p>
              </w:tc>
              <w:tc>
                <w:tcPr>
                  <w:tcW w:w="738" w:type="dxa"/>
                  <w:vMerge w:val="restart"/>
                  <w:tcBorders>
                    <w:tl2br w:val="nil"/>
                    <w:tr2bl w:val="nil"/>
                  </w:tcBorders>
                  <w:noWrap w:val="0"/>
                  <w:vAlign w:val="center"/>
                </w:tcPr>
                <w:p w14:paraId="37B61C8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排放</w:t>
                  </w:r>
                </w:p>
                <w:p w14:paraId="78AB203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去向</w:t>
                  </w:r>
                </w:p>
              </w:tc>
              <w:tc>
                <w:tcPr>
                  <w:tcW w:w="981" w:type="dxa"/>
                  <w:vMerge w:val="restart"/>
                  <w:tcBorders>
                    <w:tl2br w:val="nil"/>
                    <w:tr2bl w:val="nil"/>
                  </w:tcBorders>
                  <w:noWrap w:val="0"/>
                  <w:vAlign w:val="center"/>
                </w:tcPr>
                <w:p w14:paraId="626684D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排放规律</w:t>
                  </w:r>
                </w:p>
              </w:tc>
              <w:tc>
                <w:tcPr>
                  <w:tcW w:w="646" w:type="dxa"/>
                  <w:vMerge w:val="restart"/>
                  <w:tcBorders>
                    <w:tl2br w:val="nil"/>
                    <w:tr2bl w:val="nil"/>
                  </w:tcBorders>
                  <w:noWrap w:val="0"/>
                  <w:vAlign w:val="center"/>
                </w:tcPr>
                <w:p w14:paraId="4ED9C06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间歇排放时段</w:t>
                  </w:r>
                </w:p>
              </w:tc>
              <w:tc>
                <w:tcPr>
                  <w:tcW w:w="2589" w:type="dxa"/>
                  <w:gridSpan w:val="3"/>
                  <w:tcBorders>
                    <w:tl2br w:val="nil"/>
                    <w:tr2bl w:val="nil"/>
                  </w:tcBorders>
                  <w:noWrap w:val="0"/>
                  <w:vAlign w:val="center"/>
                </w:tcPr>
                <w:p w14:paraId="5A5420E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受纳污水处理厂信息</w:t>
                  </w:r>
                </w:p>
              </w:tc>
            </w:tr>
            <w:tr w14:paraId="702E393F">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26" w:type="dxa"/>
                  <w:vMerge w:val="continue"/>
                  <w:tcBorders>
                    <w:tl2br w:val="nil"/>
                    <w:tr2bl w:val="nil"/>
                  </w:tcBorders>
                  <w:noWrap w:val="0"/>
                  <w:vAlign w:val="center"/>
                </w:tcPr>
                <w:p w14:paraId="2FE9092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797" w:type="dxa"/>
                  <w:tcBorders>
                    <w:tl2br w:val="nil"/>
                    <w:tr2bl w:val="nil"/>
                  </w:tcBorders>
                  <w:noWrap w:val="0"/>
                  <w:vAlign w:val="center"/>
                </w:tcPr>
                <w:p w14:paraId="50F43EC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经度</w:t>
                  </w:r>
                </w:p>
              </w:tc>
              <w:tc>
                <w:tcPr>
                  <w:tcW w:w="692" w:type="dxa"/>
                  <w:tcBorders>
                    <w:tl2br w:val="nil"/>
                    <w:tr2bl w:val="nil"/>
                  </w:tcBorders>
                  <w:noWrap w:val="0"/>
                  <w:vAlign w:val="center"/>
                </w:tcPr>
                <w:p w14:paraId="7E25F5F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纬度</w:t>
                  </w:r>
                </w:p>
              </w:tc>
              <w:tc>
                <w:tcPr>
                  <w:tcW w:w="831" w:type="dxa"/>
                  <w:vMerge w:val="continue"/>
                  <w:tcBorders>
                    <w:tl2br w:val="nil"/>
                    <w:tr2bl w:val="nil"/>
                  </w:tcBorders>
                  <w:noWrap w:val="0"/>
                  <w:vAlign w:val="center"/>
                </w:tcPr>
                <w:p w14:paraId="08EACCB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738" w:type="dxa"/>
                  <w:vMerge w:val="continue"/>
                  <w:tcBorders>
                    <w:tl2br w:val="nil"/>
                    <w:tr2bl w:val="nil"/>
                  </w:tcBorders>
                  <w:noWrap w:val="0"/>
                  <w:vAlign w:val="center"/>
                </w:tcPr>
                <w:p w14:paraId="4E08D9A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981" w:type="dxa"/>
                  <w:vMerge w:val="continue"/>
                  <w:tcBorders>
                    <w:tl2br w:val="nil"/>
                    <w:tr2bl w:val="nil"/>
                  </w:tcBorders>
                  <w:noWrap w:val="0"/>
                  <w:vAlign w:val="center"/>
                </w:tcPr>
                <w:p w14:paraId="378EF0D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646" w:type="dxa"/>
                  <w:vMerge w:val="continue"/>
                  <w:tcBorders>
                    <w:tl2br w:val="nil"/>
                    <w:tr2bl w:val="nil"/>
                  </w:tcBorders>
                  <w:noWrap w:val="0"/>
                  <w:vAlign w:val="center"/>
                </w:tcPr>
                <w:p w14:paraId="215F054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715" w:type="dxa"/>
                  <w:tcBorders>
                    <w:tl2br w:val="nil"/>
                    <w:tr2bl w:val="nil"/>
                  </w:tcBorders>
                  <w:noWrap w:val="0"/>
                  <w:vAlign w:val="center"/>
                </w:tcPr>
                <w:p w14:paraId="48EE1AA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名称</w:t>
                  </w:r>
                </w:p>
              </w:tc>
              <w:tc>
                <w:tcPr>
                  <w:tcW w:w="773" w:type="dxa"/>
                  <w:tcBorders>
                    <w:tl2br w:val="nil"/>
                    <w:tr2bl w:val="nil"/>
                  </w:tcBorders>
                  <w:noWrap w:val="0"/>
                  <w:vAlign w:val="center"/>
                </w:tcPr>
                <w:p w14:paraId="1818B01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污染物种类</w:t>
                  </w:r>
                </w:p>
              </w:tc>
              <w:tc>
                <w:tcPr>
                  <w:tcW w:w="1101" w:type="dxa"/>
                  <w:tcBorders>
                    <w:tl2br w:val="nil"/>
                    <w:tr2bl w:val="nil"/>
                  </w:tcBorders>
                  <w:noWrap w:val="0"/>
                  <w:vAlign w:val="center"/>
                </w:tcPr>
                <w:p w14:paraId="366BFCB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default" w:ascii="Times New Roman" w:hAnsi="Times New Roman" w:cs="Times New Roman"/>
                      <w:b/>
                      <w:bCs/>
                      <w:color w:val="auto"/>
                      <w:sz w:val="21"/>
                      <w:szCs w:val="21"/>
                      <w:highlight w:val="none"/>
                      <w:u w:val="single"/>
                      <w:vertAlign w:val="baseline"/>
                      <w:lang w:eastAsia="zh-CN"/>
                    </w:rPr>
                    <w:t>国家或地方污染物排放标准浓度限值</w:t>
                  </w:r>
                  <w:r>
                    <w:rPr>
                      <w:rFonts w:hint="eastAsia" w:ascii="Times New Roman" w:hAnsi="Times New Roman" w:cs="Times New Roman"/>
                      <w:b/>
                      <w:bCs/>
                      <w:color w:val="auto"/>
                      <w:sz w:val="21"/>
                      <w:szCs w:val="21"/>
                      <w:highlight w:val="none"/>
                      <w:u w:val="single"/>
                      <w:vertAlign w:val="baseline"/>
                      <w:lang w:eastAsia="zh-CN"/>
                    </w:rPr>
                    <w:t>（</w:t>
                  </w:r>
                  <w:r>
                    <w:rPr>
                      <w:rFonts w:hint="eastAsia" w:ascii="Times New Roman" w:hAnsi="Times New Roman" w:eastAsia="宋体" w:cs="Times New Roman"/>
                      <w:b/>
                      <w:bCs/>
                      <w:color w:val="000000"/>
                      <w:u w:val="single"/>
                      <w:lang w:val="en-US" w:eastAsia="zh-CN"/>
                    </w:rPr>
                    <w:t>mg/L</w:t>
                  </w:r>
                  <w:r>
                    <w:rPr>
                      <w:rFonts w:hint="eastAsia" w:ascii="Times New Roman" w:hAnsi="Times New Roman" w:cs="Times New Roman"/>
                      <w:b/>
                      <w:bCs/>
                      <w:color w:val="auto"/>
                      <w:sz w:val="21"/>
                      <w:szCs w:val="21"/>
                      <w:highlight w:val="none"/>
                      <w:u w:val="single"/>
                      <w:vertAlign w:val="baseline"/>
                      <w:lang w:eastAsia="zh-CN"/>
                    </w:rPr>
                    <w:t>）</w:t>
                  </w:r>
                </w:p>
              </w:tc>
            </w:tr>
            <w:tr w14:paraId="3DD4915A">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526" w:type="dxa"/>
                  <w:vMerge w:val="restart"/>
                  <w:tcBorders>
                    <w:tl2br w:val="nil"/>
                    <w:tr2bl w:val="nil"/>
                  </w:tcBorders>
                  <w:noWrap w:val="0"/>
                  <w:vAlign w:val="center"/>
                </w:tcPr>
                <w:p w14:paraId="6847266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u w:val="single"/>
                      <w:vertAlign w:val="baseline"/>
                      <w:lang w:val="en-US" w:eastAsia="zh-CN"/>
                    </w:rPr>
                  </w:pPr>
                  <w:r>
                    <w:rPr>
                      <w:rFonts w:hint="default" w:ascii="Times New Roman" w:hAnsi="Times New Roman" w:eastAsia="宋体" w:cs="Times New Roman"/>
                      <w:b/>
                      <w:bCs/>
                      <w:color w:val="auto"/>
                      <w:sz w:val="21"/>
                      <w:szCs w:val="21"/>
                      <w:highlight w:val="none"/>
                      <w:u w:val="single"/>
                      <w:vertAlign w:val="baseline"/>
                      <w:lang w:val="en-US" w:eastAsia="zh-CN"/>
                    </w:rPr>
                    <w:t>DW001</w:t>
                  </w:r>
                </w:p>
              </w:tc>
              <w:tc>
                <w:tcPr>
                  <w:tcW w:w="797" w:type="dxa"/>
                  <w:vMerge w:val="restart"/>
                  <w:tcBorders>
                    <w:tl2br w:val="nil"/>
                    <w:tr2bl w:val="nil"/>
                  </w:tcBorders>
                  <w:noWrap w:val="0"/>
                  <w:vAlign w:val="center"/>
                </w:tcPr>
                <w:p w14:paraId="2291A77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u w:val="single"/>
                      <w:vertAlign w:val="baseline"/>
                      <w:lang w:val="en-US" w:eastAsia="zh-CN"/>
                    </w:rPr>
                  </w:pPr>
                  <w:r>
                    <w:rPr>
                      <w:rFonts w:hint="eastAsia" w:eastAsia="宋体" w:cs="Times New Roman"/>
                      <w:b/>
                      <w:bCs/>
                      <w:color w:val="auto"/>
                      <w:sz w:val="21"/>
                      <w:szCs w:val="21"/>
                      <w:highlight w:val="none"/>
                      <w:u w:val="single"/>
                      <w:vertAlign w:val="baseline"/>
                      <w:lang w:val="en-US" w:eastAsia="zh-CN"/>
                    </w:rPr>
                    <w:t>115.231699</w:t>
                  </w:r>
                </w:p>
              </w:tc>
              <w:tc>
                <w:tcPr>
                  <w:tcW w:w="692" w:type="dxa"/>
                  <w:vMerge w:val="restart"/>
                  <w:tcBorders>
                    <w:tl2br w:val="nil"/>
                    <w:tr2bl w:val="nil"/>
                  </w:tcBorders>
                  <w:noWrap w:val="0"/>
                  <w:vAlign w:val="center"/>
                </w:tcPr>
                <w:p w14:paraId="38A4438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Times New Roman" w:cs="Times New Roman"/>
                      <w:b/>
                      <w:bCs/>
                      <w:color w:val="auto"/>
                      <w:sz w:val="21"/>
                      <w:szCs w:val="21"/>
                      <w:highlight w:val="none"/>
                      <w:u w:val="single"/>
                      <w:vertAlign w:val="baseline"/>
                      <w:lang w:val="en-US" w:eastAsia="zh-CN"/>
                    </w:rPr>
                  </w:pPr>
                  <w:r>
                    <w:rPr>
                      <w:rFonts w:hint="eastAsia" w:cs="Times New Roman"/>
                      <w:b/>
                      <w:bCs/>
                      <w:color w:val="auto"/>
                      <w:sz w:val="21"/>
                      <w:szCs w:val="21"/>
                      <w:highlight w:val="none"/>
                      <w:u w:val="single"/>
                      <w:vertAlign w:val="baseline"/>
                      <w:lang w:val="en-US" w:eastAsia="zh-CN"/>
                    </w:rPr>
                    <w:t>36.094445</w:t>
                  </w:r>
                </w:p>
              </w:tc>
              <w:tc>
                <w:tcPr>
                  <w:tcW w:w="831" w:type="dxa"/>
                  <w:vMerge w:val="restart"/>
                  <w:tcBorders>
                    <w:tl2br w:val="nil"/>
                    <w:tr2bl w:val="nil"/>
                  </w:tcBorders>
                  <w:noWrap w:val="0"/>
                  <w:vAlign w:val="center"/>
                </w:tcPr>
                <w:p w14:paraId="66B4B79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Times New Roman" w:cs="Times New Roman"/>
                      <w:b/>
                      <w:bCs/>
                      <w:color w:val="auto"/>
                      <w:sz w:val="21"/>
                      <w:szCs w:val="21"/>
                      <w:highlight w:val="none"/>
                      <w:u w:val="single"/>
                      <w:vertAlign w:val="baseline"/>
                      <w:lang w:val="en-US" w:eastAsia="zh-CN"/>
                    </w:rPr>
                  </w:pPr>
                  <w:r>
                    <w:rPr>
                      <w:rFonts w:hint="eastAsia" w:cs="Times New Roman"/>
                      <w:b/>
                      <w:bCs/>
                      <w:color w:val="auto"/>
                      <w:sz w:val="21"/>
                      <w:szCs w:val="21"/>
                      <w:highlight w:val="none"/>
                      <w:u w:val="single"/>
                      <w:lang w:val="en-US" w:eastAsia="zh-CN"/>
                    </w:rPr>
                    <w:t>1920</w:t>
                  </w:r>
                </w:p>
              </w:tc>
              <w:tc>
                <w:tcPr>
                  <w:tcW w:w="738" w:type="dxa"/>
                  <w:vMerge w:val="restart"/>
                  <w:tcBorders>
                    <w:tl2br w:val="nil"/>
                    <w:tr2bl w:val="nil"/>
                  </w:tcBorders>
                  <w:noWrap w:val="0"/>
                  <w:vAlign w:val="center"/>
                </w:tcPr>
                <w:p w14:paraId="7830BA2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Times New Roman" w:cs="Times New Roman"/>
                      <w:b/>
                      <w:bCs/>
                      <w:color w:val="auto"/>
                      <w:sz w:val="21"/>
                      <w:szCs w:val="21"/>
                      <w:highlight w:val="none"/>
                      <w:u w:val="single"/>
                      <w:lang w:eastAsia="zh-CN"/>
                    </w:rPr>
                  </w:pPr>
                  <w:r>
                    <w:rPr>
                      <w:rFonts w:hint="eastAsia" w:ascii="Times New Roman" w:hAnsi="Times New Roman" w:eastAsia="Times New Roman" w:cs="Times New Roman"/>
                      <w:b/>
                      <w:bCs/>
                      <w:color w:val="auto"/>
                      <w:sz w:val="21"/>
                      <w:szCs w:val="21"/>
                      <w:highlight w:val="none"/>
                      <w:u w:val="single"/>
                      <w:lang w:eastAsia="zh-CN"/>
                    </w:rPr>
                    <w:t>南乐县产业集聚区污水处理</w:t>
                  </w:r>
                </w:p>
                <w:p w14:paraId="63D6A95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Times New Roman" w:cs="Times New Roman"/>
                      <w:b/>
                      <w:bCs/>
                      <w:color w:val="auto"/>
                      <w:sz w:val="21"/>
                      <w:szCs w:val="21"/>
                      <w:highlight w:val="none"/>
                      <w:u w:val="single"/>
                      <w:vertAlign w:val="baseline"/>
                      <w:lang w:eastAsia="zh-CN"/>
                    </w:rPr>
                  </w:pPr>
                  <w:r>
                    <w:rPr>
                      <w:rFonts w:hint="eastAsia" w:ascii="Times New Roman" w:hAnsi="Times New Roman" w:eastAsia="Times New Roman" w:cs="Times New Roman"/>
                      <w:b/>
                      <w:bCs/>
                      <w:color w:val="auto"/>
                      <w:sz w:val="21"/>
                      <w:szCs w:val="21"/>
                      <w:highlight w:val="none"/>
                      <w:u w:val="single"/>
                      <w:lang w:eastAsia="zh-CN"/>
                    </w:rPr>
                    <w:t>厂</w:t>
                  </w:r>
                </w:p>
              </w:tc>
              <w:tc>
                <w:tcPr>
                  <w:tcW w:w="981" w:type="dxa"/>
                  <w:vMerge w:val="restart"/>
                  <w:tcBorders>
                    <w:tl2br w:val="nil"/>
                    <w:tr2bl w:val="nil"/>
                  </w:tcBorders>
                  <w:noWrap w:val="0"/>
                  <w:vAlign w:val="center"/>
                </w:tcPr>
                <w:p w14:paraId="3161928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Times New Roman" w:cs="Times New Roman"/>
                      <w:b/>
                      <w:bCs/>
                      <w:color w:val="auto"/>
                      <w:sz w:val="21"/>
                      <w:szCs w:val="21"/>
                      <w:highlight w:val="none"/>
                      <w:u w:val="single"/>
                      <w:vertAlign w:val="baseline"/>
                      <w:lang w:eastAsia="zh-CN"/>
                    </w:rPr>
                  </w:pPr>
                  <w:r>
                    <w:rPr>
                      <w:rFonts w:hint="default" w:ascii="Times New Roman" w:hAnsi="Times New Roman" w:eastAsia="Times New Roman" w:cs="Times New Roman"/>
                      <w:b/>
                      <w:bCs/>
                      <w:color w:val="auto"/>
                      <w:sz w:val="21"/>
                      <w:szCs w:val="21"/>
                      <w:highlight w:val="none"/>
                      <w:u w:val="single"/>
                      <w:vertAlign w:val="baseline"/>
                      <w:lang w:eastAsia="zh-CN"/>
                    </w:rPr>
                    <w:t>间断排放，排放期间流量不稳定且无规律，但不属于冲击型排放</w:t>
                  </w:r>
                </w:p>
              </w:tc>
              <w:tc>
                <w:tcPr>
                  <w:tcW w:w="646" w:type="dxa"/>
                  <w:vMerge w:val="restart"/>
                  <w:tcBorders>
                    <w:tl2br w:val="nil"/>
                    <w:tr2bl w:val="nil"/>
                  </w:tcBorders>
                  <w:noWrap w:val="0"/>
                  <w:vAlign w:val="center"/>
                </w:tcPr>
                <w:p w14:paraId="0E695E6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default" w:ascii="Times New Roman" w:hAnsi="Times New Roman" w:cs="Times New Roman"/>
                      <w:b/>
                      <w:bCs/>
                      <w:color w:val="auto"/>
                      <w:sz w:val="21"/>
                      <w:szCs w:val="21"/>
                      <w:highlight w:val="none"/>
                      <w:u w:val="single"/>
                      <w:vertAlign w:val="baseline"/>
                      <w:lang w:val="en-US" w:eastAsia="zh-CN"/>
                    </w:rPr>
                    <w:t>/</w:t>
                  </w:r>
                </w:p>
              </w:tc>
              <w:tc>
                <w:tcPr>
                  <w:tcW w:w="715" w:type="dxa"/>
                  <w:vMerge w:val="restart"/>
                  <w:tcBorders>
                    <w:tl2br w:val="nil"/>
                    <w:tr2bl w:val="nil"/>
                  </w:tcBorders>
                  <w:noWrap w:val="0"/>
                  <w:vAlign w:val="center"/>
                </w:tcPr>
                <w:p w14:paraId="7B472AA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eastAsia="Times New Roman" w:cs="Times New Roman"/>
                      <w:b/>
                      <w:bCs/>
                      <w:color w:val="auto"/>
                      <w:sz w:val="21"/>
                      <w:szCs w:val="21"/>
                      <w:highlight w:val="none"/>
                      <w:u w:val="single"/>
                      <w:lang w:eastAsia="zh-CN"/>
                    </w:rPr>
                  </w:pPr>
                  <w:r>
                    <w:rPr>
                      <w:rFonts w:hint="eastAsia" w:ascii="Times New Roman" w:hAnsi="Times New Roman" w:eastAsia="Times New Roman" w:cs="Times New Roman"/>
                      <w:b/>
                      <w:bCs/>
                      <w:color w:val="auto"/>
                      <w:sz w:val="21"/>
                      <w:szCs w:val="21"/>
                      <w:highlight w:val="none"/>
                      <w:u w:val="single"/>
                      <w:lang w:eastAsia="zh-CN"/>
                    </w:rPr>
                    <w:t>南乐县产业集聚区污水处理</w:t>
                  </w:r>
                </w:p>
                <w:p w14:paraId="145C14F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eastAsia" w:ascii="Times New Roman" w:hAnsi="Times New Roman" w:eastAsia="Times New Roman" w:cs="Times New Roman"/>
                      <w:b/>
                      <w:bCs/>
                      <w:color w:val="auto"/>
                      <w:sz w:val="21"/>
                      <w:szCs w:val="21"/>
                      <w:highlight w:val="none"/>
                      <w:u w:val="single"/>
                      <w:lang w:eastAsia="zh-CN"/>
                    </w:rPr>
                    <w:t>厂</w:t>
                  </w:r>
                </w:p>
              </w:tc>
              <w:tc>
                <w:tcPr>
                  <w:tcW w:w="773" w:type="dxa"/>
                  <w:tcBorders>
                    <w:tl2br w:val="nil"/>
                    <w:tr2bl w:val="nil"/>
                  </w:tcBorders>
                  <w:noWrap w:val="0"/>
                  <w:vAlign w:val="center"/>
                </w:tcPr>
                <w:p w14:paraId="43221EB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default" w:ascii="Times New Roman" w:hAnsi="Times New Roman" w:cs="Times New Roman"/>
                      <w:b/>
                      <w:bCs/>
                      <w:color w:val="auto"/>
                      <w:sz w:val="21"/>
                      <w:szCs w:val="21"/>
                      <w:highlight w:val="none"/>
                      <w:u w:val="single"/>
                      <w:vertAlign w:val="baseline"/>
                      <w:lang w:val="en-US" w:eastAsia="zh-CN"/>
                    </w:rPr>
                    <w:t>COD</w:t>
                  </w:r>
                </w:p>
              </w:tc>
              <w:tc>
                <w:tcPr>
                  <w:tcW w:w="1101" w:type="dxa"/>
                  <w:tcBorders>
                    <w:tl2br w:val="nil"/>
                    <w:tr2bl w:val="nil"/>
                  </w:tcBorders>
                  <w:noWrap w:val="0"/>
                  <w:vAlign w:val="center"/>
                </w:tcPr>
                <w:p w14:paraId="1215061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Times New Roman" w:cs="Times New Roman"/>
                      <w:b/>
                      <w:bCs/>
                      <w:color w:val="auto"/>
                      <w:sz w:val="21"/>
                      <w:szCs w:val="21"/>
                      <w:highlight w:val="none"/>
                      <w:u w:val="single"/>
                      <w:vertAlign w:val="baseline"/>
                      <w:lang w:val="en-US" w:eastAsia="zh-CN"/>
                    </w:rPr>
                  </w:pPr>
                  <w:r>
                    <w:rPr>
                      <w:rFonts w:hint="default" w:ascii="Times New Roman" w:hAnsi="Times New Roman" w:eastAsia="Times New Roman" w:cs="Times New Roman"/>
                      <w:b/>
                      <w:bCs/>
                      <w:color w:val="auto"/>
                      <w:sz w:val="21"/>
                      <w:szCs w:val="21"/>
                      <w:highlight w:val="none"/>
                      <w:u w:val="single"/>
                      <w:vertAlign w:val="baseline"/>
                      <w:lang w:val="en-US" w:eastAsia="zh-CN"/>
                    </w:rPr>
                    <w:t>40</w:t>
                  </w:r>
                </w:p>
              </w:tc>
            </w:tr>
            <w:tr w14:paraId="16485CD9">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526" w:type="dxa"/>
                  <w:vMerge w:val="continue"/>
                  <w:tcBorders>
                    <w:tl2br w:val="nil"/>
                    <w:tr2bl w:val="nil"/>
                  </w:tcBorders>
                  <w:noWrap w:val="0"/>
                  <w:vAlign w:val="center"/>
                </w:tcPr>
                <w:p w14:paraId="01553DC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p>
              </w:tc>
              <w:tc>
                <w:tcPr>
                  <w:tcW w:w="797" w:type="dxa"/>
                  <w:vMerge w:val="continue"/>
                  <w:tcBorders>
                    <w:tl2br w:val="nil"/>
                    <w:tr2bl w:val="nil"/>
                  </w:tcBorders>
                  <w:noWrap w:val="0"/>
                  <w:vAlign w:val="center"/>
                </w:tcPr>
                <w:p w14:paraId="729B195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p>
              </w:tc>
              <w:tc>
                <w:tcPr>
                  <w:tcW w:w="692" w:type="dxa"/>
                  <w:vMerge w:val="continue"/>
                  <w:tcBorders>
                    <w:tl2br w:val="nil"/>
                    <w:tr2bl w:val="nil"/>
                  </w:tcBorders>
                  <w:noWrap w:val="0"/>
                  <w:vAlign w:val="center"/>
                </w:tcPr>
                <w:p w14:paraId="21E03C6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p>
              </w:tc>
              <w:tc>
                <w:tcPr>
                  <w:tcW w:w="831" w:type="dxa"/>
                  <w:vMerge w:val="continue"/>
                  <w:tcBorders>
                    <w:tl2br w:val="nil"/>
                    <w:tr2bl w:val="nil"/>
                  </w:tcBorders>
                  <w:noWrap w:val="0"/>
                  <w:vAlign w:val="center"/>
                </w:tcPr>
                <w:p w14:paraId="78ED70E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p>
              </w:tc>
              <w:tc>
                <w:tcPr>
                  <w:tcW w:w="738" w:type="dxa"/>
                  <w:vMerge w:val="continue"/>
                  <w:tcBorders>
                    <w:tl2br w:val="nil"/>
                    <w:tr2bl w:val="nil"/>
                  </w:tcBorders>
                  <w:noWrap w:val="0"/>
                  <w:vAlign w:val="center"/>
                </w:tcPr>
                <w:p w14:paraId="6ED44B0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lang w:eastAsia="zh-CN"/>
                    </w:rPr>
                  </w:pPr>
                </w:p>
              </w:tc>
              <w:tc>
                <w:tcPr>
                  <w:tcW w:w="981" w:type="dxa"/>
                  <w:vMerge w:val="continue"/>
                  <w:tcBorders>
                    <w:tl2br w:val="nil"/>
                    <w:tr2bl w:val="nil"/>
                  </w:tcBorders>
                  <w:noWrap w:val="0"/>
                  <w:vAlign w:val="center"/>
                </w:tcPr>
                <w:p w14:paraId="4BB1589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646" w:type="dxa"/>
                  <w:vMerge w:val="continue"/>
                  <w:tcBorders>
                    <w:tl2br w:val="nil"/>
                    <w:tr2bl w:val="nil"/>
                  </w:tcBorders>
                  <w:noWrap w:val="0"/>
                  <w:vAlign w:val="center"/>
                </w:tcPr>
                <w:p w14:paraId="63ADEBE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715" w:type="dxa"/>
                  <w:vMerge w:val="continue"/>
                  <w:tcBorders>
                    <w:tl2br w:val="nil"/>
                    <w:tr2bl w:val="nil"/>
                  </w:tcBorders>
                  <w:noWrap w:val="0"/>
                  <w:vAlign w:val="center"/>
                </w:tcPr>
                <w:p w14:paraId="76C1750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lang w:eastAsia="zh-CN"/>
                    </w:rPr>
                  </w:pPr>
                </w:p>
              </w:tc>
              <w:tc>
                <w:tcPr>
                  <w:tcW w:w="773" w:type="dxa"/>
                  <w:tcBorders>
                    <w:tl2br w:val="nil"/>
                    <w:tr2bl w:val="nil"/>
                  </w:tcBorders>
                  <w:noWrap w:val="0"/>
                  <w:vAlign w:val="center"/>
                </w:tcPr>
                <w:p w14:paraId="5A0B094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default" w:ascii="Times New Roman" w:hAnsi="Times New Roman" w:cs="Times New Roman"/>
                      <w:b/>
                      <w:bCs/>
                      <w:color w:val="auto"/>
                      <w:sz w:val="21"/>
                      <w:szCs w:val="21"/>
                      <w:highlight w:val="none"/>
                      <w:u w:val="single"/>
                      <w:vertAlign w:val="baseline"/>
                      <w:lang w:val="en-US" w:eastAsia="zh-CN"/>
                    </w:rPr>
                    <w:t>氨氮</w:t>
                  </w:r>
                </w:p>
              </w:tc>
              <w:tc>
                <w:tcPr>
                  <w:tcW w:w="1101" w:type="dxa"/>
                  <w:tcBorders>
                    <w:tl2br w:val="nil"/>
                    <w:tr2bl w:val="nil"/>
                  </w:tcBorders>
                  <w:noWrap w:val="0"/>
                  <w:vAlign w:val="center"/>
                </w:tcPr>
                <w:p w14:paraId="0217941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Times New Roman" w:cs="Times New Roman"/>
                      <w:b/>
                      <w:bCs/>
                      <w:color w:val="auto"/>
                      <w:sz w:val="21"/>
                      <w:szCs w:val="21"/>
                      <w:highlight w:val="none"/>
                      <w:u w:val="single"/>
                      <w:vertAlign w:val="baseline"/>
                      <w:lang w:val="en-US" w:eastAsia="zh-CN"/>
                    </w:rPr>
                  </w:pPr>
                  <w:r>
                    <w:rPr>
                      <w:rFonts w:hint="default" w:ascii="Times New Roman" w:hAnsi="Times New Roman" w:eastAsia="Times New Roman" w:cs="Times New Roman"/>
                      <w:b/>
                      <w:bCs/>
                      <w:color w:val="auto"/>
                      <w:szCs w:val="21"/>
                      <w:highlight w:val="none"/>
                      <w:u w:val="single"/>
                      <w:lang w:val="en-US" w:eastAsia="zh-CN"/>
                    </w:rPr>
                    <w:t>2</w:t>
                  </w:r>
                </w:p>
              </w:tc>
            </w:tr>
          </w:tbl>
          <w:p w14:paraId="1E0598B4">
            <w:pPr>
              <w:spacing w:line="520" w:lineRule="exact"/>
              <w:jc w:val="both"/>
              <w:rPr>
                <w:rFonts w:hint="eastAsia"/>
                <w:lang w:eastAsia="zh-CN"/>
              </w:rPr>
            </w:pPr>
            <w:r>
              <w:rPr>
                <w:rFonts w:hint="eastAsia" w:cs="Times New Roman"/>
                <w:color w:val="auto"/>
                <w:sz w:val="24"/>
                <w:szCs w:val="24"/>
                <w:highlight w:val="none"/>
                <w:lang w:val="en-US" w:eastAsia="zh-CN"/>
              </w:rPr>
              <w:t xml:space="preserve">  </w:t>
            </w:r>
            <w:r>
              <w:rPr>
                <w:rFonts w:hint="eastAsia" w:cs="Times New Roman"/>
                <w:b/>
                <w:bCs/>
                <w:color w:val="auto"/>
                <w:sz w:val="24"/>
                <w:szCs w:val="24"/>
                <w:highlight w:val="none"/>
                <w:u w:val="single"/>
                <w:lang w:eastAsia="zh-CN"/>
              </w:rPr>
              <w:t>③</w:t>
            </w:r>
            <w:r>
              <w:rPr>
                <w:rFonts w:hint="eastAsia" w:cs="Times New Roman"/>
                <w:b/>
                <w:bCs/>
                <w:color w:val="auto"/>
                <w:sz w:val="24"/>
                <w:szCs w:val="24"/>
                <w:highlight w:val="none"/>
                <w:u w:val="single"/>
                <w:lang w:val="en-US" w:eastAsia="zh-CN"/>
              </w:rPr>
              <w:t xml:space="preserve"> </w:t>
            </w:r>
            <w:r>
              <w:rPr>
                <w:rFonts w:hint="eastAsia" w:cs="Times New Roman"/>
                <w:b/>
                <w:bCs/>
                <w:color w:val="auto"/>
                <w:sz w:val="24"/>
                <w:szCs w:val="24"/>
                <w:highlight w:val="none"/>
                <w:u w:val="single"/>
                <w:lang w:eastAsia="zh-CN"/>
              </w:rPr>
              <w:t>废水污染物排放执行标准</w:t>
            </w:r>
          </w:p>
          <w:p w14:paraId="4F9C1F92">
            <w:pPr>
              <w:adjustRightInd w:val="0"/>
              <w:spacing w:line="360" w:lineRule="auto"/>
              <w:jc w:val="center"/>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eastAsia="宋体" w:cs="Times New Roman"/>
                <w:b/>
                <w:bCs/>
                <w:kern w:val="2"/>
                <w:sz w:val="21"/>
                <w:szCs w:val="21"/>
                <w:u w:val="single"/>
                <w:lang w:val="en-US" w:eastAsia="zh-CN" w:bidi="ar-SA"/>
              </w:rPr>
              <w:t>表4-</w:t>
            </w:r>
            <w:r>
              <w:rPr>
                <w:rFonts w:hint="eastAsia" w:cs="Times New Roman"/>
                <w:b/>
                <w:bCs/>
                <w:kern w:val="2"/>
                <w:sz w:val="21"/>
                <w:szCs w:val="21"/>
                <w:u w:val="single"/>
                <w:lang w:val="en-US" w:eastAsia="zh-CN" w:bidi="ar-SA"/>
              </w:rPr>
              <w:t>11</w:t>
            </w:r>
            <w:r>
              <w:rPr>
                <w:rFonts w:hint="eastAsia" w:ascii="Times New Roman" w:hAnsi="Times New Roman" w:eastAsia="宋体" w:cs="Times New Roman"/>
                <w:b/>
                <w:bCs/>
                <w:kern w:val="2"/>
                <w:sz w:val="21"/>
                <w:szCs w:val="21"/>
                <w:u w:val="single"/>
                <w:lang w:val="en-US" w:eastAsia="zh-CN" w:bidi="ar-SA"/>
              </w:rPr>
              <w:t xml:space="preserve">  废水污染物排放执行标准表</w:t>
            </w:r>
          </w:p>
          <w:tbl>
            <w:tblPr>
              <w:tblStyle w:val="16"/>
              <w:tblW w:w="7676" w:type="dxa"/>
              <w:tblInd w:w="22" w:type="dxa"/>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960"/>
              <w:gridCol w:w="960"/>
              <w:gridCol w:w="3714"/>
              <w:gridCol w:w="2042"/>
            </w:tblGrid>
            <w:tr w14:paraId="6830BE54">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60" w:type="dxa"/>
                  <w:vMerge w:val="restart"/>
                  <w:tcBorders>
                    <w:tl2br w:val="nil"/>
                    <w:tr2bl w:val="nil"/>
                  </w:tcBorders>
                  <w:noWrap w:val="0"/>
                  <w:vAlign w:val="center"/>
                </w:tcPr>
                <w:p w14:paraId="0DA80E7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排放口编号</w:t>
                  </w:r>
                </w:p>
              </w:tc>
              <w:tc>
                <w:tcPr>
                  <w:tcW w:w="960" w:type="dxa"/>
                  <w:vMerge w:val="restart"/>
                  <w:tcBorders>
                    <w:tl2br w:val="nil"/>
                    <w:tr2bl w:val="nil"/>
                  </w:tcBorders>
                  <w:noWrap w:val="0"/>
                  <w:vAlign w:val="center"/>
                </w:tcPr>
                <w:p w14:paraId="2FB95B57">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污染物种类</w:t>
                  </w:r>
                </w:p>
              </w:tc>
              <w:tc>
                <w:tcPr>
                  <w:tcW w:w="5756" w:type="dxa"/>
                  <w:gridSpan w:val="2"/>
                  <w:tcBorders>
                    <w:tl2br w:val="nil"/>
                    <w:tr2bl w:val="nil"/>
                  </w:tcBorders>
                  <w:noWrap w:val="0"/>
                  <w:vAlign w:val="center"/>
                </w:tcPr>
                <w:p w14:paraId="313206E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国家或地方污染物排放标准及其他按规定商定的</w:t>
                  </w:r>
                </w:p>
                <w:p w14:paraId="53BBA81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排放协议</w:t>
                  </w:r>
                </w:p>
              </w:tc>
            </w:tr>
            <w:tr w14:paraId="784DE5F1">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960" w:type="dxa"/>
                  <w:vMerge w:val="continue"/>
                  <w:tcBorders>
                    <w:tl2br w:val="nil"/>
                    <w:tr2bl w:val="nil"/>
                  </w:tcBorders>
                  <w:noWrap w:val="0"/>
                  <w:vAlign w:val="center"/>
                </w:tcPr>
                <w:p w14:paraId="12A6135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960" w:type="dxa"/>
                  <w:vMerge w:val="continue"/>
                  <w:tcBorders>
                    <w:tl2br w:val="nil"/>
                    <w:tr2bl w:val="nil"/>
                  </w:tcBorders>
                  <w:noWrap w:val="0"/>
                  <w:vAlign w:val="center"/>
                </w:tcPr>
                <w:p w14:paraId="52CB1731">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3714" w:type="dxa"/>
                  <w:tcBorders>
                    <w:tl2br w:val="nil"/>
                    <w:tr2bl w:val="nil"/>
                  </w:tcBorders>
                  <w:noWrap w:val="0"/>
                  <w:vAlign w:val="center"/>
                </w:tcPr>
                <w:p w14:paraId="3867BA0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名称</w:t>
                  </w:r>
                </w:p>
              </w:tc>
              <w:tc>
                <w:tcPr>
                  <w:tcW w:w="2042" w:type="dxa"/>
                  <w:tcBorders>
                    <w:tl2br w:val="nil"/>
                    <w:tr2bl w:val="nil"/>
                  </w:tcBorders>
                  <w:noWrap w:val="0"/>
                  <w:vAlign w:val="center"/>
                </w:tcPr>
                <w:p w14:paraId="4AC936CF">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浓度限值（</w:t>
                  </w:r>
                  <w:r>
                    <w:rPr>
                      <w:rFonts w:hint="default" w:ascii="Times New Roman" w:hAnsi="Times New Roman" w:cs="Times New Roman"/>
                      <w:b/>
                      <w:bCs/>
                      <w:color w:val="auto"/>
                      <w:sz w:val="21"/>
                      <w:szCs w:val="21"/>
                      <w:highlight w:val="none"/>
                      <w:u w:val="single"/>
                      <w:vertAlign w:val="baseline"/>
                      <w:lang w:val="en-US" w:eastAsia="zh-CN"/>
                    </w:rPr>
                    <w:t>mg/L</w:t>
                  </w:r>
                  <w:r>
                    <w:rPr>
                      <w:rFonts w:hint="default" w:ascii="Times New Roman" w:hAnsi="Times New Roman" w:cs="Times New Roman"/>
                      <w:b/>
                      <w:bCs/>
                      <w:color w:val="auto"/>
                      <w:sz w:val="21"/>
                      <w:szCs w:val="21"/>
                      <w:highlight w:val="none"/>
                      <w:u w:val="single"/>
                      <w:vertAlign w:val="baseline"/>
                      <w:lang w:eastAsia="zh-CN"/>
                    </w:rPr>
                    <w:t>）</w:t>
                  </w:r>
                </w:p>
              </w:tc>
            </w:tr>
            <w:tr w14:paraId="2DFCEBAB">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960" w:type="dxa"/>
                  <w:vMerge w:val="restart"/>
                  <w:tcBorders>
                    <w:tl2br w:val="nil"/>
                    <w:tr2bl w:val="nil"/>
                  </w:tcBorders>
                  <w:noWrap w:val="0"/>
                  <w:vAlign w:val="center"/>
                </w:tcPr>
                <w:p w14:paraId="3D3E8B1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eastAsia" w:cs="Times New Roman"/>
                      <w:b/>
                      <w:bCs/>
                      <w:color w:val="auto"/>
                      <w:sz w:val="21"/>
                      <w:szCs w:val="21"/>
                      <w:highlight w:val="none"/>
                      <w:u w:val="single"/>
                      <w:vertAlign w:val="baseline"/>
                      <w:lang w:val="en-US" w:eastAsia="zh-CN"/>
                    </w:rPr>
                    <w:t>D</w:t>
                  </w:r>
                  <w:r>
                    <w:rPr>
                      <w:rFonts w:hint="default" w:ascii="Times New Roman" w:hAnsi="Times New Roman" w:cs="Times New Roman"/>
                      <w:b/>
                      <w:bCs/>
                      <w:color w:val="auto"/>
                      <w:sz w:val="21"/>
                      <w:szCs w:val="21"/>
                      <w:highlight w:val="none"/>
                      <w:u w:val="single"/>
                      <w:vertAlign w:val="baseline"/>
                      <w:lang w:val="en-US" w:eastAsia="zh-CN"/>
                    </w:rPr>
                    <w:t>W001</w:t>
                  </w:r>
                </w:p>
              </w:tc>
              <w:tc>
                <w:tcPr>
                  <w:tcW w:w="960" w:type="dxa"/>
                  <w:tcBorders>
                    <w:tl2br w:val="nil"/>
                    <w:tr2bl w:val="nil"/>
                  </w:tcBorders>
                  <w:noWrap w:val="0"/>
                  <w:vAlign w:val="center"/>
                </w:tcPr>
                <w:p w14:paraId="09075BB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COD</w:t>
                  </w:r>
                </w:p>
              </w:tc>
              <w:tc>
                <w:tcPr>
                  <w:tcW w:w="3714" w:type="dxa"/>
                  <w:vMerge w:val="restart"/>
                  <w:tcBorders>
                    <w:tl2br w:val="nil"/>
                    <w:tr2bl w:val="nil"/>
                  </w:tcBorders>
                  <w:noWrap w:val="0"/>
                  <w:vAlign w:val="center"/>
                </w:tcPr>
                <w:p w14:paraId="0551DD92">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eastAsia="宋体" w:cs="Times New Roman"/>
                      <w:b/>
                      <w:bCs/>
                      <w:color w:val="auto"/>
                      <w:kern w:val="0"/>
                      <w:sz w:val="21"/>
                      <w:szCs w:val="21"/>
                      <w:u w:val="single"/>
                      <w:lang w:val="en-US" w:eastAsia="zh-CN" w:bidi="ar"/>
                    </w:rPr>
                    <w:t>《污水综合排放标准》（GB8978-1996）表4三级标准和</w:t>
                  </w:r>
                  <w:r>
                    <w:rPr>
                      <w:rFonts w:hint="eastAsia" w:eastAsia="Times New Roman" w:cs="Times New Roman"/>
                      <w:b/>
                      <w:bCs/>
                      <w:color w:val="auto"/>
                      <w:sz w:val="21"/>
                      <w:szCs w:val="21"/>
                      <w:highlight w:val="none"/>
                      <w:u w:val="single"/>
                      <w:lang w:eastAsia="zh-CN"/>
                    </w:rPr>
                    <w:t>南乐县城污水处理厂</w:t>
                  </w:r>
                </w:p>
              </w:tc>
              <w:tc>
                <w:tcPr>
                  <w:tcW w:w="2042" w:type="dxa"/>
                  <w:tcBorders>
                    <w:tl2br w:val="nil"/>
                    <w:tr2bl w:val="nil"/>
                  </w:tcBorders>
                  <w:noWrap w:val="0"/>
                  <w:vAlign w:val="center"/>
                </w:tcPr>
                <w:p w14:paraId="6F77402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color w:val="auto"/>
                      <w:kern w:val="0"/>
                      <w:sz w:val="21"/>
                      <w:szCs w:val="21"/>
                      <w:highlight w:val="none"/>
                      <w:u w:val="single"/>
                      <w:vertAlign w:val="baseline"/>
                      <w:lang w:val="en-US" w:eastAsia="zh-CN" w:bidi="ar"/>
                    </w:rPr>
                  </w:pPr>
                  <w:r>
                    <w:rPr>
                      <w:rFonts w:hint="eastAsia" w:cs="Times New Roman"/>
                      <w:b/>
                      <w:bCs/>
                      <w:color w:val="auto"/>
                      <w:kern w:val="0"/>
                      <w:sz w:val="21"/>
                      <w:szCs w:val="21"/>
                      <w:highlight w:val="none"/>
                      <w:u w:val="single"/>
                      <w:vertAlign w:val="baseline"/>
                      <w:lang w:val="en-US" w:eastAsia="zh-CN" w:bidi="ar"/>
                    </w:rPr>
                    <w:t>500</w:t>
                  </w:r>
                </w:p>
              </w:tc>
            </w:tr>
            <w:tr w14:paraId="1A3C5D32">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41" w:hRule="atLeast"/>
              </w:trPr>
              <w:tc>
                <w:tcPr>
                  <w:tcW w:w="960" w:type="dxa"/>
                  <w:vMerge w:val="continue"/>
                  <w:tcBorders>
                    <w:tl2br w:val="nil"/>
                    <w:tr2bl w:val="nil"/>
                  </w:tcBorders>
                  <w:noWrap w:val="0"/>
                  <w:vAlign w:val="center"/>
                </w:tcPr>
                <w:p w14:paraId="36F807F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960" w:type="dxa"/>
                  <w:tcBorders>
                    <w:tl2br w:val="nil"/>
                    <w:tr2bl w:val="nil"/>
                  </w:tcBorders>
                  <w:noWrap w:val="0"/>
                  <w:vAlign w:val="center"/>
                </w:tcPr>
                <w:p w14:paraId="022060ED">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NH3-N</w:t>
                  </w:r>
                </w:p>
              </w:tc>
              <w:tc>
                <w:tcPr>
                  <w:tcW w:w="3714" w:type="dxa"/>
                  <w:vMerge w:val="continue"/>
                  <w:tcBorders>
                    <w:tl2br w:val="nil"/>
                    <w:tr2bl w:val="nil"/>
                  </w:tcBorders>
                  <w:noWrap w:val="0"/>
                  <w:vAlign w:val="center"/>
                </w:tcPr>
                <w:p w14:paraId="3C16D29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2042" w:type="dxa"/>
                  <w:tcBorders>
                    <w:tl2br w:val="nil"/>
                    <w:tr2bl w:val="nil"/>
                  </w:tcBorders>
                  <w:noWrap w:val="0"/>
                  <w:vAlign w:val="center"/>
                </w:tcPr>
                <w:p w14:paraId="713409FE">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eastAsia="宋体" w:cs="Times New Roman"/>
                      <w:b/>
                      <w:bCs/>
                      <w:color w:val="auto"/>
                      <w:kern w:val="0"/>
                      <w:sz w:val="21"/>
                      <w:szCs w:val="21"/>
                      <w:highlight w:val="none"/>
                      <w:u w:val="single"/>
                      <w:vertAlign w:val="baseline"/>
                      <w:lang w:val="en-US" w:eastAsia="zh-CN" w:bidi="ar"/>
                    </w:rPr>
                  </w:pPr>
                  <w:r>
                    <w:rPr>
                      <w:rFonts w:hint="default" w:ascii="Times New Roman" w:hAnsi="Times New Roman" w:eastAsia="宋体" w:cs="Times New Roman"/>
                      <w:b/>
                      <w:bCs/>
                      <w:color w:val="auto"/>
                      <w:kern w:val="0"/>
                      <w:sz w:val="21"/>
                      <w:szCs w:val="21"/>
                      <w:highlight w:val="none"/>
                      <w:u w:val="single"/>
                      <w:vertAlign w:val="baseline"/>
                      <w:lang w:val="en-US" w:eastAsia="zh-CN" w:bidi="ar"/>
                    </w:rPr>
                    <w:t>30</w:t>
                  </w:r>
                </w:p>
              </w:tc>
            </w:tr>
          </w:tbl>
          <w:p w14:paraId="180694B0">
            <w:pPr>
              <w:keepNext w:val="0"/>
              <w:keepLines w:val="0"/>
              <w:pageBreakBefore w:val="0"/>
              <w:widowControl w:val="0"/>
              <w:kinsoku/>
              <w:wordWrap/>
              <w:overflowPunct/>
              <w:topLinePunct w:val="0"/>
              <w:autoSpaceDE/>
              <w:autoSpaceDN/>
              <w:bidi w:val="0"/>
              <w:adjustRightInd/>
              <w:snapToGrid/>
              <w:spacing w:line="520" w:lineRule="exact"/>
              <w:ind w:right="0" w:rightChars="0" w:firstLine="482" w:firstLineChars="200"/>
              <w:jc w:val="left"/>
              <w:textAlignment w:val="auto"/>
              <w:outlineLvl w:val="9"/>
              <w:rPr>
                <w:rFonts w:hint="eastAsia" w:cs="Times New Roman"/>
                <w:b/>
                <w:bCs/>
                <w:color w:val="auto"/>
                <w:sz w:val="24"/>
                <w:szCs w:val="24"/>
                <w:highlight w:val="none"/>
                <w:u w:val="single"/>
                <w:lang w:eastAsia="zh-CN"/>
              </w:rPr>
            </w:pPr>
            <w:r>
              <w:rPr>
                <w:rFonts w:hint="eastAsia" w:cs="Times New Roman"/>
                <w:b/>
                <w:bCs/>
                <w:color w:val="auto"/>
                <w:sz w:val="24"/>
                <w:szCs w:val="24"/>
                <w:highlight w:val="none"/>
                <w:u w:val="single"/>
                <w:lang w:eastAsia="zh-CN"/>
              </w:rPr>
              <w:t>④</w:t>
            </w:r>
            <w:r>
              <w:rPr>
                <w:rFonts w:hint="eastAsia" w:cs="Times New Roman"/>
                <w:b/>
                <w:bCs/>
                <w:color w:val="auto"/>
                <w:sz w:val="24"/>
                <w:szCs w:val="24"/>
                <w:highlight w:val="none"/>
                <w:u w:val="single"/>
                <w:lang w:val="en-US" w:eastAsia="zh-CN"/>
              </w:rPr>
              <w:t xml:space="preserve"> </w:t>
            </w:r>
            <w:r>
              <w:rPr>
                <w:rFonts w:hint="eastAsia" w:cs="Times New Roman"/>
                <w:b/>
                <w:bCs/>
                <w:color w:val="auto"/>
                <w:sz w:val="24"/>
                <w:szCs w:val="24"/>
                <w:highlight w:val="none"/>
                <w:u w:val="single"/>
                <w:lang w:eastAsia="zh-CN"/>
              </w:rPr>
              <w:t>废水污染物排放信息表</w:t>
            </w:r>
          </w:p>
          <w:p w14:paraId="475C5233">
            <w:pPr>
              <w:keepNext w:val="0"/>
              <w:keepLines w:val="0"/>
              <w:pageBreakBefore w:val="0"/>
              <w:widowControl w:val="0"/>
              <w:kinsoku/>
              <w:wordWrap/>
              <w:overflowPunct/>
              <w:topLinePunct w:val="0"/>
              <w:autoSpaceDE/>
              <w:autoSpaceDN/>
              <w:bidi w:val="0"/>
              <w:adjustRightInd/>
              <w:snapToGrid/>
              <w:spacing w:line="520" w:lineRule="exact"/>
              <w:ind w:right="0" w:rightChars="0" w:firstLine="422" w:firstLineChars="200"/>
              <w:jc w:val="center"/>
              <w:textAlignment w:val="auto"/>
              <w:outlineLvl w:val="9"/>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eastAsia="宋体" w:cs="Times New Roman"/>
                <w:b/>
                <w:bCs/>
                <w:kern w:val="2"/>
                <w:sz w:val="21"/>
                <w:szCs w:val="21"/>
                <w:u w:val="single"/>
                <w:lang w:val="en-US" w:eastAsia="zh-CN" w:bidi="ar-SA"/>
              </w:rPr>
              <w:t>表4-</w:t>
            </w:r>
            <w:r>
              <w:rPr>
                <w:rFonts w:hint="eastAsia" w:ascii="Times New Roman" w:hAnsi="Times New Roman" w:cs="Times New Roman"/>
                <w:b/>
                <w:bCs/>
                <w:kern w:val="2"/>
                <w:sz w:val="21"/>
                <w:szCs w:val="21"/>
                <w:u w:val="single"/>
                <w:lang w:val="en-US" w:eastAsia="zh-CN" w:bidi="ar-SA"/>
              </w:rPr>
              <w:t>1</w:t>
            </w:r>
            <w:r>
              <w:rPr>
                <w:rFonts w:hint="eastAsia" w:cs="Times New Roman"/>
                <w:b/>
                <w:bCs/>
                <w:kern w:val="2"/>
                <w:sz w:val="21"/>
                <w:szCs w:val="21"/>
                <w:u w:val="single"/>
                <w:lang w:val="en-US" w:eastAsia="zh-CN" w:bidi="ar-SA"/>
              </w:rPr>
              <w:t>2</w:t>
            </w:r>
            <w:r>
              <w:rPr>
                <w:rFonts w:hint="eastAsia" w:ascii="Times New Roman" w:hAnsi="Times New Roman" w:eastAsia="宋体" w:cs="Times New Roman"/>
                <w:b/>
                <w:bCs/>
                <w:kern w:val="2"/>
                <w:sz w:val="21"/>
                <w:szCs w:val="21"/>
                <w:u w:val="single"/>
                <w:lang w:val="en-US" w:eastAsia="zh-CN" w:bidi="ar-SA"/>
              </w:rPr>
              <w:t xml:space="preserve"> 废水污染物排放信息表</w:t>
            </w:r>
          </w:p>
          <w:tbl>
            <w:tblPr>
              <w:tblStyle w:val="17"/>
              <w:tblW w:w="0" w:type="auto"/>
              <w:jc w:val="center"/>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308"/>
              <w:gridCol w:w="1104"/>
              <w:gridCol w:w="1736"/>
              <w:gridCol w:w="1355"/>
              <w:gridCol w:w="1911"/>
            </w:tblGrid>
            <w:tr w14:paraId="0BA75EAD">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tcBorders>
                    <w:tl2br w:val="nil"/>
                    <w:tr2bl w:val="nil"/>
                  </w:tcBorders>
                  <w:noWrap w:val="0"/>
                  <w:vAlign w:val="center"/>
                </w:tcPr>
                <w:p w14:paraId="462B526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排放口编号</w:t>
                  </w:r>
                </w:p>
              </w:tc>
              <w:tc>
                <w:tcPr>
                  <w:tcW w:w="1104" w:type="dxa"/>
                  <w:tcBorders>
                    <w:tl2br w:val="nil"/>
                    <w:tr2bl w:val="nil"/>
                  </w:tcBorders>
                  <w:noWrap w:val="0"/>
                  <w:vAlign w:val="center"/>
                </w:tcPr>
                <w:p w14:paraId="242709A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污染物</w:t>
                  </w:r>
                </w:p>
                <w:p w14:paraId="4CFEE83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种类</w:t>
                  </w:r>
                </w:p>
              </w:tc>
              <w:tc>
                <w:tcPr>
                  <w:tcW w:w="1736" w:type="dxa"/>
                  <w:tcBorders>
                    <w:tl2br w:val="nil"/>
                    <w:tr2bl w:val="nil"/>
                  </w:tcBorders>
                  <w:noWrap w:val="0"/>
                  <w:vAlign w:val="center"/>
                </w:tcPr>
                <w:p w14:paraId="0F522DD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eastAsia" w:cs="Times New Roman"/>
                      <w:b/>
                      <w:bCs/>
                      <w:color w:val="auto"/>
                      <w:sz w:val="21"/>
                      <w:szCs w:val="21"/>
                      <w:highlight w:val="none"/>
                      <w:u w:val="single"/>
                      <w:vertAlign w:val="baseline"/>
                      <w:lang w:val="en-US" w:eastAsia="zh-CN"/>
                    </w:rPr>
                    <w:t>总量控制</w:t>
                  </w:r>
                  <w:r>
                    <w:rPr>
                      <w:rFonts w:hint="default" w:ascii="Times New Roman" w:hAnsi="Times New Roman" w:cs="Times New Roman"/>
                      <w:b/>
                      <w:bCs/>
                      <w:color w:val="auto"/>
                      <w:sz w:val="21"/>
                      <w:szCs w:val="21"/>
                      <w:highlight w:val="none"/>
                      <w:u w:val="single"/>
                      <w:vertAlign w:val="baseline"/>
                      <w:lang w:eastAsia="zh-CN"/>
                    </w:rPr>
                    <w:t>排放浓度（</w:t>
                  </w:r>
                  <w:r>
                    <w:rPr>
                      <w:rFonts w:hint="default" w:ascii="Times New Roman" w:hAnsi="Times New Roman" w:cs="Times New Roman"/>
                      <w:b/>
                      <w:bCs/>
                      <w:color w:val="auto"/>
                      <w:sz w:val="21"/>
                      <w:szCs w:val="21"/>
                      <w:highlight w:val="none"/>
                      <w:u w:val="single"/>
                      <w:vertAlign w:val="baseline"/>
                      <w:lang w:val="en-US" w:eastAsia="zh-CN"/>
                    </w:rPr>
                    <w:t>mg/L</w:t>
                  </w:r>
                  <w:r>
                    <w:rPr>
                      <w:rFonts w:hint="default" w:ascii="Times New Roman" w:hAnsi="Times New Roman" w:cs="Times New Roman"/>
                      <w:b/>
                      <w:bCs/>
                      <w:color w:val="auto"/>
                      <w:sz w:val="21"/>
                      <w:szCs w:val="21"/>
                      <w:highlight w:val="none"/>
                      <w:u w:val="single"/>
                      <w:vertAlign w:val="baseline"/>
                      <w:lang w:eastAsia="zh-CN"/>
                    </w:rPr>
                    <w:t>）</w:t>
                  </w:r>
                </w:p>
              </w:tc>
              <w:tc>
                <w:tcPr>
                  <w:tcW w:w="1355" w:type="dxa"/>
                  <w:tcBorders>
                    <w:tl2br w:val="nil"/>
                    <w:tr2bl w:val="nil"/>
                  </w:tcBorders>
                  <w:noWrap w:val="0"/>
                  <w:vAlign w:val="center"/>
                </w:tcPr>
                <w:p w14:paraId="4FE3163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eastAsia"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废水年排</w:t>
                  </w:r>
                </w:p>
                <w:p w14:paraId="000A3426">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eastAsia" w:ascii="Times New Roman" w:hAnsi="Times New Roman" w:cs="Times New Roman"/>
                      <w:b/>
                      <w:bCs/>
                      <w:color w:val="auto"/>
                      <w:sz w:val="21"/>
                      <w:szCs w:val="21"/>
                      <w:highlight w:val="none"/>
                      <w:u w:val="single"/>
                      <w:vertAlign w:val="baseline"/>
                      <w:lang w:eastAsia="zh-CN"/>
                    </w:rPr>
                    <w:t>放量</w:t>
                  </w:r>
                  <w:r>
                    <w:rPr>
                      <w:rFonts w:hint="default" w:ascii="Times New Roman" w:hAnsi="Times New Roman" w:cs="Times New Roman"/>
                      <w:b/>
                      <w:bCs/>
                      <w:color w:val="auto"/>
                      <w:sz w:val="21"/>
                      <w:szCs w:val="21"/>
                      <w:highlight w:val="none"/>
                      <w:u w:val="single"/>
                      <w:vertAlign w:val="baseline"/>
                      <w:lang w:eastAsia="zh-CN"/>
                    </w:rPr>
                    <w:t>（</w:t>
                  </w:r>
                  <w:r>
                    <w:rPr>
                      <w:rFonts w:hint="default" w:ascii="Times New Roman" w:hAnsi="Times New Roman" w:cs="Times New Roman"/>
                      <w:b/>
                      <w:bCs/>
                      <w:color w:val="auto"/>
                      <w:sz w:val="21"/>
                      <w:szCs w:val="21"/>
                      <w:highlight w:val="none"/>
                      <w:u w:val="single"/>
                      <w:vertAlign w:val="baseline"/>
                      <w:lang w:val="en-US" w:eastAsia="zh-CN"/>
                    </w:rPr>
                    <w:t>t/a</w:t>
                  </w:r>
                  <w:r>
                    <w:rPr>
                      <w:rFonts w:hint="default" w:ascii="Times New Roman" w:hAnsi="Times New Roman" w:cs="Times New Roman"/>
                      <w:b/>
                      <w:bCs/>
                      <w:color w:val="auto"/>
                      <w:sz w:val="21"/>
                      <w:szCs w:val="21"/>
                      <w:highlight w:val="none"/>
                      <w:u w:val="single"/>
                      <w:vertAlign w:val="baseline"/>
                      <w:lang w:eastAsia="zh-CN"/>
                    </w:rPr>
                    <w:t>）</w:t>
                  </w:r>
                </w:p>
              </w:tc>
              <w:tc>
                <w:tcPr>
                  <w:tcW w:w="1911" w:type="dxa"/>
                  <w:tcBorders>
                    <w:tl2br w:val="nil"/>
                    <w:tr2bl w:val="nil"/>
                  </w:tcBorders>
                  <w:noWrap w:val="0"/>
                  <w:vAlign w:val="center"/>
                </w:tcPr>
                <w:p w14:paraId="7BE5C684">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年排放量</w:t>
                  </w:r>
                </w:p>
                <w:p w14:paraId="69452EA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r>
                    <w:rPr>
                      <w:rFonts w:hint="default" w:ascii="Times New Roman" w:hAnsi="Times New Roman" w:cs="Times New Roman"/>
                      <w:b/>
                      <w:bCs/>
                      <w:color w:val="auto"/>
                      <w:sz w:val="21"/>
                      <w:szCs w:val="21"/>
                      <w:highlight w:val="none"/>
                      <w:u w:val="single"/>
                      <w:vertAlign w:val="baseline"/>
                      <w:lang w:eastAsia="zh-CN"/>
                    </w:rPr>
                    <w:t>（</w:t>
                  </w:r>
                  <w:r>
                    <w:rPr>
                      <w:rFonts w:hint="default" w:ascii="Times New Roman" w:hAnsi="Times New Roman" w:cs="Times New Roman"/>
                      <w:b/>
                      <w:bCs/>
                      <w:color w:val="auto"/>
                      <w:sz w:val="21"/>
                      <w:szCs w:val="21"/>
                      <w:highlight w:val="none"/>
                      <w:u w:val="single"/>
                      <w:vertAlign w:val="baseline"/>
                      <w:lang w:val="en-US" w:eastAsia="zh-CN"/>
                    </w:rPr>
                    <w:t>t/a</w:t>
                  </w:r>
                  <w:r>
                    <w:rPr>
                      <w:rFonts w:hint="default" w:ascii="Times New Roman" w:hAnsi="Times New Roman" w:cs="Times New Roman"/>
                      <w:b/>
                      <w:bCs/>
                      <w:color w:val="auto"/>
                      <w:sz w:val="21"/>
                      <w:szCs w:val="21"/>
                      <w:highlight w:val="none"/>
                      <w:u w:val="single"/>
                      <w:vertAlign w:val="baseline"/>
                      <w:lang w:eastAsia="zh-CN"/>
                    </w:rPr>
                    <w:t>）</w:t>
                  </w:r>
                </w:p>
              </w:tc>
            </w:tr>
            <w:tr w14:paraId="1DD81F07">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308" w:type="dxa"/>
                  <w:vMerge w:val="restart"/>
                  <w:tcBorders>
                    <w:tl2br w:val="nil"/>
                    <w:tr2bl w:val="nil"/>
                  </w:tcBorders>
                  <w:noWrap w:val="0"/>
                  <w:vAlign w:val="center"/>
                </w:tcPr>
                <w:p w14:paraId="0325221C">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eastAsia" w:cs="Times New Roman"/>
                      <w:b/>
                      <w:bCs/>
                      <w:color w:val="auto"/>
                      <w:sz w:val="21"/>
                      <w:szCs w:val="21"/>
                      <w:highlight w:val="none"/>
                      <w:u w:val="single"/>
                      <w:vertAlign w:val="baseline"/>
                      <w:lang w:val="en-US" w:eastAsia="zh-CN"/>
                    </w:rPr>
                    <w:t>D</w:t>
                  </w:r>
                  <w:r>
                    <w:rPr>
                      <w:rFonts w:hint="default" w:ascii="Times New Roman" w:hAnsi="Times New Roman" w:cs="Times New Roman"/>
                      <w:b/>
                      <w:bCs/>
                      <w:color w:val="auto"/>
                      <w:sz w:val="21"/>
                      <w:szCs w:val="21"/>
                      <w:highlight w:val="none"/>
                      <w:u w:val="single"/>
                      <w:vertAlign w:val="baseline"/>
                      <w:lang w:val="en-US" w:eastAsia="zh-CN"/>
                    </w:rPr>
                    <w:t>W001</w:t>
                  </w:r>
                </w:p>
              </w:tc>
              <w:tc>
                <w:tcPr>
                  <w:tcW w:w="1104" w:type="dxa"/>
                  <w:tcBorders>
                    <w:tl2br w:val="nil"/>
                    <w:tr2bl w:val="nil"/>
                  </w:tcBorders>
                  <w:noWrap w:val="0"/>
                  <w:vAlign w:val="center"/>
                </w:tcPr>
                <w:p w14:paraId="151A0FD9">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COD</w:t>
                  </w:r>
                </w:p>
              </w:tc>
              <w:tc>
                <w:tcPr>
                  <w:tcW w:w="1736" w:type="dxa"/>
                  <w:tcBorders>
                    <w:tl2br w:val="nil"/>
                    <w:tr2bl w:val="nil"/>
                  </w:tcBorders>
                  <w:noWrap w:val="0"/>
                  <w:vAlign w:val="center"/>
                </w:tcPr>
                <w:p w14:paraId="6375CC3B">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red"/>
                      <w:u w:val="single"/>
                      <w:vertAlign w:val="baseline"/>
                      <w:lang w:val="en-US" w:eastAsia="zh-CN"/>
                    </w:rPr>
                  </w:pPr>
                  <w:r>
                    <w:rPr>
                      <w:rFonts w:hint="default" w:ascii="Times New Roman" w:hAnsi="Times New Roman" w:cs="Times New Roman"/>
                      <w:b/>
                      <w:bCs/>
                      <w:color w:val="auto"/>
                      <w:sz w:val="21"/>
                      <w:szCs w:val="21"/>
                      <w:highlight w:val="none"/>
                      <w:u w:val="single"/>
                      <w:vertAlign w:val="baseline"/>
                      <w:lang w:val="en-US" w:eastAsia="zh-CN"/>
                    </w:rPr>
                    <w:t>40</w:t>
                  </w:r>
                </w:p>
              </w:tc>
              <w:tc>
                <w:tcPr>
                  <w:tcW w:w="1355" w:type="dxa"/>
                  <w:vMerge w:val="restart"/>
                  <w:tcBorders>
                    <w:tl2br w:val="nil"/>
                    <w:tr2bl w:val="nil"/>
                  </w:tcBorders>
                  <w:noWrap w:val="0"/>
                  <w:vAlign w:val="center"/>
                </w:tcPr>
                <w:p w14:paraId="31CC4665">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eastAsia" w:cs="Times New Roman"/>
                      <w:b/>
                      <w:bCs/>
                      <w:color w:val="auto"/>
                      <w:sz w:val="21"/>
                      <w:szCs w:val="21"/>
                      <w:highlight w:val="none"/>
                      <w:u w:val="single"/>
                      <w:vertAlign w:val="baseline"/>
                      <w:lang w:val="en-US" w:eastAsia="zh-CN"/>
                    </w:rPr>
                    <w:t>1920</w:t>
                  </w:r>
                </w:p>
              </w:tc>
              <w:tc>
                <w:tcPr>
                  <w:tcW w:w="1911" w:type="dxa"/>
                  <w:tcBorders>
                    <w:tl2br w:val="nil"/>
                    <w:tr2bl w:val="nil"/>
                  </w:tcBorders>
                  <w:noWrap w:val="0"/>
                  <w:vAlign w:val="center"/>
                </w:tcPr>
                <w:p w14:paraId="4E81F21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000000" w:themeColor="text1"/>
                      <w:sz w:val="21"/>
                      <w:szCs w:val="21"/>
                      <w:highlight w:val="none"/>
                      <w:u w:val="single"/>
                      <w:vertAlign w:val="baseline"/>
                      <w:lang w:val="en-US" w:eastAsia="zh-CN"/>
                      <w14:textFill>
                        <w14:solidFill>
                          <w14:schemeClr w14:val="tx1"/>
                        </w14:solidFill>
                      </w14:textFill>
                    </w:rPr>
                  </w:pPr>
                  <w:r>
                    <w:rPr>
                      <w:rFonts w:hint="eastAsia" w:cs="Times New Roman"/>
                      <w:b/>
                      <w:bCs/>
                      <w:color w:val="000000" w:themeColor="text1"/>
                      <w:sz w:val="21"/>
                      <w:szCs w:val="21"/>
                      <w:highlight w:val="none"/>
                      <w:u w:val="single"/>
                      <w:vertAlign w:val="baseline"/>
                      <w:lang w:val="en-US" w:eastAsia="zh-CN"/>
                      <w14:textFill>
                        <w14:solidFill>
                          <w14:schemeClr w14:val="tx1"/>
                        </w14:solidFill>
                      </w14:textFill>
                    </w:rPr>
                    <w:t>0.0768</w:t>
                  </w:r>
                </w:p>
              </w:tc>
            </w:tr>
            <w:tr w14:paraId="6D1F3C26">
              <w:tblPrEx>
                <w:tblBorders>
                  <w:top w:val="single" w:color="auto" w:sz="2" w:space="0"/>
                  <w:left w:val="single" w:color="auto" w:sz="4"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308" w:type="dxa"/>
                  <w:vMerge w:val="continue"/>
                  <w:tcBorders>
                    <w:tl2br w:val="nil"/>
                    <w:tr2bl w:val="nil"/>
                  </w:tcBorders>
                  <w:noWrap w:val="0"/>
                  <w:vAlign w:val="center"/>
                </w:tcPr>
                <w:p w14:paraId="4379B420">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eastAsia="zh-CN"/>
                    </w:rPr>
                  </w:pPr>
                </w:p>
              </w:tc>
              <w:tc>
                <w:tcPr>
                  <w:tcW w:w="1104" w:type="dxa"/>
                  <w:tcBorders>
                    <w:tl2br w:val="nil"/>
                    <w:tr2bl w:val="nil"/>
                  </w:tcBorders>
                  <w:noWrap w:val="0"/>
                  <w:vAlign w:val="center"/>
                </w:tcPr>
                <w:p w14:paraId="7428CAC3">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NH</w:t>
                  </w:r>
                  <w:r>
                    <w:rPr>
                      <w:rFonts w:hint="eastAsia" w:cs="Times New Roman"/>
                      <w:b/>
                      <w:bCs/>
                      <w:color w:val="auto"/>
                      <w:sz w:val="21"/>
                      <w:szCs w:val="21"/>
                      <w:highlight w:val="none"/>
                      <w:u w:val="single"/>
                      <w:vertAlign w:val="subscript"/>
                      <w:lang w:val="en-US" w:eastAsia="zh-CN"/>
                    </w:rPr>
                    <w:t>3</w:t>
                  </w:r>
                  <w:r>
                    <w:rPr>
                      <w:rFonts w:hint="eastAsia" w:ascii="Times New Roman" w:hAnsi="Times New Roman" w:cs="Times New Roman"/>
                      <w:b/>
                      <w:bCs/>
                      <w:color w:val="auto"/>
                      <w:sz w:val="21"/>
                      <w:szCs w:val="21"/>
                      <w:highlight w:val="none"/>
                      <w:u w:val="single"/>
                      <w:vertAlign w:val="baseline"/>
                      <w:lang w:val="en-US" w:eastAsia="zh-CN"/>
                    </w:rPr>
                    <w:t>-N</w:t>
                  </w:r>
                </w:p>
              </w:tc>
              <w:tc>
                <w:tcPr>
                  <w:tcW w:w="1736" w:type="dxa"/>
                  <w:tcBorders>
                    <w:tl2br w:val="nil"/>
                    <w:tr2bl w:val="nil"/>
                  </w:tcBorders>
                  <w:noWrap w:val="0"/>
                  <w:vAlign w:val="center"/>
                </w:tcPr>
                <w:p w14:paraId="5854332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red"/>
                      <w:u w:val="single"/>
                      <w:vertAlign w:val="baseline"/>
                      <w:lang w:val="en-US" w:eastAsia="zh-CN"/>
                    </w:rPr>
                  </w:pPr>
                  <w:r>
                    <w:rPr>
                      <w:rFonts w:hint="eastAsia" w:ascii="Times New Roman" w:hAnsi="Times New Roman" w:cs="Times New Roman"/>
                      <w:b/>
                      <w:bCs/>
                      <w:color w:val="auto"/>
                      <w:sz w:val="21"/>
                      <w:szCs w:val="21"/>
                      <w:highlight w:val="none"/>
                      <w:u w:val="single"/>
                      <w:vertAlign w:val="baseline"/>
                      <w:lang w:val="en-US" w:eastAsia="zh-CN"/>
                    </w:rPr>
                    <w:t>2</w:t>
                  </w:r>
                </w:p>
              </w:tc>
              <w:tc>
                <w:tcPr>
                  <w:tcW w:w="1355" w:type="dxa"/>
                  <w:vMerge w:val="continue"/>
                  <w:tcBorders>
                    <w:tl2br w:val="nil"/>
                    <w:tr2bl w:val="nil"/>
                  </w:tcBorders>
                  <w:noWrap w:val="0"/>
                  <w:vAlign w:val="center"/>
                </w:tcPr>
                <w:p w14:paraId="40FA0C4A">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auto"/>
                      <w:sz w:val="21"/>
                      <w:szCs w:val="21"/>
                      <w:highlight w:val="none"/>
                      <w:u w:val="single"/>
                      <w:vertAlign w:val="baseline"/>
                      <w:lang w:val="en-US" w:eastAsia="zh-CN"/>
                    </w:rPr>
                  </w:pPr>
                </w:p>
              </w:tc>
              <w:tc>
                <w:tcPr>
                  <w:tcW w:w="1911" w:type="dxa"/>
                  <w:tcBorders>
                    <w:tl2br w:val="nil"/>
                    <w:tr2bl w:val="nil"/>
                  </w:tcBorders>
                  <w:noWrap w:val="0"/>
                  <w:vAlign w:val="center"/>
                </w:tcPr>
                <w:p w14:paraId="63FA0AB8">
                  <w:pPr>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outlineLvl w:val="9"/>
                    <w:rPr>
                      <w:rFonts w:hint="default" w:ascii="Times New Roman" w:hAnsi="Times New Roman" w:cs="Times New Roman"/>
                      <w:b/>
                      <w:bCs/>
                      <w:color w:val="000000" w:themeColor="text1"/>
                      <w:sz w:val="21"/>
                      <w:szCs w:val="21"/>
                      <w:highlight w:val="none"/>
                      <w:u w:val="single"/>
                      <w:vertAlign w:val="baseline"/>
                      <w:lang w:val="en-US" w:eastAsia="zh-CN"/>
                      <w14:textFill>
                        <w14:solidFill>
                          <w14:schemeClr w14:val="tx1"/>
                        </w14:solidFill>
                      </w14:textFill>
                    </w:rPr>
                  </w:pPr>
                  <w:r>
                    <w:rPr>
                      <w:rFonts w:hint="eastAsia" w:cs="Times New Roman"/>
                      <w:b/>
                      <w:bCs/>
                      <w:color w:val="000000" w:themeColor="text1"/>
                      <w:sz w:val="21"/>
                      <w:szCs w:val="21"/>
                      <w:highlight w:val="none"/>
                      <w:u w:val="single"/>
                      <w:vertAlign w:val="baseline"/>
                      <w:lang w:val="en-US" w:eastAsia="zh-CN"/>
                      <w14:textFill>
                        <w14:solidFill>
                          <w14:schemeClr w14:val="tx1"/>
                        </w14:solidFill>
                      </w14:textFill>
                    </w:rPr>
                    <w:t>0.0038</w:t>
                  </w:r>
                </w:p>
              </w:tc>
            </w:tr>
          </w:tbl>
          <w:p w14:paraId="1123492B">
            <w:pPr>
              <w:adjustRightInd w:val="0"/>
              <w:spacing w:line="360" w:lineRule="auto"/>
              <w:rPr>
                <w:rFonts w:hint="default" w:ascii="Times New Roman" w:hAnsi="Times New Roman" w:eastAsia="宋体" w:cs="Times New Roman"/>
                <w:b/>
                <w:bCs/>
                <w:color w:val="000000"/>
                <w:kern w:val="2"/>
                <w:sz w:val="24"/>
                <w:szCs w:val="24"/>
                <w:lang w:val="en-US" w:eastAsia="zh-CN" w:bidi="zh-CN"/>
              </w:rPr>
            </w:pPr>
            <w:r>
              <w:rPr>
                <w:rFonts w:hint="eastAsia" w:ascii="Times New Roman" w:hAnsi="Times New Roman" w:eastAsia="宋体" w:cs="Times New Roman"/>
                <w:b/>
                <w:bCs/>
                <w:color w:val="000000"/>
                <w:kern w:val="2"/>
                <w:sz w:val="24"/>
                <w:szCs w:val="24"/>
                <w:lang w:val="en-US" w:eastAsia="zh-CN" w:bidi="zh-CN"/>
              </w:rPr>
              <w:t>3、</w:t>
            </w:r>
            <w:r>
              <w:rPr>
                <w:rFonts w:hint="default" w:ascii="Times New Roman" w:hAnsi="Times New Roman" w:eastAsia="宋体" w:cs="Times New Roman"/>
                <w:b/>
                <w:bCs/>
                <w:color w:val="000000"/>
                <w:kern w:val="2"/>
                <w:sz w:val="24"/>
                <w:szCs w:val="24"/>
                <w:lang w:val="en-US" w:eastAsia="zh-CN" w:bidi="zh-CN"/>
              </w:rPr>
              <w:t>声环境影响</w:t>
            </w:r>
            <w:r>
              <w:rPr>
                <w:rFonts w:hint="eastAsia" w:ascii="Times New Roman" w:hAnsi="Times New Roman" w:eastAsia="宋体" w:cs="Times New Roman"/>
                <w:b/>
                <w:bCs/>
                <w:color w:val="000000"/>
                <w:kern w:val="2"/>
                <w:sz w:val="24"/>
                <w:szCs w:val="24"/>
                <w:lang w:val="en-US" w:eastAsia="zh-CN" w:bidi="zh-CN"/>
              </w:rPr>
              <w:t>及保护措施</w:t>
            </w:r>
          </w:p>
          <w:p w14:paraId="71C9E21C">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3.1 噪声源强及防治措施</w:t>
            </w:r>
          </w:p>
          <w:p w14:paraId="796A9395">
            <w:pPr>
              <w:autoSpaceDE w:val="0"/>
              <w:autoSpaceDN w:val="0"/>
              <w:adjustRightInd w:val="0"/>
              <w:spacing w:line="480" w:lineRule="exact"/>
              <w:ind w:firstLine="480" w:firstLineChars="200"/>
              <w:rPr>
                <w:rFonts w:hint="eastAsia" w:ascii="Times New Roman" w:hAnsi="Times New Roman" w:cs="Times New Roman"/>
                <w:color w:val="auto"/>
                <w:sz w:val="21"/>
                <w:szCs w:val="21"/>
              </w:rPr>
            </w:pPr>
            <w:r>
              <w:rPr>
                <w:rFonts w:hint="eastAsia" w:ascii="Times New Roman" w:hAnsi="Times New Roman" w:eastAsia="宋体" w:cs="Times New Roman"/>
                <w:color w:val="000000"/>
                <w:lang w:val="en-US" w:eastAsia="zh-CN"/>
              </w:rPr>
              <w:t>本项目产生噪声的主要设备有：项目主要噪声源为块料机、粗碎机、中碎机、往复筛、精细粉碎机、精细碎设备、分级机、</w:t>
            </w:r>
            <w:r>
              <w:rPr>
                <w:rFonts w:hint="eastAsia" w:cs="Times New Roman"/>
                <w:color w:val="000000"/>
                <w:lang w:val="en-US" w:eastAsia="zh-CN"/>
              </w:rPr>
              <w:t>除尘器风机</w:t>
            </w:r>
            <w:r>
              <w:rPr>
                <w:rFonts w:hint="eastAsia" w:ascii="Times New Roman" w:hAnsi="Times New Roman" w:eastAsia="宋体" w:cs="Times New Roman"/>
                <w:color w:val="000000"/>
                <w:lang w:val="en-US" w:eastAsia="zh-CN"/>
              </w:rPr>
              <w:t>等设备，噪声源强约</w:t>
            </w:r>
            <w:r>
              <w:rPr>
                <w:rFonts w:hint="eastAsia" w:cs="Times New Roman"/>
                <w:color w:val="000000"/>
                <w:lang w:val="en-US" w:eastAsia="zh-CN"/>
              </w:rPr>
              <w:t>75</w:t>
            </w:r>
            <w:r>
              <w:rPr>
                <w:rFonts w:hint="eastAsia" w:ascii="Times New Roman" w:hAnsi="Times New Roman" w:eastAsia="宋体" w:cs="Times New Roman"/>
                <w:color w:val="000000"/>
                <w:lang w:val="en-US" w:eastAsia="zh-CN"/>
              </w:rPr>
              <w:t>～85dB（A），噪声特征均以连续性噪声为主，间歇性噪声为辅</w:t>
            </w:r>
            <w:r>
              <w:rPr>
                <w:rFonts w:hint="eastAsia" w:cs="Times New Roman"/>
                <w:color w:val="000000"/>
                <w:lang w:val="en-US" w:eastAsia="zh-CN"/>
              </w:rPr>
              <w:t>。</w:t>
            </w:r>
            <w:r>
              <w:rPr>
                <w:rFonts w:hint="eastAsia" w:ascii="Times New Roman" w:hAnsi="Times New Roman" w:eastAsia="宋体" w:cs="Times New Roman"/>
                <w:color w:val="000000"/>
                <w:lang w:val="en-US" w:eastAsia="zh-CN"/>
              </w:rPr>
              <w:t>该项目生产设备均选用低噪声设备，采用隔声、设备安装时加防振垫，对风机加装加装消声器，风管包扎消声材料等降噪措施。生产设备机械噪声经以上措施治理后，噪声值可降低 20~25 dB（A）降噪效果明显。经治理后</w:t>
            </w:r>
            <w:r>
              <w:rPr>
                <w:rFonts w:hint="eastAsia" w:ascii="Times New Roman" w:hAnsi="Times New Roman" w:eastAsia="宋体" w:cs="Times New Roman"/>
                <w:color w:val="000000"/>
                <w:highlight w:val="none"/>
                <w:lang w:val="en-US" w:eastAsia="zh-CN"/>
              </w:rPr>
              <w:t xml:space="preserve">设备噪声源强见下表。 </w:t>
            </w:r>
          </w:p>
          <w:p w14:paraId="240CADCB">
            <w:pPr>
              <w:autoSpaceDE w:val="0"/>
              <w:autoSpaceDN w:val="0"/>
              <w:adjustRightInd w:val="0"/>
              <w:spacing w:line="480" w:lineRule="exact"/>
              <w:ind w:firstLine="420" w:firstLineChars="200"/>
              <w:rPr>
                <w:rFonts w:hint="eastAsia" w:ascii="Times New Roman" w:hAnsi="Times New Roman" w:cs="Times New Roman"/>
                <w:color w:val="auto"/>
                <w:sz w:val="21"/>
                <w:szCs w:val="21"/>
              </w:rPr>
            </w:pPr>
          </w:p>
          <w:p w14:paraId="3BCAD307">
            <w:pPr>
              <w:autoSpaceDE w:val="0"/>
              <w:autoSpaceDN w:val="0"/>
              <w:adjustRightInd w:val="0"/>
              <w:spacing w:line="480" w:lineRule="exact"/>
              <w:ind w:firstLine="420" w:firstLineChars="200"/>
              <w:rPr>
                <w:rFonts w:hint="eastAsia" w:ascii="Times New Roman" w:hAnsi="Times New Roman" w:cs="Times New Roman"/>
                <w:color w:val="auto"/>
                <w:sz w:val="21"/>
                <w:szCs w:val="21"/>
              </w:rPr>
            </w:pPr>
          </w:p>
          <w:p w14:paraId="37D3EC1C">
            <w:pPr>
              <w:autoSpaceDE w:val="0"/>
              <w:autoSpaceDN w:val="0"/>
              <w:adjustRightInd w:val="0"/>
              <w:spacing w:line="480" w:lineRule="exact"/>
              <w:ind w:firstLine="420" w:firstLineChars="200"/>
              <w:rPr>
                <w:rFonts w:hint="eastAsia" w:ascii="Times New Roman" w:hAnsi="Times New Roman" w:cs="Times New Roman"/>
                <w:color w:val="auto"/>
                <w:sz w:val="21"/>
                <w:szCs w:val="21"/>
              </w:rPr>
            </w:pPr>
          </w:p>
          <w:p w14:paraId="2DF20B72">
            <w:pPr>
              <w:autoSpaceDE w:val="0"/>
              <w:autoSpaceDN w:val="0"/>
              <w:adjustRightInd w:val="0"/>
              <w:spacing w:line="480" w:lineRule="exact"/>
              <w:rPr>
                <w:rFonts w:hint="default" w:ascii="Times New Roman" w:hAnsi="Times New Roman" w:eastAsia="宋体" w:cs="Times New Roman"/>
                <w:b/>
                <w:bCs/>
                <w:kern w:val="0"/>
                <w:szCs w:val="21"/>
                <w:lang w:val="en-US" w:eastAsia="zh-CN"/>
              </w:rPr>
            </w:pPr>
          </w:p>
        </w:tc>
      </w:tr>
    </w:tbl>
    <w:p w14:paraId="0CFCD12E">
      <w:pPr>
        <w:pStyle w:val="4"/>
        <w:sectPr>
          <w:pgSz w:w="11906" w:h="16838"/>
          <w:pgMar w:top="1440" w:right="1800" w:bottom="1440" w:left="1800" w:header="851" w:footer="992" w:gutter="0"/>
          <w:pgNumType w:fmt="decimal"/>
          <w:cols w:space="425" w:num="1"/>
          <w:docGrid w:type="lines" w:linePitch="312" w:charSpace="0"/>
        </w:sectPr>
      </w:pPr>
    </w:p>
    <w:p w14:paraId="52B3A94D">
      <w:pPr>
        <w:pStyle w:val="4"/>
        <w:rPr>
          <w:rFonts w:hint="eastAsia" w:ascii="Times New Roman" w:hAnsi="Times New Roman" w:eastAsia="宋体" w:cs="Times New Roman"/>
          <w:b/>
          <w:bCs/>
          <w:kern w:val="2"/>
          <w:sz w:val="21"/>
          <w:szCs w:val="21"/>
          <w:highlight w:val="none"/>
          <w:lang w:val="en-US" w:eastAsia="zh-CN" w:bidi="ar-SA"/>
        </w:rPr>
      </w:pPr>
      <w:r>
        <w:rPr>
          <w:rFonts w:hint="eastAsia" w:ascii="Times New Roman" w:hAnsi="Times New Roman" w:eastAsia="宋体" w:cs="Times New Roman"/>
          <w:b/>
          <w:bCs/>
          <w:kern w:val="2"/>
          <w:sz w:val="21"/>
          <w:szCs w:val="21"/>
          <w:highlight w:val="none"/>
          <w:lang w:val="en-US" w:eastAsia="zh-CN" w:bidi="ar-SA"/>
        </w:rPr>
        <w:t>表4-</w:t>
      </w:r>
      <w:r>
        <w:rPr>
          <w:rFonts w:hint="eastAsia" w:eastAsia="宋体" w:cs="Times New Roman"/>
          <w:b/>
          <w:bCs/>
          <w:kern w:val="2"/>
          <w:sz w:val="21"/>
          <w:szCs w:val="21"/>
          <w:highlight w:val="none"/>
          <w:lang w:val="en-US" w:eastAsia="zh-CN" w:bidi="ar-SA"/>
        </w:rPr>
        <w:t>13</w:t>
      </w:r>
      <w:r>
        <w:rPr>
          <w:rFonts w:hint="eastAsia" w:ascii="Times New Roman" w:hAnsi="Times New Roman" w:eastAsia="宋体" w:cs="Times New Roman"/>
          <w:b/>
          <w:bCs/>
          <w:kern w:val="2"/>
          <w:sz w:val="21"/>
          <w:szCs w:val="21"/>
          <w:highlight w:val="none"/>
          <w:lang w:val="en-US" w:eastAsia="zh-CN" w:bidi="ar-SA"/>
        </w:rPr>
        <w:t xml:space="preserve"> 本项目噪声源强调查表（室内声源）</w:t>
      </w:r>
    </w:p>
    <w:p w14:paraId="18D29D03"/>
    <w:tbl>
      <w:tblPr>
        <w:tblStyle w:val="16"/>
        <w:tblW w:w="14336"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535"/>
        <w:gridCol w:w="744"/>
        <w:gridCol w:w="636"/>
        <w:gridCol w:w="426"/>
        <w:gridCol w:w="426"/>
        <w:gridCol w:w="322"/>
        <w:gridCol w:w="637"/>
        <w:gridCol w:w="426"/>
        <w:gridCol w:w="426"/>
        <w:gridCol w:w="637"/>
        <w:gridCol w:w="531"/>
        <w:gridCol w:w="741"/>
        <w:gridCol w:w="741"/>
        <w:gridCol w:w="741"/>
        <w:gridCol w:w="741"/>
        <w:gridCol w:w="741"/>
        <w:gridCol w:w="741"/>
        <w:gridCol w:w="741"/>
        <w:gridCol w:w="741"/>
        <w:gridCol w:w="741"/>
        <w:gridCol w:w="921"/>
      </w:tblGrid>
      <w:tr w14:paraId="13064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0" w:hRule="atLeast"/>
        </w:trPr>
        <w:tc>
          <w:tcPr>
            <w:tcW w:w="1535" w:type="dxa"/>
            <w:vMerge w:val="restart"/>
            <w:shd w:val="clear" w:color="auto" w:fill="auto"/>
            <w:vAlign w:val="center"/>
          </w:tcPr>
          <w:p w14:paraId="354973E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声源名称</w:t>
            </w:r>
          </w:p>
        </w:tc>
        <w:tc>
          <w:tcPr>
            <w:tcW w:w="744" w:type="dxa"/>
            <w:shd w:val="clear" w:color="auto" w:fill="auto"/>
            <w:vAlign w:val="center"/>
          </w:tcPr>
          <w:p w14:paraId="18090C9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声源强</w:t>
            </w:r>
          </w:p>
        </w:tc>
        <w:tc>
          <w:tcPr>
            <w:tcW w:w="636" w:type="dxa"/>
            <w:vMerge w:val="restart"/>
            <w:shd w:val="clear" w:color="auto" w:fill="auto"/>
            <w:vAlign w:val="center"/>
          </w:tcPr>
          <w:p w14:paraId="211B64CB">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声源控制</w:t>
            </w:r>
          </w:p>
          <w:p w14:paraId="5808C3A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措施</w:t>
            </w:r>
          </w:p>
        </w:tc>
        <w:tc>
          <w:tcPr>
            <w:tcW w:w="1174" w:type="dxa"/>
            <w:gridSpan w:val="3"/>
            <w:shd w:val="clear" w:color="auto" w:fill="auto"/>
            <w:vAlign w:val="center"/>
          </w:tcPr>
          <w:p w14:paraId="4316402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空间相对位置/m</w:t>
            </w:r>
          </w:p>
        </w:tc>
        <w:tc>
          <w:tcPr>
            <w:tcW w:w="2126" w:type="dxa"/>
            <w:gridSpan w:val="4"/>
            <w:shd w:val="clear" w:color="auto" w:fill="auto"/>
            <w:vAlign w:val="center"/>
          </w:tcPr>
          <w:p w14:paraId="4BA8355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距室内边界距离/m</w:t>
            </w:r>
          </w:p>
        </w:tc>
        <w:tc>
          <w:tcPr>
            <w:tcW w:w="531" w:type="dxa"/>
            <w:vMerge w:val="restart"/>
            <w:shd w:val="clear" w:color="auto" w:fill="auto"/>
            <w:vAlign w:val="center"/>
          </w:tcPr>
          <w:p w14:paraId="3EABF956">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运行</w:t>
            </w:r>
          </w:p>
          <w:p w14:paraId="6674A27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时段</w:t>
            </w:r>
          </w:p>
        </w:tc>
        <w:tc>
          <w:tcPr>
            <w:tcW w:w="2964" w:type="dxa"/>
            <w:gridSpan w:val="4"/>
            <w:shd w:val="clear" w:color="auto" w:fill="auto"/>
            <w:vAlign w:val="center"/>
          </w:tcPr>
          <w:p w14:paraId="5555C31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室内边界声级/dB（A）</w:t>
            </w:r>
          </w:p>
        </w:tc>
        <w:tc>
          <w:tcPr>
            <w:tcW w:w="741" w:type="dxa"/>
            <w:vMerge w:val="restart"/>
            <w:shd w:val="clear" w:color="auto" w:fill="auto"/>
            <w:vAlign w:val="center"/>
          </w:tcPr>
          <w:p w14:paraId="7B5A120A">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建筑物</w:t>
            </w:r>
          </w:p>
          <w:p w14:paraId="0F577DD0">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插入损失</w:t>
            </w:r>
          </w:p>
          <w:p w14:paraId="3F56F9A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/dB（A）</w:t>
            </w:r>
          </w:p>
        </w:tc>
        <w:tc>
          <w:tcPr>
            <w:tcW w:w="3885" w:type="dxa"/>
            <w:gridSpan w:val="5"/>
            <w:shd w:val="clear" w:color="auto" w:fill="auto"/>
            <w:vAlign w:val="center"/>
          </w:tcPr>
          <w:p w14:paraId="2255360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室外边界声级/dB（A）</w:t>
            </w:r>
          </w:p>
        </w:tc>
      </w:tr>
      <w:tr w14:paraId="57BB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0" w:hRule="atLeast"/>
        </w:trPr>
        <w:tc>
          <w:tcPr>
            <w:tcW w:w="1535" w:type="dxa"/>
            <w:vMerge w:val="continue"/>
            <w:shd w:val="clear" w:color="auto" w:fill="auto"/>
            <w:vAlign w:val="center"/>
          </w:tcPr>
          <w:p w14:paraId="2D93170D">
            <w:pPr>
              <w:jc w:val="center"/>
              <w:rPr>
                <w:rFonts w:hint="eastAsia" w:ascii="宋体" w:hAnsi="宋体" w:eastAsia="宋体" w:cs="宋体"/>
                <w:b w:val="0"/>
                <w:bCs w:val="0"/>
                <w:i w:val="0"/>
                <w:iCs w:val="0"/>
                <w:color w:val="000000"/>
                <w:sz w:val="21"/>
                <w:szCs w:val="21"/>
                <w:u w:val="none"/>
              </w:rPr>
            </w:pPr>
          </w:p>
        </w:tc>
        <w:tc>
          <w:tcPr>
            <w:tcW w:w="744" w:type="dxa"/>
            <w:shd w:val="clear" w:color="auto" w:fill="auto"/>
            <w:vAlign w:val="center"/>
          </w:tcPr>
          <w:p w14:paraId="0DB0C7B7">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声功率级</w:t>
            </w:r>
          </w:p>
          <w:p w14:paraId="7DE9660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/dB（A）</w:t>
            </w:r>
          </w:p>
        </w:tc>
        <w:tc>
          <w:tcPr>
            <w:tcW w:w="636" w:type="dxa"/>
            <w:vMerge w:val="continue"/>
            <w:shd w:val="clear" w:color="auto" w:fill="auto"/>
            <w:vAlign w:val="center"/>
          </w:tcPr>
          <w:p w14:paraId="355AF561">
            <w:pPr>
              <w:jc w:val="center"/>
              <w:rPr>
                <w:rFonts w:hint="eastAsia" w:ascii="宋体" w:hAnsi="宋体" w:eastAsia="宋体" w:cs="宋体"/>
                <w:b w:val="0"/>
                <w:bCs w:val="0"/>
                <w:i w:val="0"/>
                <w:iCs w:val="0"/>
                <w:color w:val="000000"/>
                <w:sz w:val="21"/>
                <w:szCs w:val="21"/>
                <w:u w:val="none"/>
              </w:rPr>
            </w:pPr>
          </w:p>
        </w:tc>
        <w:tc>
          <w:tcPr>
            <w:tcW w:w="426" w:type="dxa"/>
            <w:shd w:val="clear" w:color="auto" w:fill="auto"/>
            <w:vAlign w:val="center"/>
          </w:tcPr>
          <w:p w14:paraId="4E73A43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X</w:t>
            </w:r>
          </w:p>
        </w:tc>
        <w:tc>
          <w:tcPr>
            <w:tcW w:w="426" w:type="dxa"/>
            <w:shd w:val="clear" w:color="auto" w:fill="auto"/>
            <w:vAlign w:val="center"/>
          </w:tcPr>
          <w:p w14:paraId="5776E58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Y</w:t>
            </w:r>
          </w:p>
        </w:tc>
        <w:tc>
          <w:tcPr>
            <w:tcW w:w="322" w:type="dxa"/>
            <w:shd w:val="clear" w:color="auto" w:fill="auto"/>
            <w:vAlign w:val="center"/>
          </w:tcPr>
          <w:p w14:paraId="43EF56A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Z</w:t>
            </w:r>
          </w:p>
        </w:tc>
        <w:tc>
          <w:tcPr>
            <w:tcW w:w="636" w:type="dxa"/>
            <w:shd w:val="clear" w:color="auto" w:fill="auto"/>
            <w:vAlign w:val="center"/>
          </w:tcPr>
          <w:p w14:paraId="7BBE065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东</w:t>
            </w:r>
          </w:p>
        </w:tc>
        <w:tc>
          <w:tcPr>
            <w:tcW w:w="0" w:type="auto"/>
            <w:shd w:val="clear" w:color="auto" w:fill="auto"/>
            <w:noWrap/>
            <w:vAlign w:val="center"/>
          </w:tcPr>
          <w:p w14:paraId="015694A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西</w:t>
            </w:r>
          </w:p>
        </w:tc>
        <w:tc>
          <w:tcPr>
            <w:tcW w:w="0" w:type="auto"/>
            <w:shd w:val="clear" w:color="auto" w:fill="auto"/>
            <w:noWrap/>
            <w:vAlign w:val="center"/>
          </w:tcPr>
          <w:p w14:paraId="4D66F80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南</w:t>
            </w:r>
          </w:p>
        </w:tc>
        <w:tc>
          <w:tcPr>
            <w:tcW w:w="0" w:type="auto"/>
            <w:shd w:val="clear" w:color="auto" w:fill="auto"/>
            <w:noWrap/>
            <w:vAlign w:val="center"/>
          </w:tcPr>
          <w:p w14:paraId="5485A69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北</w:t>
            </w:r>
          </w:p>
        </w:tc>
        <w:tc>
          <w:tcPr>
            <w:tcW w:w="531" w:type="dxa"/>
            <w:vMerge w:val="continue"/>
            <w:shd w:val="clear" w:color="auto" w:fill="auto"/>
            <w:vAlign w:val="center"/>
          </w:tcPr>
          <w:p w14:paraId="6CC5ED09">
            <w:pPr>
              <w:jc w:val="center"/>
              <w:rPr>
                <w:rFonts w:hint="eastAsia" w:ascii="宋体" w:hAnsi="宋体" w:eastAsia="宋体" w:cs="宋体"/>
                <w:b w:val="0"/>
                <w:bCs w:val="0"/>
                <w:i w:val="0"/>
                <w:iCs w:val="0"/>
                <w:color w:val="000000"/>
                <w:sz w:val="21"/>
                <w:szCs w:val="21"/>
                <w:u w:val="none"/>
              </w:rPr>
            </w:pPr>
          </w:p>
        </w:tc>
        <w:tc>
          <w:tcPr>
            <w:tcW w:w="741" w:type="dxa"/>
            <w:shd w:val="clear" w:color="auto" w:fill="auto"/>
            <w:vAlign w:val="center"/>
          </w:tcPr>
          <w:p w14:paraId="0C399FC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东</w:t>
            </w:r>
          </w:p>
        </w:tc>
        <w:tc>
          <w:tcPr>
            <w:tcW w:w="0" w:type="auto"/>
            <w:shd w:val="clear" w:color="auto" w:fill="auto"/>
            <w:noWrap/>
            <w:vAlign w:val="center"/>
          </w:tcPr>
          <w:p w14:paraId="0796BA2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西</w:t>
            </w:r>
          </w:p>
        </w:tc>
        <w:tc>
          <w:tcPr>
            <w:tcW w:w="0" w:type="auto"/>
            <w:shd w:val="clear" w:color="auto" w:fill="auto"/>
            <w:noWrap/>
            <w:vAlign w:val="center"/>
          </w:tcPr>
          <w:p w14:paraId="5FFBDE3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南</w:t>
            </w:r>
          </w:p>
        </w:tc>
        <w:tc>
          <w:tcPr>
            <w:tcW w:w="0" w:type="auto"/>
            <w:shd w:val="clear" w:color="auto" w:fill="auto"/>
            <w:noWrap/>
            <w:vAlign w:val="center"/>
          </w:tcPr>
          <w:p w14:paraId="6990C14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北</w:t>
            </w:r>
          </w:p>
        </w:tc>
        <w:tc>
          <w:tcPr>
            <w:tcW w:w="741" w:type="dxa"/>
            <w:vMerge w:val="continue"/>
            <w:shd w:val="clear" w:color="auto" w:fill="auto"/>
            <w:vAlign w:val="center"/>
          </w:tcPr>
          <w:p w14:paraId="02C28A39">
            <w:pPr>
              <w:jc w:val="center"/>
              <w:rPr>
                <w:rFonts w:hint="eastAsia" w:ascii="宋体" w:hAnsi="宋体" w:eastAsia="宋体" w:cs="宋体"/>
                <w:b w:val="0"/>
                <w:bCs w:val="0"/>
                <w:i w:val="0"/>
                <w:iCs w:val="0"/>
                <w:color w:val="000000"/>
                <w:sz w:val="21"/>
                <w:szCs w:val="21"/>
                <w:u w:val="none"/>
              </w:rPr>
            </w:pPr>
          </w:p>
        </w:tc>
        <w:tc>
          <w:tcPr>
            <w:tcW w:w="741" w:type="dxa"/>
            <w:shd w:val="clear" w:color="auto" w:fill="auto"/>
            <w:vAlign w:val="center"/>
          </w:tcPr>
          <w:p w14:paraId="3922E4C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东</w:t>
            </w:r>
          </w:p>
        </w:tc>
        <w:tc>
          <w:tcPr>
            <w:tcW w:w="0" w:type="auto"/>
            <w:shd w:val="clear" w:color="auto" w:fill="auto"/>
            <w:noWrap/>
            <w:vAlign w:val="center"/>
          </w:tcPr>
          <w:p w14:paraId="1AA2A9E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西</w:t>
            </w:r>
          </w:p>
        </w:tc>
        <w:tc>
          <w:tcPr>
            <w:tcW w:w="0" w:type="auto"/>
            <w:shd w:val="clear" w:color="auto" w:fill="auto"/>
            <w:noWrap/>
            <w:vAlign w:val="center"/>
          </w:tcPr>
          <w:p w14:paraId="4BCD9E0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南</w:t>
            </w:r>
          </w:p>
        </w:tc>
        <w:tc>
          <w:tcPr>
            <w:tcW w:w="0" w:type="auto"/>
            <w:shd w:val="clear" w:color="auto" w:fill="auto"/>
            <w:noWrap/>
            <w:vAlign w:val="center"/>
          </w:tcPr>
          <w:p w14:paraId="260747C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北</w:t>
            </w:r>
          </w:p>
        </w:tc>
        <w:tc>
          <w:tcPr>
            <w:tcW w:w="921" w:type="dxa"/>
            <w:shd w:val="clear" w:color="auto" w:fill="auto"/>
            <w:vAlign w:val="center"/>
          </w:tcPr>
          <w:p w14:paraId="4144D1CE">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建筑物</w:t>
            </w:r>
          </w:p>
          <w:p w14:paraId="350D588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外距离</w:t>
            </w:r>
          </w:p>
        </w:tc>
      </w:tr>
      <w:tr w14:paraId="2BD3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36C302D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块料机1#</w:t>
            </w:r>
          </w:p>
        </w:tc>
        <w:tc>
          <w:tcPr>
            <w:tcW w:w="744" w:type="dxa"/>
            <w:shd w:val="clear" w:color="auto" w:fill="auto"/>
            <w:vAlign w:val="center"/>
          </w:tcPr>
          <w:p w14:paraId="504369A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restart"/>
            <w:shd w:val="clear" w:color="auto" w:fill="auto"/>
            <w:vAlign w:val="center"/>
          </w:tcPr>
          <w:p w14:paraId="6F39D8D1">
            <w:pPr>
              <w:keepNext w:val="0"/>
              <w:keepLines w:val="0"/>
              <w:widowControl/>
              <w:suppressLineNumbers w:val="0"/>
              <w:jc w:val="center"/>
              <w:textAlignment w:val="center"/>
              <w:rPr>
                <w:rFonts w:hint="eastAsia" w:ascii="宋体" w:hAnsi="宋体" w:eastAsia="宋体" w:cs="宋体"/>
                <w:b w:val="0"/>
                <w:bCs w:val="0"/>
                <w:i w:val="0"/>
                <w:iCs w:val="0"/>
                <w:color w:val="000000"/>
                <w:kern w:val="0"/>
                <w:sz w:val="21"/>
                <w:szCs w:val="21"/>
                <w:u w:val="none"/>
                <w:lang w:val="en-US" w:eastAsia="zh-CN" w:bidi="ar"/>
              </w:rPr>
            </w:pPr>
            <w:r>
              <w:rPr>
                <w:rFonts w:hint="eastAsia" w:ascii="宋体" w:hAnsi="宋体" w:eastAsia="宋体" w:cs="宋体"/>
                <w:b w:val="0"/>
                <w:bCs w:val="0"/>
                <w:i w:val="0"/>
                <w:iCs w:val="0"/>
                <w:color w:val="000000"/>
                <w:kern w:val="0"/>
                <w:sz w:val="21"/>
                <w:szCs w:val="21"/>
                <w:u w:val="none"/>
                <w:lang w:val="en-US" w:eastAsia="zh-CN" w:bidi="ar"/>
              </w:rPr>
              <w:t>基础减震、</w:t>
            </w:r>
          </w:p>
          <w:p w14:paraId="0F46B46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厂房隔声</w:t>
            </w:r>
          </w:p>
        </w:tc>
        <w:tc>
          <w:tcPr>
            <w:tcW w:w="426" w:type="dxa"/>
            <w:shd w:val="clear" w:color="auto" w:fill="auto"/>
            <w:vAlign w:val="center"/>
          </w:tcPr>
          <w:p w14:paraId="4B60900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90</w:t>
            </w:r>
          </w:p>
        </w:tc>
        <w:tc>
          <w:tcPr>
            <w:tcW w:w="426" w:type="dxa"/>
            <w:shd w:val="clear" w:color="auto" w:fill="auto"/>
            <w:vAlign w:val="center"/>
          </w:tcPr>
          <w:p w14:paraId="6DC9A52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14</w:t>
            </w:r>
          </w:p>
        </w:tc>
        <w:tc>
          <w:tcPr>
            <w:tcW w:w="322" w:type="dxa"/>
            <w:shd w:val="clear" w:color="auto" w:fill="auto"/>
            <w:vAlign w:val="center"/>
          </w:tcPr>
          <w:p w14:paraId="27B379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36" w:type="dxa"/>
            <w:shd w:val="clear" w:color="auto" w:fill="auto"/>
            <w:vAlign w:val="center"/>
          </w:tcPr>
          <w:p w14:paraId="325F395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9.4</w:t>
            </w:r>
          </w:p>
        </w:tc>
        <w:tc>
          <w:tcPr>
            <w:tcW w:w="0" w:type="auto"/>
            <w:shd w:val="clear" w:color="auto" w:fill="auto"/>
            <w:noWrap/>
            <w:vAlign w:val="center"/>
          </w:tcPr>
          <w:p w14:paraId="042E608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0" w:type="auto"/>
            <w:shd w:val="clear" w:color="auto" w:fill="auto"/>
            <w:noWrap/>
            <w:vAlign w:val="center"/>
          </w:tcPr>
          <w:p w14:paraId="49078A6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14</w:t>
            </w:r>
          </w:p>
        </w:tc>
        <w:tc>
          <w:tcPr>
            <w:tcW w:w="0" w:type="auto"/>
            <w:shd w:val="clear" w:color="auto" w:fill="auto"/>
            <w:noWrap/>
            <w:vAlign w:val="center"/>
          </w:tcPr>
          <w:p w14:paraId="3AC4821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43</w:t>
            </w:r>
          </w:p>
        </w:tc>
        <w:tc>
          <w:tcPr>
            <w:tcW w:w="0" w:type="auto"/>
            <w:vMerge w:val="restart"/>
            <w:shd w:val="clear" w:color="auto" w:fill="auto"/>
            <w:noWrap/>
            <w:vAlign w:val="center"/>
          </w:tcPr>
          <w:p w14:paraId="12AEAEF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24h</w:t>
            </w:r>
          </w:p>
        </w:tc>
        <w:tc>
          <w:tcPr>
            <w:tcW w:w="0" w:type="auto"/>
            <w:shd w:val="clear" w:color="auto" w:fill="auto"/>
            <w:noWrap/>
            <w:vAlign w:val="center"/>
          </w:tcPr>
          <w:p w14:paraId="1664B23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55.53</w:t>
            </w:r>
          </w:p>
        </w:tc>
        <w:tc>
          <w:tcPr>
            <w:tcW w:w="0" w:type="auto"/>
            <w:shd w:val="clear" w:color="auto" w:fill="auto"/>
            <w:noWrap/>
            <w:vAlign w:val="center"/>
          </w:tcPr>
          <w:p w14:paraId="6DF65E1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48.97</w:t>
            </w:r>
          </w:p>
        </w:tc>
        <w:tc>
          <w:tcPr>
            <w:tcW w:w="0" w:type="auto"/>
            <w:shd w:val="clear" w:color="auto" w:fill="auto"/>
            <w:noWrap/>
            <w:vAlign w:val="center"/>
          </w:tcPr>
          <w:p w14:paraId="376EFCD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52.08</w:t>
            </w:r>
          </w:p>
        </w:tc>
        <w:tc>
          <w:tcPr>
            <w:tcW w:w="0" w:type="auto"/>
            <w:shd w:val="clear" w:color="auto" w:fill="auto"/>
            <w:noWrap/>
            <w:vAlign w:val="center"/>
          </w:tcPr>
          <w:p w14:paraId="645ECDB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42.33</w:t>
            </w:r>
          </w:p>
        </w:tc>
        <w:tc>
          <w:tcPr>
            <w:tcW w:w="0" w:type="auto"/>
            <w:shd w:val="clear" w:color="auto" w:fill="auto"/>
            <w:noWrap/>
            <w:vAlign w:val="center"/>
          </w:tcPr>
          <w:p w14:paraId="1D42C57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27ECE92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30.53</w:t>
            </w:r>
          </w:p>
        </w:tc>
        <w:tc>
          <w:tcPr>
            <w:tcW w:w="0" w:type="auto"/>
            <w:shd w:val="clear" w:color="auto" w:fill="auto"/>
            <w:noWrap/>
            <w:vAlign w:val="center"/>
          </w:tcPr>
          <w:p w14:paraId="79FE926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23.97</w:t>
            </w:r>
          </w:p>
        </w:tc>
        <w:tc>
          <w:tcPr>
            <w:tcW w:w="0" w:type="auto"/>
            <w:shd w:val="clear" w:color="auto" w:fill="auto"/>
            <w:noWrap/>
            <w:vAlign w:val="center"/>
          </w:tcPr>
          <w:p w14:paraId="3248481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27.08</w:t>
            </w:r>
          </w:p>
        </w:tc>
        <w:tc>
          <w:tcPr>
            <w:tcW w:w="0" w:type="auto"/>
            <w:shd w:val="clear" w:color="auto" w:fill="auto"/>
            <w:noWrap/>
            <w:vAlign w:val="center"/>
          </w:tcPr>
          <w:p w14:paraId="5095877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17.33</w:t>
            </w:r>
          </w:p>
        </w:tc>
        <w:tc>
          <w:tcPr>
            <w:tcW w:w="921" w:type="dxa"/>
            <w:shd w:val="clear" w:color="auto" w:fill="auto"/>
            <w:noWrap/>
            <w:vAlign w:val="center"/>
          </w:tcPr>
          <w:p w14:paraId="3FE2B83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25DF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5B7D195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块料机2#</w:t>
            </w:r>
          </w:p>
        </w:tc>
        <w:tc>
          <w:tcPr>
            <w:tcW w:w="744" w:type="dxa"/>
            <w:shd w:val="clear" w:color="auto" w:fill="auto"/>
            <w:vAlign w:val="center"/>
          </w:tcPr>
          <w:p w14:paraId="3427D8B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33E368C4">
            <w:pPr>
              <w:jc w:val="center"/>
              <w:rPr>
                <w:rFonts w:hint="eastAsia" w:ascii="宋体" w:hAnsi="宋体" w:eastAsia="宋体" w:cs="宋体"/>
                <w:b w:val="0"/>
                <w:bCs w:val="0"/>
                <w:i w:val="0"/>
                <w:iCs w:val="0"/>
                <w:color w:val="000000"/>
                <w:sz w:val="21"/>
                <w:szCs w:val="21"/>
                <w:u w:val="none"/>
              </w:rPr>
            </w:pPr>
          </w:p>
        </w:tc>
        <w:tc>
          <w:tcPr>
            <w:tcW w:w="426" w:type="dxa"/>
            <w:shd w:val="clear" w:color="auto" w:fill="auto"/>
            <w:vAlign w:val="center"/>
          </w:tcPr>
          <w:p w14:paraId="7997C6B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90</w:t>
            </w:r>
          </w:p>
        </w:tc>
        <w:tc>
          <w:tcPr>
            <w:tcW w:w="426" w:type="dxa"/>
            <w:shd w:val="clear" w:color="auto" w:fill="auto"/>
            <w:vAlign w:val="center"/>
          </w:tcPr>
          <w:p w14:paraId="6AEFB3D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28</w:t>
            </w:r>
          </w:p>
        </w:tc>
        <w:tc>
          <w:tcPr>
            <w:tcW w:w="322" w:type="dxa"/>
            <w:shd w:val="clear" w:color="auto" w:fill="auto"/>
            <w:vAlign w:val="center"/>
          </w:tcPr>
          <w:p w14:paraId="4BF6CC8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36" w:type="dxa"/>
            <w:shd w:val="clear" w:color="auto" w:fill="auto"/>
            <w:vAlign w:val="center"/>
          </w:tcPr>
          <w:p w14:paraId="28543F9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9.4</w:t>
            </w:r>
          </w:p>
        </w:tc>
        <w:tc>
          <w:tcPr>
            <w:tcW w:w="0" w:type="auto"/>
            <w:shd w:val="clear" w:color="auto" w:fill="auto"/>
            <w:noWrap/>
            <w:vAlign w:val="center"/>
          </w:tcPr>
          <w:p w14:paraId="1125ACB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0" w:type="auto"/>
            <w:shd w:val="clear" w:color="auto" w:fill="auto"/>
            <w:noWrap/>
            <w:vAlign w:val="center"/>
          </w:tcPr>
          <w:p w14:paraId="37038D5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28</w:t>
            </w:r>
          </w:p>
        </w:tc>
        <w:tc>
          <w:tcPr>
            <w:tcW w:w="0" w:type="auto"/>
            <w:shd w:val="clear" w:color="auto" w:fill="auto"/>
            <w:noWrap/>
            <w:vAlign w:val="center"/>
          </w:tcPr>
          <w:p w14:paraId="705FE37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vMerge w:val="continue"/>
            <w:shd w:val="clear" w:color="auto" w:fill="auto"/>
            <w:noWrap/>
            <w:vAlign w:val="center"/>
          </w:tcPr>
          <w:p w14:paraId="273047DC">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3EF1F35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55.53</w:t>
            </w:r>
          </w:p>
        </w:tc>
        <w:tc>
          <w:tcPr>
            <w:tcW w:w="0" w:type="auto"/>
            <w:shd w:val="clear" w:color="auto" w:fill="auto"/>
            <w:noWrap/>
            <w:vAlign w:val="center"/>
          </w:tcPr>
          <w:p w14:paraId="055F0DA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48.97</w:t>
            </w:r>
          </w:p>
        </w:tc>
        <w:tc>
          <w:tcPr>
            <w:tcW w:w="0" w:type="auto"/>
            <w:shd w:val="clear" w:color="auto" w:fill="auto"/>
            <w:noWrap/>
            <w:vAlign w:val="center"/>
          </w:tcPr>
          <w:p w14:paraId="5589BC0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46.06</w:t>
            </w:r>
          </w:p>
        </w:tc>
        <w:tc>
          <w:tcPr>
            <w:tcW w:w="0" w:type="auto"/>
            <w:shd w:val="clear" w:color="auto" w:fill="auto"/>
            <w:noWrap/>
            <w:vAlign w:val="center"/>
          </w:tcPr>
          <w:p w14:paraId="5A1FCCA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45.75</w:t>
            </w:r>
          </w:p>
        </w:tc>
        <w:tc>
          <w:tcPr>
            <w:tcW w:w="0" w:type="auto"/>
            <w:shd w:val="clear" w:color="auto" w:fill="auto"/>
            <w:noWrap/>
            <w:vAlign w:val="center"/>
          </w:tcPr>
          <w:p w14:paraId="6DD1B8A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71C125C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30.53</w:t>
            </w:r>
          </w:p>
        </w:tc>
        <w:tc>
          <w:tcPr>
            <w:tcW w:w="0" w:type="auto"/>
            <w:shd w:val="clear" w:color="auto" w:fill="auto"/>
            <w:noWrap/>
            <w:vAlign w:val="center"/>
          </w:tcPr>
          <w:p w14:paraId="7FEA514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23.97</w:t>
            </w:r>
          </w:p>
        </w:tc>
        <w:tc>
          <w:tcPr>
            <w:tcW w:w="0" w:type="auto"/>
            <w:shd w:val="clear" w:color="auto" w:fill="auto"/>
            <w:noWrap/>
            <w:vAlign w:val="center"/>
          </w:tcPr>
          <w:p w14:paraId="048837E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21.06</w:t>
            </w:r>
          </w:p>
        </w:tc>
        <w:tc>
          <w:tcPr>
            <w:tcW w:w="0" w:type="auto"/>
            <w:shd w:val="clear" w:color="auto" w:fill="auto"/>
            <w:noWrap/>
            <w:vAlign w:val="center"/>
          </w:tcPr>
          <w:p w14:paraId="5C9A3A4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20.75</w:t>
            </w:r>
          </w:p>
        </w:tc>
        <w:tc>
          <w:tcPr>
            <w:tcW w:w="921" w:type="dxa"/>
            <w:shd w:val="clear" w:color="auto" w:fill="auto"/>
            <w:noWrap/>
            <w:vAlign w:val="center"/>
          </w:tcPr>
          <w:p w14:paraId="65046DC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74B2C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1B415CC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块料机3#</w:t>
            </w:r>
          </w:p>
        </w:tc>
        <w:tc>
          <w:tcPr>
            <w:tcW w:w="744" w:type="dxa"/>
            <w:shd w:val="clear" w:color="auto" w:fill="auto"/>
            <w:vAlign w:val="center"/>
          </w:tcPr>
          <w:p w14:paraId="481F3A6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71DABEE3">
            <w:pPr>
              <w:jc w:val="center"/>
              <w:rPr>
                <w:rFonts w:hint="eastAsia" w:ascii="宋体" w:hAnsi="宋体" w:eastAsia="宋体" w:cs="宋体"/>
                <w:b w:val="0"/>
                <w:bCs w:val="0"/>
                <w:i w:val="0"/>
                <w:iCs w:val="0"/>
                <w:color w:val="000000"/>
                <w:sz w:val="21"/>
                <w:szCs w:val="21"/>
                <w:u w:val="none"/>
              </w:rPr>
            </w:pPr>
          </w:p>
        </w:tc>
        <w:tc>
          <w:tcPr>
            <w:tcW w:w="426" w:type="dxa"/>
            <w:shd w:val="clear" w:color="auto" w:fill="auto"/>
            <w:vAlign w:val="center"/>
          </w:tcPr>
          <w:p w14:paraId="2C439DB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90</w:t>
            </w:r>
          </w:p>
        </w:tc>
        <w:tc>
          <w:tcPr>
            <w:tcW w:w="426" w:type="dxa"/>
            <w:shd w:val="clear" w:color="auto" w:fill="auto"/>
            <w:vAlign w:val="center"/>
          </w:tcPr>
          <w:p w14:paraId="134D301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42</w:t>
            </w:r>
          </w:p>
        </w:tc>
        <w:tc>
          <w:tcPr>
            <w:tcW w:w="322" w:type="dxa"/>
            <w:shd w:val="clear" w:color="auto" w:fill="auto"/>
            <w:vAlign w:val="center"/>
          </w:tcPr>
          <w:p w14:paraId="56E8F79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36" w:type="dxa"/>
            <w:shd w:val="clear" w:color="auto" w:fill="auto"/>
            <w:vAlign w:val="center"/>
          </w:tcPr>
          <w:p w14:paraId="7E6C486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9.4</w:t>
            </w:r>
          </w:p>
        </w:tc>
        <w:tc>
          <w:tcPr>
            <w:tcW w:w="0" w:type="auto"/>
            <w:shd w:val="clear" w:color="auto" w:fill="auto"/>
            <w:noWrap/>
            <w:vAlign w:val="center"/>
          </w:tcPr>
          <w:p w14:paraId="26CA0EC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0" w:type="auto"/>
            <w:shd w:val="clear" w:color="auto" w:fill="auto"/>
            <w:noWrap/>
            <w:vAlign w:val="center"/>
          </w:tcPr>
          <w:p w14:paraId="226AFA1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42</w:t>
            </w:r>
          </w:p>
        </w:tc>
        <w:tc>
          <w:tcPr>
            <w:tcW w:w="0" w:type="auto"/>
            <w:shd w:val="clear" w:color="auto" w:fill="auto"/>
            <w:noWrap/>
            <w:vAlign w:val="center"/>
          </w:tcPr>
          <w:p w14:paraId="3C1D9A5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w:t>
            </w:r>
          </w:p>
        </w:tc>
        <w:tc>
          <w:tcPr>
            <w:tcW w:w="0" w:type="auto"/>
            <w:vMerge w:val="continue"/>
            <w:shd w:val="clear" w:color="auto" w:fill="auto"/>
            <w:noWrap/>
            <w:vAlign w:val="center"/>
          </w:tcPr>
          <w:p w14:paraId="5B4A5689">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0B4B993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55.53</w:t>
            </w:r>
          </w:p>
        </w:tc>
        <w:tc>
          <w:tcPr>
            <w:tcW w:w="0" w:type="auto"/>
            <w:shd w:val="clear" w:color="auto" w:fill="auto"/>
            <w:noWrap/>
            <w:vAlign w:val="center"/>
          </w:tcPr>
          <w:p w14:paraId="57F976E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48.97</w:t>
            </w:r>
          </w:p>
        </w:tc>
        <w:tc>
          <w:tcPr>
            <w:tcW w:w="0" w:type="auto"/>
            <w:shd w:val="clear" w:color="auto" w:fill="auto"/>
            <w:noWrap/>
            <w:vAlign w:val="center"/>
          </w:tcPr>
          <w:p w14:paraId="62D3380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42.54</w:t>
            </w:r>
          </w:p>
        </w:tc>
        <w:tc>
          <w:tcPr>
            <w:tcW w:w="0" w:type="auto"/>
            <w:shd w:val="clear" w:color="auto" w:fill="auto"/>
            <w:noWrap/>
            <w:vAlign w:val="center"/>
          </w:tcPr>
          <w:p w14:paraId="6F88D84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51.48</w:t>
            </w:r>
          </w:p>
        </w:tc>
        <w:tc>
          <w:tcPr>
            <w:tcW w:w="0" w:type="auto"/>
            <w:shd w:val="clear" w:color="auto" w:fill="auto"/>
            <w:noWrap/>
            <w:vAlign w:val="center"/>
          </w:tcPr>
          <w:p w14:paraId="19B66FF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117D704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30.53</w:t>
            </w:r>
          </w:p>
        </w:tc>
        <w:tc>
          <w:tcPr>
            <w:tcW w:w="0" w:type="auto"/>
            <w:shd w:val="clear" w:color="auto" w:fill="auto"/>
            <w:noWrap/>
            <w:vAlign w:val="center"/>
          </w:tcPr>
          <w:p w14:paraId="4727499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23.97</w:t>
            </w:r>
          </w:p>
        </w:tc>
        <w:tc>
          <w:tcPr>
            <w:tcW w:w="0" w:type="auto"/>
            <w:shd w:val="clear" w:color="auto" w:fill="auto"/>
            <w:noWrap/>
            <w:vAlign w:val="center"/>
          </w:tcPr>
          <w:p w14:paraId="4852CF8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17.54</w:t>
            </w:r>
          </w:p>
        </w:tc>
        <w:tc>
          <w:tcPr>
            <w:tcW w:w="0" w:type="auto"/>
            <w:shd w:val="clear" w:color="auto" w:fill="auto"/>
            <w:noWrap/>
            <w:vAlign w:val="center"/>
          </w:tcPr>
          <w:p w14:paraId="6296BE3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26.48</w:t>
            </w:r>
          </w:p>
        </w:tc>
        <w:tc>
          <w:tcPr>
            <w:tcW w:w="921" w:type="dxa"/>
            <w:shd w:val="clear" w:color="auto" w:fill="auto"/>
            <w:noWrap/>
            <w:vAlign w:val="center"/>
          </w:tcPr>
          <w:p w14:paraId="5D11659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5C25E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2A86925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粗碎机1#</w:t>
            </w:r>
          </w:p>
        </w:tc>
        <w:tc>
          <w:tcPr>
            <w:tcW w:w="744" w:type="dxa"/>
            <w:shd w:val="clear" w:color="auto" w:fill="auto"/>
            <w:vAlign w:val="center"/>
          </w:tcPr>
          <w:p w14:paraId="4AEBAB2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588EE2F2">
            <w:pPr>
              <w:jc w:val="center"/>
              <w:rPr>
                <w:rFonts w:hint="eastAsia" w:ascii="宋体" w:hAnsi="宋体" w:eastAsia="宋体" w:cs="宋体"/>
                <w:b w:val="0"/>
                <w:bCs w:val="0"/>
                <w:i w:val="0"/>
                <w:iCs w:val="0"/>
                <w:color w:val="000000"/>
                <w:sz w:val="21"/>
                <w:szCs w:val="21"/>
                <w:u w:val="none"/>
              </w:rPr>
            </w:pPr>
          </w:p>
        </w:tc>
        <w:tc>
          <w:tcPr>
            <w:tcW w:w="426" w:type="dxa"/>
            <w:shd w:val="clear" w:color="auto" w:fill="auto"/>
            <w:vAlign w:val="center"/>
          </w:tcPr>
          <w:p w14:paraId="7F16119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426" w:type="dxa"/>
            <w:shd w:val="clear" w:color="auto" w:fill="auto"/>
            <w:vAlign w:val="center"/>
          </w:tcPr>
          <w:p w14:paraId="33B5D1F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14</w:t>
            </w:r>
          </w:p>
        </w:tc>
        <w:tc>
          <w:tcPr>
            <w:tcW w:w="322" w:type="dxa"/>
            <w:shd w:val="clear" w:color="auto" w:fill="auto"/>
            <w:vAlign w:val="center"/>
          </w:tcPr>
          <w:p w14:paraId="2ABEC12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36" w:type="dxa"/>
            <w:shd w:val="clear" w:color="auto" w:fill="auto"/>
            <w:vAlign w:val="center"/>
          </w:tcPr>
          <w:p w14:paraId="7620056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19.4</w:t>
            </w:r>
          </w:p>
        </w:tc>
        <w:tc>
          <w:tcPr>
            <w:tcW w:w="0" w:type="auto"/>
            <w:shd w:val="clear" w:color="auto" w:fill="auto"/>
            <w:noWrap/>
            <w:vAlign w:val="center"/>
          </w:tcPr>
          <w:p w14:paraId="20AEF2E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0" w:type="auto"/>
            <w:shd w:val="clear" w:color="auto" w:fill="auto"/>
            <w:noWrap/>
            <w:vAlign w:val="center"/>
          </w:tcPr>
          <w:p w14:paraId="71965E9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14</w:t>
            </w:r>
          </w:p>
        </w:tc>
        <w:tc>
          <w:tcPr>
            <w:tcW w:w="0" w:type="auto"/>
            <w:shd w:val="clear" w:color="auto" w:fill="auto"/>
            <w:noWrap/>
            <w:vAlign w:val="center"/>
          </w:tcPr>
          <w:p w14:paraId="5D9D1DD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43</w:t>
            </w:r>
          </w:p>
        </w:tc>
        <w:tc>
          <w:tcPr>
            <w:tcW w:w="0" w:type="auto"/>
            <w:vMerge w:val="continue"/>
            <w:shd w:val="clear" w:color="auto" w:fill="auto"/>
            <w:noWrap/>
            <w:vAlign w:val="center"/>
          </w:tcPr>
          <w:p w14:paraId="38C948D5">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6CA662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49.24</w:t>
            </w:r>
          </w:p>
        </w:tc>
        <w:tc>
          <w:tcPr>
            <w:tcW w:w="0" w:type="auto"/>
            <w:shd w:val="clear" w:color="auto" w:fill="auto"/>
            <w:noWrap/>
            <w:vAlign w:val="center"/>
          </w:tcPr>
          <w:p w14:paraId="15D7901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55</w:t>
            </w:r>
          </w:p>
        </w:tc>
        <w:tc>
          <w:tcPr>
            <w:tcW w:w="0" w:type="auto"/>
            <w:shd w:val="clear" w:color="auto" w:fill="auto"/>
            <w:noWrap/>
            <w:vAlign w:val="center"/>
          </w:tcPr>
          <w:p w14:paraId="7332225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52.08</w:t>
            </w:r>
          </w:p>
        </w:tc>
        <w:tc>
          <w:tcPr>
            <w:tcW w:w="0" w:type="auto"/>
            <w:shd w:val="clear" w:color="auto" w:fill="auto"/>
            <w:noWrap/>
            <w:vAlign w:val="center"/>
          </w:tcPr>
          <w:p w14:paraId="2B1B3A9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42.33</w:t>
            </w:r>
          </w:p>
        </w:tc>
        <w:tc>
          <w:tcPr>
            <w:tcW w:w="0" w:type="auto"/>
            <w:shd w:val="clear" w:color="auto" w:fill="auto"/>
            <w:noWrap/>
            <w:vAlign w:val="center"/>
          </w:tcPr>
          <w:p w14:paraId="24BC9C9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54FDF89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24.24</w:t>
            </w:r>
          </w:p>
        </w:tc>
        <w:tc>
          <w:tcPr>
            <w:tcW w:w="0" w:type="auto"/>
            <w:shd w:val="clear" w:color="auto" w:fill="auto"/>
            <w:noWrap/>
            <w:vAlign w:val="center"/>
          </w:tcPr>
          <w:p w14:paraId="31E0F73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0" w:type="auto"/>
            <w:shd w:val="clear" w:color="auto" w:fill="auto"/>
            <w:noWrap/>
            <w:vAlign w:val="center"/>
          </w:tcPr>
          <w:p w14:paraId="3628EA0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27.08</w:t>
            </w:r>
          </w:p>
        </w:tc>
        <w:tc>
          <w:tcPr>
            <w:tcW w:w="0" w:type="auto"/>
            <w:shd w:val="clear" w:color="auto" w:fill="auto"/>
            <w:noWrap/>
            <w:vAlign w:val="center"/>
          </w:tcPr>
          <w:p w14:paraId="097293D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17.33</w:t>
            </w:r>
          </w:p>
        </w:tc>
        <w:tc>
          <w:tcPr>
            <w:tcW w:w="921" w:type="dxa"/>
            <w:shd w:val="clear" w:color="auto" w:fill="auto"/>
            <w:noWrap/>
            <w:vAlign w:val="center"/>
          </w:tcPr>
          <w:p w14:paraId="3923C4F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5B2C3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35" w:type="dxa"/>
            <w:shd w:val="clear" w:color="auto" w:fill="auto"/>
            <w:vAlign w:val="center"/>
          </w:tcPr>
          <w:p w14:paraId="01CA650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粗碎机2#</w:t>
            </w:r>
          </w:p>
        </w:tc>
        <w:tc>
          <w:tcPr>
            <w:tcW w:w="744" w:type="dxa"/>
            <w:shd w:val="clear" w:color="auto" w:fill="auto"/>
            <w:vAlign w:val="center"/>
          </w:tcPr>
          <w:p w14:paraId="4C2E355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5399EF5B">
            <w:pPr>
              <w:jc w:val="center"/>
              <w:rPr>
                <w:rFonts w:hint="eastAsia" w:ascii="宋体" w:hAnsi="宋体" w:eastAsia="宋体" w:cs="宋体"/>
                <w:b w:val="0"/>
                <w:bCs w:val="0"/>
                <w:i w:val="0"/>
                <w:iCs w:val="0"/>
                <w:color w:val="000000"/>
                <w:sz w:val="21"/>
                <w:szCs w:val="21"/>
                <w:u w:val="none"/>
              </w:rPr>
            </w:pPr>
          </w:p>
        </w:tc>
        <w:tc>
          <w:tcPr>
            <w:tcW w:w="426" w:type="dxa"/>
            <w:shd w:val="clear" w:color="auto" w:fill="auto"/>
            <w:vAlign w:val="center"/>
          </w:tcPr>
          <w:p w14:paraId="37F83CF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426" w:type="dxa"/>
            <w:shd w:val="clear" w:color="auto" w:fill="auto"/>
            <w:vAlign w:val="center"/>
          </w:tcPr>
          <w:p w14:paraId="57E0C61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28</w:t>
            </w:r>
          </w:p>
        </w:tc>
        <w:tc>
          <w:tcPr>
            <w:tcW w:w="322" w:type="dxa"/>
            <w:shd w:val="clear" w:color="auto" w:fill="auto"/>
            <w:vAlign w:val="center"/>
          </w:tcPr>
          <w:p w14:paraId="4D23B09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36" w:type="dxa"/>
            <w:shd w:val="clear" w:color="auto" w:fill="auto"/>
            <w:vAlign w:val="center"/>
          </w:tcPr>
          <w:p w14:paraId="67D2881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19.4</w:t>
            </w:r>
          </w:p>
        </w:tc>
        <w:tc>
          <w:tcPr>
            <w:tcW w:w="0" w:type="auto"/>
            <w:shd w:val="clear" w:color="auto" w:fill="auto"/>
            <w:noWrap/>
            <w:vAlign w:val="center"/>
          </w:tcPr>
          <w:p w14:paraId="2245535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0" w:type="auto"/>
            <w:shd w:val="clear" w:color="auto" w:fill="auto"/>
            <w:noWrap/>
            <w:vAlign w:val="center"/>
          </w:tcPr>
          <w:p w14:paraId="4E65FAE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28</w:t>
            </w:r>
          </w:p>
        </w:tc>
        <w:tc>
          <w:tcPr>
            <w:tcW w:w="0" w:type="auto"/>
            <w:shd w:val="clear" w:color="auto" w:fill="auto"/>
            <w:noWrap/>
            <w:vAlign w:val="center"/>
          </w:tcPr>
          <w:p w14:paraId="1CCA975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vMerge w:val="continue"/>
            <w:shd w:val="clear" w:color="auto" w:fill="auto"/>
            <w:noWrap/>
            <w:vAlign w:val="center"/>
          </w:tcPr>
          <w:p w14:paraId="0A1ACE25">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64FA03B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49.24</w:t>
            </w:r>
          </w:p>
        </w:tc>
        <w:tc>
          <w:tcPr>
            <w:tcW w:w="0" w:type="auto"/>
            <w:shd w:val="clear" w:color="auto" w:fill="auto"/>
            <w:noWrap/>
            <w:vAlign w:val="center"/>
          </w:tcPr>
          <w:p w14:paraId="65C7D5C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55</w:t>
            </w:r>
          </w:p>
        </w:tc>
        <w:tc>
          <w:tcPr>
            <w:tcW w:w="0" w:type="auto"/>
            <w:shd w:val="clear" w:color="auto" w:fill="auto"/>
            <w:noWrap/>
            <w:vAlign w:val="center"/>
          </w:tcPr>
          <w:p w14:paraId="55E1B1D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46.06</w:t>
            </w:r>
          </w:p>
        </w:tc>
        <w:tc>
          <w:tcPr>
            <w:tcW w:w="0" w:type="auto"/>
            <w:shd w:val="clear" w:color="auto" w:fill="auto"/>
            <w:noWrap/>
            <w:vAlign w:val="center"/>
          </w:tcPr>
          <w:p w14:paraId="5C3FAC6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45.75</w:t>
            </w:r>
          </w:p>
        </w:tc>
        <w:tc>
          <w:tcPr>
            <w:tcW w:w="0" w:type="auto"/>
            <w:shd w:val="clear" w:color="auto" w:fill="auto"/>
            <w:noWrap/>
            <w:vAlign w:val="center"/>
          </w:tcPr>
          <w:p w14:paraId="02EDE23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7DB8AA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24.24</w:t>
            </w:r>
          </w:p>
        </w:tc>
        <w:tc>
          <w:tcPr>
            <w:tcW w:w="0" w:type="auto"/>
            <w:shd w:val="clear" w:color="auto" w:fill="auto"/>
            <w:noWrap/>
            <w:vAlign w:val="center"/>
          </w:tcPr>
          <w:p w14:paraId="18E7763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0" w:type="auto"/>
            <w:shd w:val="clear" w:color="auto" w:fill="auto"/>
            <w:noWrap/>
            <w:vAlign w:val="center"/>
          </w:tcPr>
          <w:p w14:paraId="6609E70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21.06</w:t>
            </w:r>
          </w:p>
        </w:tc>
        <w:tc>
          <w:tcPr>
            <w:tcW w:w="0" w:type="auto"/>
            <w:shd w:val="clear" w:color="auto" w:fill="auto"/>
            <w:noWrap/>
            <w:vAlign w:val="center"/>
          </w:tcPr>
          <w:p w14:paraId="6A71021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20.75</w:t>
            </w:r>
          </w:p>
        </w:tc>
        <w:tc>
          <w:tcPr>
            <w:tcW w:w="921" w:type="dxa"/>
            <w:shd w:val="clear" w:color="auto" w:fill="auto"/>
            <w:noWrap/>
            <w:vAlign w:val="center"/>
          </w:tcPr>
          <w:p w14:paraId="5FC749C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4FED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35" w:type="dxa"/>
            <w:shd w:val="clear" w:color="auto" w:fill="auto"/>
            <w:vAlign w:val="center"/>
          </w:tcPr>
          <w:p w14:paraId="5A9CFB2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粗碎机3#</w:t>
            </w:r>
          </w:p>
        </w:tc>
        <w:tc>
          <w:tcPr>
            <w:tcW w:w="744" w:type="dxa"/>
            <w:shd w:val="clear" w:color="auto" w:fill="auto"/>
            <w:vAlign w:val="center"/>
          </w:tcPr>
          <w:p w14:paraId="7223FDE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1F39DC76">
            <w:pPr>
              <w:jc w:val="center"/>
              <w:rPr>
                <w:rFonts w:hint="eastAsia" w:ascii="宋体" w:hAnsi="宋体" w:eastAsia="宋体" w:cs="宋体"/>
                <w:b w:val="0"/>
                <w:bCs w:val="0"/>
                <w:i w:val="0"/>
                <w:iCs w:val="0"/>
                <w:color w:val="000000"/>
                <w:sz w:val="21"/>
                <w:szCs w:val="21"/>
                <w:u w:val="none"/>
              </w:rPr>
            </w:pPr>
          </w:p>
        </w:tc>
        <w:tc>
          <w:tcPr>
            <w:tcW w:w="426" w:type="dxa"/>
            <w:shd w:val="clear" w:color="auto" w:fill="auto"/>
            <w:vAlign w:val="center"/>
          </w:tcPr>
          <w:p w14:paraId="7B305BA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426" w:type="dxa"/>
            <w:shd w:val="clear" w:color="auto" w:fill="auto"/>
            <w:vAlign w:val="center"/>
          </w:tcPr>
          <w:p w14:paraId="014A663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42</w:t>
            </w:r>
          </w:p>
        </w:tc>
        <w:tc>
          <w:tcPr>
            <w:tcW w:w="322" w:type="dxa"/>
            <w:shd w:val="clear" w:color="auto" w:fill="auto"/>
            <w:vAlign w:val="center"/>
          </w:tcPr>
          <w:p w14:paraId="4F535AF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36" w:type="dxa"/>
            <w:shd w:val="clear" w:color="auto" w:fill="auto"/>
            <w:vAlign w:val="center"/>
          </w:tcPr>
          <w:p w14:paraId="2FC6845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19.4</w:t>
            </w:r>
          </w:p>
        </w:tc>
        <w:tc>
          <w:tcPr>
            <w:tcW w:w="0" w:type="auto"/>
            <w:shd w:val="clear" w:color="auto" w:fill="auto"/>
            <w:noWrap/>
            <w:vAlign w:val="center"/>
          </w:tcPr>
          <w:p w14:paraId="459C2C7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0" w:type="auto"/>
            <w:shd w:val="clear" w:color="auto" w:fill="auto"/>
            <w:noWrap/>
            <w:vAlign w:val="center"/>
          </w:tcPr>
          <w:p w14:paraId="6C2F91A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42</w:t>
            </w:r>
          </w:p>
        </w:tc>
        <w:tc>
          <w:tcPr>
            <w:tcW w:w="0" w:type="auto"/>
            <w:shd w:val="clear" w:color="auto" w:fill="auto"/>
            <w:noWrap/>
            <w:vAlign w:val="center"/>
          </w:tcPr>
          <w:p w14:paraId="0EAB0DE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w:t>
            </w:r>
          </w:p>
        </w:tc>
        <w:tc>
          <w:tcPr>
            <w:tcW w:w="0" w:type="auto"/>
            <w:vMerge w:val="continue"/>
            <w:shd w:val="clear" w:color="auto" w:fill="auto"/>
            <w:noWrap/>
            <w:vAlign w:val="center"/>
          </w:tcPr>
          <w:p w14:paraId="03509385">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3887161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49.24</w:t>
            </w:r>
          </w:p>
        </w:tc>
        <w:tc>
          <w:tcPr>
            <w:tcW w:w="0" w:type="auto"/>
            <w:shd w:val="clear" w:color="auto" w:fill="auto"/>
            <w:noWrap/>
            <w:vAlign w:val="center"/>
          </w:tcPr>
          <w:p w14:paraId="78A5EF7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55</w:t>
            </w:r>
          </w:p>
        </w:tc>
        <w:tc>
          <w:tcPr>
            <w:tcW w:w="0" w:type="auto"/>
            <w:shd w:val="clear" w:color="auto" w:fill="auto"/>
            <w:noWrap/>
            <w:vAlign w:val="center"/>
          </w:tcPr>
          <w:p w14:paraId="18F7CEE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42.54</w:t>
            </w:r>
          </w:p>
        </w:tc>
        <w:tc>
          <w:tcPr>
            <w:tcW w:w="0" w:type="auto"/>
            <w:shd w:val="clear" w:color="auto" w:fill="auto"/>
            <w:noWrap/>
            <w:vAlign w:val="center"/>
          </w:tcPr>
          <w:p w14:paraId="62786CF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51.48</w:t>
            </w:r>
          </w:p>
        </w:tc>
        <w:tc>
          <w:tcPr>
            <w:tcW w:w="0" w:type="auto"/>
            <w:shd w:val="clear" w:color="auto" w:fill="auto"/>
            <w:noWrap/>
            <w:vAlign w:val="center"/>
          </w:tcPr>
          <w:p w14:paraId="7DB1BC0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1CCD624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24.24</w:t>
            </w:r>
          </w:p>
        </w:tc>
        <w:tc>
          <w:tcPr>
            <w:tcW w:w="0" w:type="auto"/>
            <w:shd w:val="clear" w:color="auto" w:fill="auto"/>
            <w:noWrap/>
            <w:vAlign w:val="center"/>
          </w:tcPr>
          <w:p w14:paraId="1566E8A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0" w:type="auto"/>
            <w:shd w:val="clear" w:color="auto" w:fill="auto"/>
            <w:noWrap/>
            <w:vAlign w:val="center"/>
          </w:tcPr>
          <w:p w14:paraId="5C903FB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17.54</w:t>
            </w:r>
          </w:p>
        </w:tc>
        <w:tc>
          <w:tcPr>
            <w:tcW w:w="0" w:type="auto"/>
            <w:shd w:val="clear" w:color="auto" w:fill="auto"/>
            <w:noWrap/>
            <w:vAlign w:val="center"/>
          </w:tcPr>
          <w:p w14:paraId="76A3BEA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26.48</w:t>
            </w:r>
          </w:p>
        </w:tc>
        <w:tc>
          <w:tcPr>
            <w:tcW w:w="921" w:type="dxa"/>
            <w:shd w:val="clear" w:color="auto" w:fill="auto"/>
            <w:noWrap/>
            <w:vAlign w:val="center"/>
          </w:tcPr>
          <w:p w14:paraId="30A0156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0DA9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35" w:type="dxa"/>
            <w:shd w:val="clear" w:color="auto" w:fill="auto"/>
            <w:vAlign w:val="center"/>
          </w:tcPr>
          <w:p w14:paraId="76EA2C9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中碎机1#</w:t>
            </w:r>
          </w:p>
        </w:tc>
        <w:tc>
          <w:tcPr>
            <w:tcW w:w="744" w:type="dxa"/>
            <w:shd w:val="clear" w:color="auto" w:fill="auto"/>
            <w:vAlign w:val="center"/>
          </w:tcPr>
          <w:p w14:paraId="10926CB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47CB0431">
            <w:pPr>
              <w:jc w:val="center"/>
              <w:rPr>
                <w:rFonts w:hint="eastAsia" w:ascii="宋体" w:hAnsi="宋体" w:eastAsia="宋体" w:cs="宋体"/>
                <w:b w:val="0"/>
                <w:bCs w:val="0"/>
                <w:i w:val="0"/>
                <w:iCs w:val="0"/>
                <w:color w:val="000000"/>
                <w:sz w:val="21"/>
                <w:szCs w:val="21"/>
                <w:u w:val="none"/>
              </w:rPr>
            </w:pPr>
          </w:p>
        </w:tc>
        <w:tc>
          <w:tcPr>
            <w:tcW w:w="426" w:type="dxa"/>
            <w:shd w:val="clear" w:color="auto" w:fill="auto"/>
            <w:vAlign w:val="center"/>
          </w:tcPr>
          <w:p w14:paraId="76DD8BB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426" w:type="dxa"/>
            <w:shd w:val="clear" w:color="auto" w:fill="auto"/>
            <w:vAlign w:val="center"/>
          </w:tcPr>
          <w:p w14:paraId="184DD41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322" w:type="dxa"/>
            <w:shd w:val="clear" w:color="auto" w:fill="auto"/>
            <w:vAlign w:val="center"/>
          </w:tcPr>
          <w:p w14:paraId="63D465F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36" w:type="dxa"/>
            <w:shd w:val="clear" w:color="auto" w:fill="auto"/>
            <w:vAlign w:val="center"/>
          </w:tcPr>
          <w:p w14:paraId="6583496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0" w:type="auto"/>
            <w:shd w:val="clear" w:color="auto" w:fill="auto"/>
            <w:noWrap/>
            <w:vAlign w:val="center"/>
          </w:tcPr>
          <w:p w14:paraId="0787506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5957116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0" w:type="auto"/>
            <w:shd w:val="clear" w:color="auto" w:fill="auto"/>
            <w:noWrap/>
            <w:vAlign w:val="center"/>
          </w:tcPr>
          <w:p w14:paraId="6C5F422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70.9</w:t>
            </w:r>
          </w:p>
        </w:tc>
        <w:tc>
          <w:tcPr>
            <w:tcW w:w="0" w:type="auto"/>
            <w:vMerge w:val="continue"/>
            <w:shd w:val="clear" w:color="auto" w:fill="auto"/>
            <w:noWrap/>
            <w:vAlign w:val="center"/>
          </w:tcPr>
          <w:p w14:paraId="32C8F254">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4CB9F2C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60.92</w:t>
            </w:r>
          </w:p>
        </w:tc>
        <w:tc>
          <w:tcPr>
            <w:tcW w:w="0" w:type="auto"/>
            <w:shd w:val="clear" w:color="auto" w:fill="auto"/>
            <w:noWrap/>
            <w:vAlign w:val="center"/>
          </w:tcPr>
          <w:p w14:paraId="1C839F5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46.93</w:t>
            </w:r>
          </w:p>
        </w:tc>
        <w:tc>
          <w:tcPr>
            <w:tcW w:w="0" w:type="auto"/>
            <w:shd w:val="clear" w:color="auto" w:fill="auto"/>
            <w:noWrap/>
            <w:vAlign w:val="center"/>
          </w:tcPr>
          <w:p w14:paraId="783C646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61.94</w:t>
            </w:r>
          </w:p>
        </w:tc>
        <w:tc>
          <w:tcPr>
            <w:tcW w:w="0" w:type="auto"/>
            <w:shd w:val="clear" w:color="auto" w:fill="auto"/>
            <w:noWrap/>
            <w:vAlign w:val="center"/>
          </w:tcPr>
          <w:p w14:paraId="4EC7FF0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42.99</w:t>
            </w:r>
          </w:p>
        </w:tc>
        <w:tc>
          <w:tcPr>
            <w:tcW w:w="0" w:type="auto"/>
            <w:shd w:val="clear" w:color="auto" w:fill="auto"/>
            <w:noWrap/>
            <w:vAlign w:val="center"/>
          </w:tcPr>
          <w:p w14:paraId="325AEE0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09251F2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35.92</w:t>
            </w:r>
          </w:p>
        </w:tc>
        <w:tc>
          <w:tcPr>
            <w:tcW w:w="0" w:type="auto"/>
            <w:shd w:val="clear" w:color="auto" w:fill="auto"/>
            <w:noWrap/>
            <w:vAlign w:val="center"/>
          </w:tcPr>
          <w:p w14:paraId="3B4C4D1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21.93</w:t>
            </w:r>
          </w:p>
        </w:tc>
        <w:tc>
          <w:tcPr>
            <w:tcW w:w="0" w:type="auto"/>
            <w:shd w:val="clear" w:color="auto" w:fill="auto"/>
            <w:noWrap/>
            <w:vAlign w:val="center"/>
          </w:tcPr>
          <w:p w14:paraId="00FF307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36.94</w:t>
            </w:r>
          </w:p>
        </w:tc>
        <w:tc>
          <w:tcPr>
            <w:tcW w:w="0" w:type="auto"/>
            <w:shd w:val="clear" w:color="auto" w:fill="auto"/>
            <w:noWrap/>
            <w:vAlign w:val="center"/>
          </w:tcPr>
          <w:p w14:paraId="5F9EBF6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17.99</w:t>
            </w:r>
          </w:p>
        </w:tc>
        <w:tc>
          <w:tcPr>
            <w:tcW w:w="921" w:type="dxa"/>
            <w:shd w:val="clear" w:color="auto" w:fill="auto"/>
            <w:noWrap/>
            <w:vAlign w:val="center"/>
          </w:tcPr>
          <w:p w14:paraId="62C91DB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50E27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35" w:type="dxa"/>
            <w:shd w:val="clear" w:color="auto" w:fill="auto"/>
            <w:vAlign w:val="center"/>
          </w:tcPr>
          <w:p w14:paraId="6E1FA52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中碎机2#</w:t>
            </w:r>
          </w:p>
        </w:tc>
        <w:tc>
          <w:tcPr>
            <w:tcW w:w="0" w:type="auto"/>
            <w:shd w:val="clear" w:color="auto" w:fill="auto"/>
            <w:noWrap/>
            <w:vAlign w:val="center"/>
          </w:tcPr>
          <w:p w14:paraId="5488A1F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2289687F">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3A57284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7E9996E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w:t>
            </w:r>
          </w:p>
        </w:tc>
        <w:tc>
          <w:tcPr>
            <w:tcW w:w="322" w:type="dxa"/>
            <w:shd w:val="clear" w:color="auto" w:fill="auto"/>
            <w:vAlign w:val="center"/>
          </w:tcPr>
          <w:p w14:paraId="72A56CA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7F6C2C3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0" w:type="auto"/>
            <w:shd w:val="clear" w:color="auto" w:fill="auto"/>
            <w:noWrap/>
            <w:vAlign w:val="center"/>
          </w:tcPr>
          <w:p w14:paraId="214C4FC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125D49A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w:t>
            </w:r>
          </w:p>
        </w:tc>
        <w:tc>
          <w:tcPr>
            <w:tcW w:w="0" w:type="auto"/>
            <w:shd w:val="clear" w:color="auto" w:fill="auto"/>
            <w:noWrap/>
            <w:vAlign w:val="center"/>
          </w:tcPr>
          <w:p w14:paraId="5C0D6AD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65.9</w:t>
            </w:r>
          </w:p>
        </w:tc>
        <w:tc>
          <w:tcPr>
            <w:tcW w:w="0" w:type="auto"/>
            <w:vMerge w:val="continue"/>
            <w:shd w:val="clear" w:color="auto" w:fill="auto"/>
            <w:noWrap/>
            <w:vAlign w:val="center"/>
          </w:tcPr>
          <w:p w14:paraId="11C56DEC">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2CB4AD7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60.92</w:t>
            </w:r>
          </w:p>
        </w:tc>
        <w:tc>
          <w:tcPr>
            <w:tcW w:w="0" w:type="auto"/>
            <w:shd w:val="clear" w:color="auto" w:fill="auto"/>
            <w:noWrap/>
            <w:vAlign w:val="center"/>
          </w:tcPr>
          <w:p w14:paraId="47AE9D5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46.93</w:t>
            </w:r>
          </w:p>
        </w:tc>
        <w:tc>
          <w:tcPr>
            <w:tcW w:w="0" w:type="auto"/>
            <w:shd w:val="clear" w:color="auto" w:fill="auto"/>
            <w:noWrap/>
            <w:vAlign w:val="center"/>
          </w:tcPr>
          <w:p w14:paraId="75364C3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57.72</w:t>
            </w:r>
          </w:p>
        </w:tc>
        <w:tc>
          <w:tcPr>
            <w:tcW w:w="0" w:type="auto"/>
            <w:shd w:val="clear" w:color="auto" w:fill="auto"/>
            <w:noWrap/>
            <w:vAlign w:val="center"/>
          </w:tcPr>
          <w:p w14:paraId="3F102EB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43.62</w:t>
            </w:r>
          </w:p>
        </w:tc>
        <w:tc>
          <w:tcPr>
            <w:tcW w:w="0" w:type="auto"/>
            <w:shd w:val="clear" w:color="auto" w:fill="auto"/>
            <w:noWrap/>
            <w:vAlign w:val="center"/>
          </w:tcPr>
          <w:p w14:paraId="251C04D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7F59D84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35.92</w:t>
            </w:r>
          </w:p>
        </w:tc>
        <w:tc>
          <w:tcPr>
            <w:tcW w:w="0" w:type="auto"/>
            <w:shd w:val="clear" w:color="auto" w:fill="auto"/>
            <w:noWrap/>
            <w:vAlign w:val="center"/>
          </w:tcPr>
          <w:p w14:paraId="67415C1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21.93</w:t>
            </w:r>
          </w:p>
        </w:tc>
        <w:tc>
          <w:tcPr>
            <w:tcW w:w="0" w:type="auto"/>
            <w:shd w:val="clear" w:color="auto" w:fill="auto"/>
            <w:noWrap/>
            <w:vAlign w:val="center"/>
          </w:tcPr>
          <w:p w14:paraId="4FF2E13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32.72</w:t>
            </w:r>
          </w:p>
        </w:tc>
        <w:tc>
          <w:tcPr>
            <w:tcW w:w="0" w:type="auto"/>
            <w:shd w:val="clear" w:color="auto" w:fill="auto"/>
            <w:noWrap/>
            <w:vAlign w:val="center"/>
          </w:tcPr>
          <w:p w14:paraId="5612671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18.62</w:t>
            </w:r>
          </w:p>
        </w:tc>
        <w:tc>
          <w:tcPr>
            <w:tcW w:w="921" w:type="dxa"/>
            <w:shd w:val="clear" w:color="auto" w:fill="auto"/>
            <w:noWrap/>
            <w:vAlign w:val="center"/>
          </w:tcPr>
          <w:p w14:paraId="3226F17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421B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3670FD8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中碎机3#</w:t>
            </w:r>
          </w:p>
        </w:tc>
        <w:tc>
          <w:tcPr>
            <w:tcW w:w="744" w:type="dxa"/>
            <w:shd w:val="clear" w:color="auto" w:fill="auto"/>
            <w:vAlign w:val="center"/>
          </w:tcPr>
          <w:p w14:paraId="68D3AB6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00A7E476">
            <w:pPr>
              <w:jc w:val="center"/>
              <w:rPr>
                <w:rFonts w:hint="eastAsia" w:ascii="宋体" w:hAnsi="宋体" w:eastAsia="宋体" w:cs="宋体"/>
                <w:b w:val="0"/>
                <w:bCs w:val="0"/>
                <w:i w:val="0"/>
                <w:iCs w:val="0"/>
                <w:color w:val="000000"/>
                <w:sz w:val="21"/>
                <w:szCs w:val="21"/>
                <w:u w:val="none"/>
              </w:rPr>
            </w:pPr>
          </w:p>
        </w:tc>
        <w:tc>
          <w:tcPr>
            <w:tcW w:w="426" w:type="dxa"/>
            <w:shd w:val="clear" w:color="auto" w:fill="auto"/>
            <w:vAlign w:val="center"/>
          </w:tcPr>
          <w:p w14:paraId="4CF3EF4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426" w:type="dxa"/>
            <w:shd w:val="clear" w:color="auto" w:fill="auto"/>
            <w:vAlign w:val="center"/>
          </w:tcPr>
          <w:p w14:paraId="25CC760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18</w:t>
            </w:r>
          </w:p>
        </w:tc>
        <w:tc>
          <w:tcPr>
            <w:tcW w:w="322" w:type="dxa"/>
            <w:shd w:val="clear" w:color="auto" w:fill="auto"/>
            <w:vAlign w:val="center"/>
          </w:tcPr>
          <w:p w14:paraId="4F1744B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36" w:type="dxa"/>
            <w:shd w:val="clear" w:color="auto" w:fill="auto"/>
            <w:vAlign w:val="center"/>
          </w:tcPr>
          <w:p w14:paraId="3F15867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0" w:type="auto"/>
            <w:shd w:val="clear" w:color="auto" w:fill="auto"/>
            <w:noWrap/>
            <w:vAlign w:val="center"/>
          </w:tcPr>
          <w:p w14:paraId="3DE6337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29870A7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18</w:t>
            </w:r>
          </w:p>
        </w:tc>
        <w:tc>
          <w:tcPr>
            <w:tcW w:w="0" w:type="auto"/>
            <w:shd w:val="clear" w:color="auto" w:fill="auto"/>
            <w:noWrap/>
            <w:vAlign w:val="center"/>
          </w:tcPr>
          <w:p w14:paraId="19FE255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60.9</w:t>
            </w:r>
          </w:p>
        </w:tc>
        <w:tc>
          <w:tcPr>
            <w:tcW w:w="0" w:type="auto"/>
            <w:vMerge w:val="continue"/>
            <w:shd w:val="clear" w:color="auto" w:fill="auto"/>
            <w:noWrap/>
            <w:vAlign w:val="center"/>
          </w:tcPr>
          <w:p w14:paraId="45B76F30">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79B2628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60.92</w:t>
            </w:r>
          </w:p>
        </w:tc>
        <w:tc>
          <w:tcPr>
            <w:tcW w:w="0" w:type="auto"/>
            <w:shd w:val="clear" w:color="auto" w:fill="auto"/>
            <w:noWrap/>
            <w:vAlign w:val="center"/>
          </w:tcPr>
          <w:p w14:paraId="5919EC9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46.93</w:t>
            </w:r>
          </w:p>
        </w:tc>
        <w:tc>
          <w:tcPr>
            <w:tcW w:w="0" w:type="auto"/>
            <w:shd w:val="clear" w:color="auto" w:fill="auto"/>
            <w:noWrap/>
            <w:vAlign w:val="center"/>
          </w:tcPr>
          <w:p w14:paraId="5F952F0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54.89</w:t>
            </w:r>
          </w:p>
        </w:tc>
        <w:tc>
          <w:tcPr>
            <w:tcW w:w="0" w:type="auto"/>
            <w:shd w:val="clear" w:color="auto" w:fill="auto"/>
            <w:noWrap/>
            <w:vAlign w:val="center"/>
          </w:tcPr>
          <w:p w14:paraId="42C8622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44.31</w:t>
            </w:r>
          </w:p>
        </w:tc>
        <w:tc>
          <w:tcPr>
            <w:tcW w:w="0" w:type="auto"/>
            <w:shd w:val="clear" w:color="auto" w:fill="auto"/>
            <w:noWrap/>
            <w:vAlign w:val="center"/>
          </w:tcPr>
          <w:p w14:paraId="4723A9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3EA35A1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35.92</w:t>
            </w:r>
          </w:p>
        </w:tc>
        <w:tc>
          <w:tcPr>
            <w:tcW w:w="0" w:type="auto"/>
            <w:shd w:val="clear" w:color="auto" w:fill="auto"/>
            <w:noWrap/>
            <w:vAlign w:val="center"/>
          </w:tcPr>
          <w:p w14:paraId="3A45939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21.93</w:t>
            </w:r>
          </w:p>
        </w:tc>
        <w:tc>
          <w:tcPr>
            <w:tcW w:w="0" w:type="auto"/>
            <w:shd w:val="clear" w:color="auto" w:fill="auto"/>
            <w:noWrap/>
            <w:vAlign w:val="center"/>
          </w:tcPr>
          <w:p w14:paraId="6276EA0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29.89</w:t>
            </w:r>
          </w:p>
        </w:tc>
        <w:tc>
          <w:tcPr>
            <w:tcW w:w="0" w:type="auto"/>
            <w:shd w:val="clear" w:color="auto" w:fill="auto"/>
            <w:noWrap/>
            <w:vAlign w:val="center"/>
          </w:tcPr>
          <w:p w14:paraId="42B9A47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19.31</w:t>
            </w:r>
          </w:p>
        </w:tc>
        <w:tc>
          <w:tcPr>
            <w:tcW w:w="921" w:type="dxa"/>
            <w:shd w:val="clear" w:color="auto" w:fill="auto"/>
            <w:noWrap/>
            <w:vAlign w:val="center"/>
          </w:tcPr>
          <w:p w14:paraId="27FC7DF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34F2E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35" w:type="dxa"/>
            <w:shd w:val="clear" w:color="auto" w:fill="auto"/>
            <w:vAlign w:val="center"/>
          </w:tcPr>
          <w:p w14:paraId="236A6B6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中碎机4#</w:t>
            </w:r>
          </w:p>
        </w:tc>
        <w:tc>
          <w:tcPr>
            <w:tcW w:w="0" w:type="auto"/>
            <w:shd w:val="clear" w:color="auto" w:fill="auto"/>
            <w:noWrap/>
            <w:vAlign w:val="center"/>
          </w:tcPr>
          <w:p w14:paraId="09099E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3AEA6C06">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02EC2B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2F84166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23</w:t>
            </w:r>
          </w:p>
        </w:tc>
        <w:tc>
          <w:tcPr>
            <w:tcW w:w="322" w:type="dxa"/>
            <w:shd w:val="clear" w:color="auto" w:fill="auto"/>
            <w:vAlign w:val="center"/>
          </w:tcPr>
          <w:p w14:paraId="6086743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6D52DF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0" w:type="auto"/>
            <w:shd w:val="clear" w:color="auto" w:fill="auto"/>
            <w:noWrap/>
            <w:vAlign w:val="center"/>
          </w:tcPr>
          <w:p w14:paraId="04B9B3D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20E883A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23</w:t>
            </w:r>
          </w:p>
        </w:tc>
        <w:tc>
          <w:tcPr>
            <w:tcW w:w="0" w:type="auto"/>
            <w:shd w:val="clear" w:color="auto" w:fill="auto"/>
            <w:noWrap/>
            <w:vAlign w:val="center"/>
          </w:tcPr>
          <w:p w14:paraId="08D8AA5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55.9</w:t>
            </w:r>
          </w:p>
        </w:tc>
        <w:tc>
          <w:tcPr>
            <w:tcW w:w="0" w:type="auto"/>
            <w:vMerge w:val="continue"/>
            <w:shd w:val="clear" w:color="auto" w:fill="auto"/>
            <w:noWrap/>
            <w:vAlign w:val="center"/>
          </w:tcPr>
          <w:p w14:paraId="79FA42C4">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15B4EFD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60.92</w:t>
            </w:r>
          </w:p>
        </w:tc>
        <w:tc>
          <w:tcPr>
            <w:tcW w:w="0" w:type="auto"/>
            <w:shd w:val="clear" w:color="auto" w:fill="auto"/>
            <w:noWrap/>
            <w:vAlign w:val="center"/>
          </w:tcPr>
          <w:p w14:paraId="3986131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46.93</w:t>
            </w:r>
          </w:p>
        </w:tc>
        <w:tc>
          <w:tcPr>
            <w:tcW w:w="0" w:type="auto"/>
            <w:shd w:val="clear" w:color="auto" w:fill="auto"/>
            <w:noWrap/>
            <w:vAlign w:val="center"/>
          </w:tcPr>
          <w:p w14:paraId="11346A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52.77</w:t>
            </w:r>
          </w:p>
        </w:tc>
        <w:tc>
          <w:tcPr>
            <w:tcW w:w="0" w:type="auto"/>
            <w:shd w:val="clear" w:color="auto" w:fill="auto"/>
            <w:noWrap/>
            <w:vAlign w:val="center"/>
          </w:tcPr>
          <w:p w14:paraId="01E8222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45.05</w:t>
            </w:r>
          </w:p>
        </w:tc>
        <w:tc>
          <w:tcPr>
            <w:tcW w:w="0" w:type="auto"/>
            <w:shd w:val="clear" w:color="auto" w:fill="auto"/>
            <w:noWrap/>
            <w:vAlign w:val="center"/>
          </w:tcPr>
          <w:p w14:paraId="727C26A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3596A54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35.92</w:t>
            </w:r>
          </w:p>
        </w:tc>
        <w:tc>
          <w:tcPr>
            <w:tcW w:w="0" w:type="auto"/>
            <w:shd w:val="clear" w:color="auto" w:fill="auto"/>
            <w:noWrap/>
            <w:vAlign w:val="center"/>
          </w:tcPr>
          <w:p w14:paraId="5F9DEB6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21.93</w:t>
            </w:r>
          </w:p>
        </w:tc>
        <w:tc>
          <w:tcPr>
            <w:tcW w:w="0" w:type="auto"/>
            <w:shd w:val="clear" w:color="auto" w:fill="auto"/>
            <w:noWrap/>
            <w:vAlign w:val="center"/>
          </w:tcPr>
          <w:p w14:paraId="61510D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27.77</w:t>
            </w:r>
          </w:p>
        </w:tc>
        <w:tc>
          <w:tcPr>
            <w:tcW w:w="0" w:type="auto"/>
            <w:shd w:val="clear" w:color="auto" w:fill="auto"/>
            <w:noWrap/>
            <w:vAlign w:val="center"/>
          </w:tcPr>
          <w:p w14:paraId="5F19C71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20.05</w:t>
            </w:r>
          </w:p>
        </w:tc>
        <w:tc>
          <w:tcPr>
            <w:tcW w:w="921" w:type="dxa"/>
            <w:shd w:val="clear" w:color="auto" w:fill="auto"/>
            <w:noWrap/>
            <w:vAlign w:val="center"/>
          </w:tcPr>
          <w:p w14:paraId="4BBFC10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6AB4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4D08C19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中碎机5#</w:t>
            </w:r>
          </w:p>
        </w:tc>
        <w:tc>
          <w:tcPr>
            <w:tcW w:w="744" w:type="dxa"/>
            <w:shd w:val="clear" w:color="auto" w:fill="auto"/>
            <w:vAlign w:val="center"/>
          </w:tcPr>
          <w:p w14:paraId="4A93634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18BB6212">
            <w:pPr>
              <w:jc w:val="center"/>
              <w:rPr>
                <w:rFonts w:hint="eastAsia" w:ascii="宋体" w:hAnsi="宋体" w:eastAsia="宋体" w:cs="宋体"/>
                <w:b w:val="0"/>
                <w:bCs w:val="0"/>
                <w:i w:val="0"/>
                <w:iCs w:val="0"/>
                <w:color w:val="000000"/>
                <w:sz w:val="21"/>
                <w:szCs w:val="21"/>
                <w:u w:val="none"/>
              </w:rPr>
            </w:pPr>
          </w:p>
        </w:tc>
        <w:tc>
          <w:tcPr>
            <w:tcW w:w="426" w:type="dxa"/>
            <w:shd w:val="clear" w:color="auto" w:fill="auto"/>
            <w:vAlign w:val="center"/>
          </w:tcPr>
          <w:p w14:paraId="3BBB9E0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426" w:type="dxa"/>
            <w:shd w:val="clear" w:color="auto" w:fill="auto"/>
            <w:vAlign w:val="center"/>
          </w:tcPr>
          <w:p w14:paraId="7AA0C8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28</w:t>
            </w:r>
          </w:p>
        </w:tc>
        <w:tc>
          <w:tcPr>
            <w:tcW w:w="322" w:type="dxa"/>
            <w:shd w:val="clear" w:color="auto" w:fill="auto"/>
            <w:vAlign w:val="center"/>
          </w:tcPr>
          <w:p w14:paraId="37B2A08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36" w:type="dxa"/>
            <w:shd w:val="clear" w:color="auto" w:fill="auto"/>
            <w:vAlign w:val="center"/>
          </w:tcPr>
          <w:p w14:paraId="05887A1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0" w:type="auto"/>
            <w:shd w:val="clear" w:color="auto" w:fill="auto"/>
            <w:noWrap/>
            <w:vAlign w:val="center"/>
          </w:tcPr>
          <w:p w14:paraId="35ECF5F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003F078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28</w:t>
            </w:r>
          </w:p>
        </w:tc>
        <w:tc>
          <w:tcPr>
            <w:tcW w:w="0" w:type="auto"/>
            <w:shd w:val="clear" w:color="auto" w:fill="auto"/>
            <w:noWrap/>
            <w:vAlign w:val="center"/>
          </w:tcPr>
          <w:p w14:paraId="7B44635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50.9</w:t>
            </w:r>
          </w:p>
        </w:tc>
        <w:tc>
          <w:tcPr>
            <w:tcW w:w="0" w:type="auto"/>
            <w:vMerge w:val="continue"/>
            <w:shd w:val="clear" w:color="auto" w:fill="auto"/>
            <w:noWrap/>
            <w:vAlign w:val="center"/>
          </w:tcPr>
          <w:p w14:paraId="7AD6534F">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6ECC1ED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60.92</w:t>
            </w:r>
          </w:p>
        </w:tc>
        <w:tc>
          <w:tcPr>
            <w:tcW w:w="0" w:type="auto"/>
            <w:shd w:val="clear" w:color="auto" w:fill="auto"/>
            <w:noWrap/>
            <w:vAlign w:val="center"/>
          </w:tcPr>
          <w:p w14:paraId="3AB2B6A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46.93</w:t>
            </w:r>
          </w:p>
        </w:tc>
        <w:tc>
          <w:tcPr>
            <w:tcW w:w="0" w:type="auto"/>
            <w:shd w:val="clear" w:color="auto" w:fill="auto"/>
            <w:noWrap/>
            <w:vAlign w:val="center"/>
          </w:tcPr>
          <w:p w14:paraId="32A47A4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51.06</w:t>
            </w:r>
          </w:p>
        </w:tc>
        <w:tc>
          <w:tcPr>
            <w:tcW w:w="0" w:type="auto"/>
            <w:shd w:val="clear" w:color="auto" w:fill="auto"/>
            <w:noWrap/>
            <w:vAlign w:val="center"/>
          </w:tcPr>
          <w:p w14:paraId="7887FB8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45.87</w:t>
            </w:r>
          </w:p>
        </w:tc>
        <w:tc>
          <w:tcPr>
            <w:tcW w:w="0" w:type="auto"/>
            <w:shd w:val="clear" w:color="auto" w:fill="auto"/>
            <w:noWrap/>
            <w:vAlign w:val="center"/>
          </w:tcPr>
          <w:p w14:paraId="59DA0C7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7F5943A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35.92</w:t>
            </w:r>
          </w:p>
        </w:tc>
        <w:tc>
          <w:tcPr>
            <w:tcW w:w="0" w:type="auto"/>
            <w:shd w:val="clear" w:color="auto" w:fill="auto"/>
            <w:noWrap/>
            <w:vAlign w:val="center"/>
          </w:tcPr>
          <w:p w14:paraId="28AF54D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21.93</w:t>
            </w:r>
          </w:p>
        </w:tc>
        <w:tc>
          <w:tcPr>
            <w:tcW w:w="0" w:type="auto"/>
            <w:shd w:val="clear" w:color="auto" w:fill="auto"/>
            <w:noWrap/>
            <w:vAlign w:val="center"/>
          </w:tcPr>
          <w:p w14:paraId="1CA9EC1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26.06</w:t>
            </w:r>
          </w:p>
        </w:tc>
        <w:tc>
          <w:tcPr>
            <w:tcW w:w="0" w:type="auto"/>
            <w:shd w:val="clear" w:color="auto" w:fill="auto"/>
            <w:noWrap/>
            <w:vAlign w:val="center"/>
          </w:tcPr>
          <w:p w14:paraId="07805BC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20.87</w:t>
            </w:r>
          </w:p>
        </w:tc>
        <w:tc>
          <w:tcPr>
            <w:tcW w:w="921" w:type="dxa"/>
            <w:shd w:val="clear" w:color="auto" w:fill="auto"/>
            <w:noWrap/>
            <w:vAlign w:val="center"/>
          </w:tcPr>
          <w:p w14:paraId="4DB2948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6E9F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720AA0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中碎机6#</w:t>
            </w:r>
          </w:p>
        </w:tc>
        <w:tc>
          <w:tcPr>
            <w:tcW w:w="0" w:type="auto"/>
            <w:shd w:val="clear" w:color="auto" w:fill="auto"/>
            <w:noWrap/>
            <w:vAlign w:val="center"/>
          </w:tcPr>
          <w:p w14:paraId="7941E4C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32109225">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5F2C1A0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03B9782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33</w:t>
            </w:r>
          </w:p>
        </w:tc>
        <w:tc>
          <w:tcPr>
            <w:tcW w:w="322" w:type="dxa"/>
            <w:shd w:val="clear" w:color="auto" w:fill="auto"/>
            <w:vAlign w:val="center"/>
          </w:tcPr>
          <w:p w14:paraId="6477A1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1DEBF38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0" w:type="auto"/>
            <w:shd w:val="clear" w:color="auto" w:fill="auto"/>
            <w:noWrap/>
            <w:vAlign w:val="center"/>
          </w:tcPr>
          <w:p w14:paraId="1B2B4ED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31CCD08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33</w:t>
            </w:r>
          </w:p>
        </w:tc>
        <w:tc>
          <w:tcPr>
            <w:tcW w:w="0" w:type="auto"/>
            <w:shd w:val="clear" w:color="auto" w:fill="auto"/>
            <w:noWrap/>
            <w:vAlign w:val="center"/>
          </w:tcPr>
          <w:p w14:paraId="20389FD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45.9</w:t>
            </w:r>
          </w:p>
        </w:tc>
        <w:tc>
          <w:tcPr>
            <w:tcW w:w="0" w:type="auto"/>
            <w:vMerge w:val="continue"/>
            <w:shd w:val="clear" w:color="auto" w:fill="auto"/>
            <w:noWrap/>
            <w:vAlign w:val="center"/>
          </w:tcPr>
          <w:p w14:paraId="5FD589E4">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73D3AE2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60.92</w:t>
            </w:r>
          </w:p>
        </w:tc>
        <w:tc>
          <w:tcPr>
            <w:tcW w:w="0" w:type="auto"/>
            <w:shd w:val="clear" w:color="auto" w:fill="auto"/>
            <w:noWrap/>
            <w:vAlign w:val="center"/>
          </w:tcPr>
          <w:p w14:paraId="1BED733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46.93</w:t>
            </w:r>
          </w:p>
        </w:tc>
        <w:tc>
          <w:tcPr>
            <w:tcW w:w="0" w:type="auto"/>
            <w:shd w:val="clear" w:color="auto" w:fill="auto"/>
            <w:noWrap/>
            <w:vAlign w:val="center"/>
          </w:tcPr>
          <w:p w14:paraId="28944F7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49.63</w:t>
            </w:r>
          </w:p>
        </w:tc>
        <w:tc>
          <w:tcPr>
            <w:tcW w:w="0" w:type="auto"/>
            <w:shd w:val="clear" w:color="auto" w:fill="auto"/>
            <w:noWrap/>
            <w:vAlign w:val="center"/>
          </w:tcPr>
          <w:p w14:paraId="3D070BE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46.76</w:t>
            </w:r>
          </w:p>
        </w:tc>
        <w:tc>
          <w:tcPr>
            <w:tcW w:w="0" w:type="auto"/>
            <w:shd w:val="clear" w:color="auto" w:fill="auto"/>
            <w:noWrap/>
            <w:vAlign w:val="center"/>
          </w:tcPr>
          <w:p w14:paraId="7EA31C1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6EB6A74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35.92</w:t>
            </w:r>
          </w:p>
        </w:tc>
        <w:tc>
          <w:tcPr>
            <w:tcW w:w="0" w:type="auto"/>
            <w:shd w:val="clear" w:color="auto" w:fill="auto"/>
            <w:noWrap/>
            <w:vAlign w:val="center"/>
          </w:tcPr>
          <w:p w14:paraId="77EA7BC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21.93</w:t>
            </w:r>
          </w:p>
        </w:tc>
        <w:tc>
          <w:tcPr>
            <w:tcW w:w="0" w:type="auto"/>
            <w:shd w:val="clear" w:color="auto" w:fill="auto"/>
            <w:noWrap/>
            <w:vAlign w:val="center"/>
          </w:tcPr>
          <w:p w14:paraId="3DB5FE8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24.63</w:t>
            </w:r>
          </w:p>
        </w:tc>
        <w:tc>
          <w:tcPr>
            <w:tcW w:w="0" w:type="auto"/>
            <w:shd w:val="clear" w:color="auto" w:fill="auto"/>
            <w:noWrap/>
            <w:vAlign w:val="center"/>
          </w:tcPr>
          <w:p w14:paraId="46E0D85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21.76</w:t>
            </w:r>
          </w:p>
        </w:tc>
        <w:tc>
          <w:tcPr>
            <w:tcW w:w="921" w:type="dxa"/>
            <w:shd w:val="clear" w:color="auto" w:fill="auto"/>
            <w:noWrap/>
            <w:vAlign w:val="center"/>
          </w:tcPr>
          <w:p w14:paraId="6134E2F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53D3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2F28281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中碎机7#</w:t>
            </w:r>
          </w:p>
        </w:tc>
        <w:tc>
          <w:tcPr>
            <w:tcW w:w="744" w:type="dxa"/>
            <w:shd w:val="clear" w:color="auto" w:fill="auto"/>
            <w:vAlign w:val="center"/>
          </w:tcPr>
          <w:p w14:paraId="5DCE712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77785CFB">
            <w:pPr>
              <w:jc w:val="center"/>
              <w:rPr>
                <w:rFonts w:hint="eastAsia" w:ascii="宋体" w:hAnsi="宋体" w:eastAsia="宋体" w:cs="宋体"/>
                <w:b w:val="0"/>
                <w:bCs w:val="0"/>
                <w:i w:val="0"/>
                <w:iCs w:val="0"/>
                <w:color w:val="000000"/>
                <w:sz w:val="21"/>
                <w:szCs w:val="21"/>
                <w:u w:val="none"/>
              </w:rPr>
            </w:pPr>
          </w:p>
        </w:tc>
        <w:tc>
          <w:tcPr>
            <w:tcW w:w="426" w:type="dxa"/>
            <w:shd w:val="clear" w:color="auto" w:fill="auto"/>
            <w:vAlign w:val="center"/>
          </w:tcPr>
          <w:p w14:paraId="47BCE1E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426" w:type="dxa"/>
            <w:shd w:val="clear" w:color="auto" w:fill="auto"/>
            <w:vAlign w:val="center"/>
          </w:tcPr>
          <w:p w14:paraId="1E9AE3A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38</w:t>
            </w:r>
          </w:p>
        </w:tc>
        <w:tc>
          <w:tcPr>
            <w:tcW w:w="322" w:type="dxa"/>
            <w:shd w:val="clear" w:color="auto" w:fill="auto"/>
            <w:vAlign w:val="center"/>
          </w:tcPr>
          <w:p w14:paraId="5421D7A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36" w:type="dxa"/>
            <w:shd w:val="clear" w:color="auto" w:fill="auto"/>
            <w:vAlign w:val="center"/>
          </w:tcPr>
          <w:p w14:paraId="607708F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0" w:type="auto"/>
            <w:shd w:val="clear" w:color="auto" w:fill="auto"/>
            <w:noWrap/>
            <w:vAlign w:val="center"/>
          </w:tcPr>
          <w:p w14:paraId="721E6F3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45020B3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38</w:t>
            </w:r>
          </w:p>
        </w:tc>
        <w:tc>
          <w:tcPr>
            <w:tcW w:w="0" w:type="auto"/>
            <w:shd w:val="clear" w:color="auto" w:fill="auto"/>
            <w:noWrap/>
            <w:vAlign w:val="center"/>
          </w:tcPr>
          <w:p w14:paraId="4537C56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40.9</w:t>
            </w:r>
          </w:p>
        </w:tc>
        <w:tc>
          <w:tcPr>
            <w:tcW w:w="0" w:type="auto"/>
            <w:vMerge w:val="continue"/>
            <w:shd w:val="clear" w:color="auto" w:fill="auto"/>
            <w:noWrap/>
            <w:vAlign w:val="center"/>
          </w:tcPr>
          <w:p w14:paraId="577358BE">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1437941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60.92</w:t>
            </w:r>
          </w:p>
        </w:tc>
        <w:tc>
          <w:tcPr>
            <w:tcW w:w="0" w:type="auto"/>
            <w:shd w:val="clear" w:color="auto" w:fill="auto"/>
            <w:noWrap/>
            <w:vAlign w:val="center"/>
          </w:tcPr>
          <w:p w14:paraId="51AECB1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46.93</w:t>
            </w:r>
          </w:p>
        </w:tc>
        <w:tc>
          <w:tcPr>
            <w:tcW w:w="0" w:type="auto"/>
            <w:shd w:val="clear" w:color="auto" w:fill="auto"/>
            <w:noWrap/>
            <w:vAlign w:val="center"/>
          </w:tcPr>
          <w:p w14:paraId="274603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48.40 </w:t>
            </w:r>
          </w:p>
        </w:tc>
        <w:tc>
          <w:tcPr>
            <w:tcW w:w="0" w:type="auto"/>
            <w:shd w:val="clear" w:color="auto" w:fill="auto"/>
            <w:noWrap/>
            <w:vAlign w:val="center"/>
          </w:tcPr>
          <w:p w14:paraId="7A0B33B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47.77</w:t>
            </w:r>
          </w:p>
        </w:tc>
        <w:tc>
          <w:tcPr>
            <w:tcW w:w="0" w:type="auto"/>
            <w:shd w:val="clear" w:color="auto" w:fill="auto"/>
            <w:noWrap/>
            <w:vAlign w:val="center"/>
          </w:tcPr>
          <w:p w14:paraId="2DF9B89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1953DF0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35.92</w:t>
            </w:r>
          </w:p>
        </w:tc>
        <w:tc>
          <w:tcPr>
            <w:tcW w:w="0" w:type="auto"/>
            <w:shd w:val="clear" w:color="auto" w:fill="auto"/>
            <w:noWrap/>
            <w:vAlign w:val="center"/>
          </w:tcPr>
          <w:p w14:paraId="379BCC9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21.93</w:t>
            </w:r>
          </w:p>
        </w:tc>
        <w:tc>
          <w:tcPr>
            <w:tcW w:w="0" w:type="auto"/>
            <w:shd w:val="clear" w:color="auto" w:fill="auto"/>
            <w:noWrap/>
            <w:vAlign w:val="center"/>
          </w:tcPr>
          <w:p w14:paraId="6C16793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23.4</w:t>
            </w:r>
          </w:p>
        </w:tc>
        <w:tc>
          <w:tcPr>
            <w:tcW w:w="0" w:type="auto"/>
            <w:shd w:val="clear" w:color="auto" w:fill="auto"/>
            <w:noWrap/>
            <w:vAlign w:val="center"/>
          </w:tcPr>
          <w:p w14:paraId="4AD64AC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22.77</w:t>
            </w:r>
          </w:p>
        </w:tc>
        <w:tc>
          <w:tcPr>
            <w:tcW w:w="921" w:type="dxa"/>
            <w:shd w:val="clear" w:color="auto" w:fill="auto"/>
            <w:noWrap/>
            <w:vAlign w:val="center"/>
          </w:tcPr>
          <w:p w14:paraId="3C2D010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5EE76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35" w:type="dxa"/>
            <w:shd w:val="clear" w:color="auto" w:fill="auto"/>
            <w:vAlign w:val="center"/>
          </w:tcPr>
          <w:p w14:paraId="4F13BAC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中碎机8#</w:t>
            </w:r>
          </w:p>
        </w:tc>
        <w:tc>
          <w:tcPr>
            <w:tcW w:w="0" w:type="auto"/>
            <w:shd w:val="clear" w:color="auto" w:fill="auto"/>
            <w:noWrap/>
            <w:vAlign w:val="center"/>
          </w:tcPr>
          <w:p w14:paraId="050530B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5ECFF1C1">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660FD18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1F9798C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43</w:t>
            </w:r>
          </w:p>
        </w:tc>
        <w:tc>
          <w:tcPr>
            <w:tcW w:w="322" w:type="dxa"/>
            <w:shd w:val="clear" w:color="auto" w:fill="auto"/>
            <w:vAlign w:val="center"/>
          </w:tcPr>
          <w:p w14:paraId="659154D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216B76D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0" w:type="auto"/>
            <w:shd w:val="clear" w:color="auto" w:fill="auto"/>
            <w:noWrap/>
            <w:vAlign w:val="center"/>
          </w:tcPr>
          <w:p w14:paraId="3A4138B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1E0DFA7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43</w:t>
            </w:r>
          </w:p>
        </w:tc>
        <w:tc>
          <w:tcPr>
            <w:tcW w:w="0" w:type="auto"/>
            <w:shd w:val="clear" w:color="auto" w:fill="auto"/>
            <w:noWrap/>
            <w:vAlign w:val="center"/>
          </w:tcPr>
          <w:p w14:paraId="0FA04EC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35.9</w:t>
            </w:r>
          </w:p>
        </w:tc>
        <w:tc>
          <w:tcPr>
            <w:tcW w:w="0" w:type="auto"/>
            <w:vMerge w:val="continue"/>
            <w:shd w:val="clear" w:color="auto" w:fill="auto"/>
            <w:noWrap/>
            <w:vAlign w:val="center"/>
          </w:tcPr>
          <w:p w14:paraId="33061FC1">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3874C6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60.92</w:t>
            </w:r>
          </w:p>
        </w:tc>
        <w:tc>
          <w:tcPr>
            <w:tcW w:w="0" w:type="auto"/>
            <w:shd w:val="clear" w:color="auto" w:fill="auto"/>
            <w:noWrap/>
            <w:vAlign w:val="center"/>
          </w:tcPr>
          <w:p w14:paraId="05C8D72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46.93</w:t>
            </w:r>
          </w:p>
        </w:tc>
        <w:tc>
          <w:tcPr>
            <w:tcW w:w="0" w:type="auto"/>
            <w:shd w:val="clear" w:color="auto" w:fill="auto"/>
            <w:noWrap/>
            <w:vAlign w:val="center"/>
          </w:tcPr>
          <w:p w14:paraId="11D1D2D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47.33</w:t>
            </w:r>
          </w:p>
        </w:tc>
        <w:tc>
          <w:tcPr>
            <w:tcW w:w="0" w:type="auto"/>
            <w:shd w:val="clear" w:color="auto" w:fill="auto"/>
            <w:noWrap/>
            <w:vAlign w:val="center"/>
          </w:tcPr>
          <w:p w14:paraId="00AA046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48.90 </w:t>
            </w:r>
          </w:p>
        </w:tc>
        <w:tc>
          <w:tcPr>
            <w:tcW w:w="0" w:type="auto"/>
            <w:shd w:val="clear" w:color="auto" w:fill="auto"/>
            <w:noWrap/>
            <w:vAlign w:val="center"/>
          </w:tcPr>
          <w:p w14:paraId="6E3E844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722B70A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35.92</w:t>
            </w:r>
          </w:p>
        </w:tc>
        <w:tc>
          <w:tcPr>
            <w:tcW w:w="0" w:type="auto"/>
            <w:shd w:val="clear" w:color="auto" w:fill="auto"/>
            <w:noWrap/>
            <w:vAlign w:val="center"/>
          </w:tcPr>
          <w:p w14:paraId="44BC344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21.93</w:t>
            </w:r>
          </w:p>
        </w:tc>
        <w:tc>
          <w:tcPr>
            <w:tcW w:w="0" w:type="auto"/>
            <w:shd w:val="clear" w:color="auto" w:fill="auto"/>
            <w:noWrap/>
            <w:vAlign w:val="center"/>
          </w:tcPr>
          <w:p w14:paraId="53B3D69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22.33</w:t>
            </w:r>
          </w:p>
        </w:tc>
        <w:tc>
          <w:tcPr>
            <w:tcW w:w="0" w:type="auto"/>
            <w:shd w:val="clear" w:color="auto" w:fill="auto"/>
            <w:noWrap/>
            <w:vAlign w:val="center"/>
          </w:tcPr>
          <w:p w14:paraId="72BC3F2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23.9</w:t>
            </w:r>
          </w:p>
        </w:tc>
        <w:tc>
          <w:tcPr>
            <w:tcW w:w="921" w:type="dxa"/>
            <w:shd w:val="clear" w:color="auto" w:fill="auto"/>
            <w:noWrap/>
            <w:vAlign w:val="center"/>
          </w:tcPr>
          <w:p w14:paraId="519D029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12903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775448E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中碎机9#</w:t>
            </w:r>
          </w:p>
        </w:tc>
        <w:tc>
          <w:tcPr>
            <w:tcW w:w="744" w:type="dxa"/>
            <w:shd w:val="clear" w:color="auto" w:fill="auto"/>
            <w:vAlign w:val="center"/>
          </w:tcPr>
          <w:p w14:paraId="1AC4B88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7FBEBA1C">
            <w:pPr>
              <w:jc w:val="center"/>
              <w:rPr>
                <w:rFonts w:hint="eastAsia" w:ascii="宋体" w:hAnsi="宋体" w:eastAsia="宋体" w:cs="宋体"/>
                <w:b w:val="0"/>
                <w:bCs w:val="0"/>
                <w:i w:val="0"/>
                <w:iCs w:val="0"/>
                <w:color w:val="000000"/>
                <w:sz w:val="21"/>
                <w:szCs w:val="21"/>
                <w:u w:val="none"/>
              </w:rPr>
            </w:pPr>
          </w:p>
        </w:tc>
        <w:tc>
          <w:tcPr>
            <w:tcW w:w="426" w:type="dxa"/>
            <w:shd w:val="clear" w:color="auto" w:fill="auto"/>
            <w:vAlign w:val="center"/>
          </w:tcPr>
          <w:p w14:paraId="58FCFAD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426" w:type="dxa"/>
            <w:shd w:val="clear" w:color="auto" w:fill="auto"/>
            <w:vAlign w:val="center"/>
          </w:tcPr>
          <w:p w14:paraId="058C731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48</w:t>
            </w:r>
          </w:p>
        </w:tc>
        <w:tc>
          <w:tcPr>
            <w:tcW w:w="322" w:type="dxa"/>
            <w:shd w:val="clear" w:color="auto" w:fill="auto"/>
            <w:vAlign w:val="center"/>
          </w:tcPr>
          <w:p w14:paraId="32CD4AB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636" w:type="dxa"/>
            <w:shd w:val="clear" w:color="auto" w:fill="auto"/>
            <w:vAlign w:val="center"/>
          </w:tcPr>
          <w:p w14:paraId="7334BE5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0" w:type="auto"/>
            <w:shd w:val="clear" w:color="auto" w:fill="auto"/>
            <w:noWrap/>
            <w:vAlign w:val="center"/>
          </w:tcPr>
          <w:p w14:paraId="76B593C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5162CC9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48</w:t>
            </w:r>
          </w:p>
        </w:tc>
        <w:tc>
          <w:tcPr>
            <w:tcW w:w="0" w:type="auto"/>
            <w:shd w:val="clear" w:color="auto" w:fill="auto"/>
            <w:noWrap/>
            <w:vAlign w:val="center"/>
          </w:tcPr>
          <w:p w14:paraId="7A38522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30.9</w:t>
            </w:r>
          </w:p>
        </w:tc>
        <w:tc>
          <w:tcPr>
            <w:tcW w:w="0" w:type="auto"/>
            <w:vMerge w:val="continue"/>
            <w:shd w:val="clear" w:color="auto" w:fill="auto"/>
            <w:noWrap/>
            <w:vAlign w:val="center"/>
          </w:tcPr>
          <w:p w14:paraId="07493430">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1090178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60.92</w:t>
            </w:r>
          </w:p>
        </w:tc>
        <w:tc>
          <w:tcPr>
            <w:tcW w:w="0" w:type="auto"/>
            <w:shd w:val="clear" w:color="auto" w:fill="auto"/>
            <w:noWrap/>
            <w:vAlign w:val="center"/>
          </w:tcPr>
          <w:p w14:paraId="17054BC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46.93</w:t>
            </w:r>
          </w:p>
        </w:tc>
        <w:tc>
          <w:tcPr>
            <w:tcW w:w="0" w:type="auto"/>
            <w:shd w:val="clear" w:color="auto" w:fill="auto"/>
            <w:noWrap/>
            <w:vAlign w:val="center"/>
          </w:tcPr>
          <w:p w14:paraId="57AD788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46.38</w:t>
            </w:r>
          </w:p>
        </w:tc>
        <w:tc>
          <w:tcPr>
            <w:tcW w:w="0" w:type="auto"/>
            <w:shd w:val="clear" w:color="auto" w:fill="auto"/>
            <w:noWrap/>
            <w:vAlign w:val="center"/>
          </w:tcPr>
          <w:p w14:paraId="0D33FF2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 xml:space="preserve">50.20 </w:t>
            </w:r>
          </w:p>
        </w:tc>
        <w:tc>
          <w:tcPr>
            <w:tcW w:w="0" w:type="auto"/>
            <w:shd w:val="clear" w:color="auto" w:fill="auto"/>
            <w:noWrap/>
            <w:vAlign w:val="center"/>
          </w:tcPr>
          <w:p w14:paraId="51DE1B5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771662F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35.92</w:t>
            </w:r>
          </w:p>
        </w:tc>
        <w:tc>
          <w:tcPr>
            <w:tcW w:w="0" w:type="auto"/>
            <w:shd w:val="clear" w:color="auto" w:fill="auto"/>
            <w:noWrap/>
            <w:vAlign w:val="center"/>
          </w:tcPr>
          <w:p w14:paraId="7C1FF56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21.93</w:t>
            </w:r>
          </w:p>
        </w:tc>
        <w:tc>
          <w:tcPr>
            <w:tcW w:w="0" w:type="auto"/>
            <w:shd w:val="clear" w:color="auto" w:fill="auto"/>
            <w:noWrap/>
            <w:vAlign w:val="center"/>
          </w:tcPr>
          <w:p w14:paraId="6A262AF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21.38</w:t>
            </w:r>
          </w:p>
        </w:tc>
        <w:tc>
          <w:tcPr>
            <w:tcW w:w="0" w:type="auto"/>
            <w:shd w:val="clear" w:color="auto" w:fill="auto"/>
            <w:noWrap/>
            <w:vAlign w:val="center"/>
          </w:tcPr>
          <w:p w14:paraId="75CA666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25.2</w:t>
            </w:r>
          </w:p>
        </w:tc>
        <w:tc>
          <w:tcPr>
            <w:tcW w:w="921" w:type="dxa"/>
            <w:shd w:val="clear" w:color="auto" w:fill="auto"/>
            <w:noWrap/>
            <w:vAlign w:val="center"/>
          </w:tcPr>
          <w:p w14:paraId="4EC893D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545EA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39E2792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除铁机1#</w:t>
            </w:r>
          </w:p>
        </w:tc>
        <w:tc>
          <w:tcPr>
            <w:tcW w:w="0" w:type="auto"/>
            <w:shd w:val="clear" w:color="auto" w:fill="auto"/>
            <w:noWrap/>
            <w:vAlign w:val="center"/>
          </w:tcPr>
          <w:p w14:paraId="18AF216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178EEA9B">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6764D45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426" w:type="dxa"/>
            <w:shd w:val="clear" w:color="auto" w:fill="auto"/>
            <w:vAlign w:val="center"/>
          </w:tcPr>
          <w:p w14:paraId="182CBCB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322" w:type="dxa"/>
            <w:shd w:val="clear" w:color="auto" w:fill="auto"/>
            <w:vAlign w:val="center"/>
          </w:tcPr>
          <w:p w14:paraId="0DE4E07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3E4E5AF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w:t>
            </w:r>
          </w:p>
        </w:tc>
        <w:tc>
          <w:tcPr>
            <w:tcW w:w="0" w:type="auto"/>
            <w:shd w:val="clear" w:color="auto" w:fill="auto"/>
            <w:noWrap/>
            <w:vAlign w:val="center"/>
          </w:tcPr>
          <w:p w14:paraId="736808B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624BA40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0" w:type="auto"/>
            <w:shd w:val="clear" w:color="auto" w:fill="auto"/>
            <w:noWrap/>
            <w:vAlign w:val="center"/>
          </w:tcPr>
          <w:p w14:paraId="1A796AD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70.9</w:t>
            </w:r>
          </w:p>
        </w:tc>
        <w:tc>
          <w:tcPr>
            <w:tcW w:w="0" w:type="auto"/>
            <w:vMerge w:val="continue"/>
            <w:shd w:val="clear" w:color="auto" w:fill="auto"/>
            <w:noWrap/>
            <w:vAlign w:val="center"/>
          </w:tcPr>
          <w:p w14:paraId="671DF31B">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6C5D86D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54.42</w:t>
            </w:r>
          </w:p>
        </w:tc>
        <w:tc>
          <w:tcPr>
            <w:tcW w:w="0" w:type="auto"/>
            <w:shd w:val="clear" w:color="auto" w:fill="auto"/>
            <w:noWrap/>
            <w:vAlign w:val="center"/>
          </w:tcPr>
          <w:p w14:paraId="1AFCD4D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49.12</w:t>
            </w:r>
          </w:p>
        </w:tc>
        <w:tc>
          <w:tcPr>
            <w:tcW w:w="0" w:type="auto"/>
            <w:shd w:val="clear" w:color="auto" w:fill="auto"/>
            <w:noWrap/>
            <w:vAlign w:val="center"/>
          </w:tcPr>
          <w:p w14:paraId="1EE8B28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61.94</w:t>
            </w:r>
          </w:p>
        </w:tc>
        <w:tc>
          <w:tcPr>
            <w:tcW w:w="0" w:type="auto"/>
            <w:shd w:val="clear" w:color="auto" w:fill="auto"/>
            <w:noWrap/>
            <w:vAlign w:val="center"/>
          </w:tcPr>
          <w:p w14:paraId="523C53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42.99</w:t>
            </w:r>
          </w:p>
        </w:tc>
        <w:tc>
          <w:tcPr>
            <w:tcW w:w="0" w:type="auto"/>
            <w:shd w:val="clear" w:color="auto" w:fill="auto"/>
            <w:noWrap/>
            <w:vAlign w:val="center"/>
          </w:tcPr>
          <w:p w14:paraId="0927AA8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73DB589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29.42</w:t>
            </w:r>
          </w:p>
        </w:tc>
        <w:tc>
          <w:tcPr>
            <w:tcW w:w="0" w:type="auto"/>
            <w:shd w:val="clear" w:color="auto" w:fill="auto"/>
            <w:noWrap/>
            <w:vAlign w:val="center"/>
          </w:tcPr>
          <w:p w14:paraId="24605DB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24.12</w:t>
            </w:r>
          </w:p>
        </w:tc>
        <w:tc>
          <w:tcPr>
            <w:tcW w:w="0" w:type="auto"/>
            <w:shd w:val="clear" w:color="auto" w:fill="auto"/>
            <w:noWrap/>
            <w:vAlign w:val="center"/>
          </w:tcPr>
          <w:p w14:paraId="7996419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36.94</w:t>
            </w:r>
          </w:p>
        </w:tc>
        <w:tc>
          <w:tcPr>
            <w:tcW w:w="0" w:type="auto"/>
            <w:shd w:val="clear" w:color="auto" w:fill="auto"/>
            <w:noWrap/>
            <w:vAlign w:val="center"/>
          </w:tcPr>
          <w:p w14:paraId="224CBDB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17.99</w:t>
            </w:r>
          </w:p>
        </w:tc>
        <w:tc>
          <w:tcPr>
            <w:tcW w:w="921" w:type="dxa"/>
            <w:shd w:val="clear" w:color="auto" w:fill="auto"/>
            <w:noWrap/>
            <w:vAlign w:val="center"/>
          </w:tcPr>
          <w:p w14:paraId="7F352E5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1C46E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141F497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除铁机2#</w:t>
            </w:r>
          </w:p>
        </w:tc>
        <w:tc>
          <w:tcPr>
            <w:tcW w:w="744" w:type="dxa"/>
            <w:shd w:val="clear" w:color="auto" w:fill="auto"/>
            <w:vAlign w:val="center"/>
          </w:tcPr>
          <w:p w14:paraId="3DB4E0B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03801921">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16BEAEB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42989AD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w:t>
            </w:r>
          </w:p>
        </w:tc>
        <w:tc>
          <w:tcPr>
            <w:tcW w:w="322" w:type="dxa"/>
            <w:shd w:val="clear" w:color="auto" w:fill="auto"/>
            <w:vAlign w:val="center"/>
          </w:tcPr>
          <w:p w14:paraId="79B4BF9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58289AD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w:t>
            </w:r>
          </w:p>
        </w:tc>
        <w:tc>
          <w:tcPr>
            <w:tcW w:w="0" w:type="auto"/>
            <w:shd w:val="clear" w:color="auto" w:fill="auto"/>
            <w:noWrap/>
            <w:vAlign w:val="center"/>
          </w:tcPr>
          <w:p w14:paraId="6FF9D75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7AE24E5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w:t>
            </w:r>
          </w:p>
        </w:tc>
        <w:tc>
          <w:tcPr>
            <w:tcW w:w="0" w:type="auto"/>
            <w:shd w:val="clear" w:color="auto" w:fill="auto"/>
            <w:noWrap/>
            <w:vAlign w:val="center"/>
          </w:tcPr>
          <w:p w14:paraId="11919EC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65.9</w:t>
            </w:r>
          </w:p>
        </w:tc>
        <w:tc>
          <w:tcPr>
            <w:tcW w:w="0" w:type="auto"/>
            <w:vMerge w:val="continue"/>
            <w:shd w:val="clear" w:color="auto" w:fill="auto"/>
            <w:noWrap/>
            <w:vAlign w:val="center"/>
          </w:tcPr>
          <w:p w14:paraId="5DB7CFEE">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463D5C9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54.42</w:t>
            </w:r>
          </w:p>
        </w:tc>
        <w:tc>
          <w:tcPr>
            <w:tcW w:w="0" w:type="auto"/>
            <w:shd w:val="clear" w:color="auto" w:fill="auto"/>
            <w:noWrap/>
            <w:vAlign w:val="center"/>
          </w:tcPr>
          <w:p w14:paraId="5FF04D8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49.12</w:t>
            </w:r>
          </w:p>
        </w:tc>
        <w:tc>
          <w:tcPr>
            <w:tcW w:w="0" w:type="auto"/>
            <w:shd w:val="clear" w:color="auto" w:fill="auto"/>
            <w:noWrap/>
            <w:vAlign w:val="center"/>
          </w:tcPr>
          <w:p w14:paraId="2EA4531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57.72</w:t>
            </w:r>
          </w:p>
        </w:tc>
        <w:tc>
          <w:tcPr>
            <w:tcW w:w="0" w:type="auto"/>
            <w:shd w:val="clear" w:color="auto" w:fill="auto"/>
            <w:noWrap/>
            <w:vAlign w:val="center"/>
          </w:tcPr>
          <w:p w14:paraId="389C058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43.62</w:t>
            </w:r>
          </w:p>
        </w:tc>
        <w:tc>
          <w:tcPr>
            <w:tcW w:w="0" w:type="auto"/>
            <w:shd w:val="clear" w:color="auto" w:fill="auto"/>
            <w:noWrap/>
            <w:vAlign w:val="center"/>
          </w:tcPr>
          <w:p w14:paraId="30ED814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42C0655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29.42</w:t>
            </w:r>
          </w:p>
        </w:tc>
        <w:tc>
          <w:tcPr>
            <w:tcW w:w="0" w:type="auto"/>
            <w:shd w:val="clear" w:color="auto" w:fill="auto"/>
            <w:noWrap/>
            <w:vAlign w:val="center"/>
          </w:tcPr>
          <w:p w14:paraId="210E553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24.12</w:t>
            </w:r>
          </w:p>
        </w:tc>
        <w:tc>
          <w:tcPr>
            <w:tcW w:w="0" w:type="auto"/>
            <w:shd w:val="clear" w:color="auto" w:fill="auto"/>
            <w:noWrap/>
            <w:vAlign w:val="center"/>
          </w:tcPr>
          <w:p w14:paraId="2A538F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32.72</w:t>
            </w:r>
          </w:p>
        </w:tc>
        <w:tc>
          <w:tcPr>
            <w:tcW w:w="0" w:type="auto"/>
            <w:shd w:val="clear" w:color="auto" w:fill="auto"/>
            <w:noWrap/>
            <w:vAlign w:val="center"/>
          </w:tcPr>
          <w:p w14:paraId="258CF72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18.62</w:t>
            </w:r>
          </w:p>
        </w:tc>
        <w:tc>
          <w:tcPr>
            <w:tcW w:w="921" w:type="dxa"/>
            <w:shd w:val="clear" w:color="auto" w:fill="auto"/>
            <w:noWrap/>
            <w:vAlign w:val="center"/>
          </w:tcPr>
          <w:p w14:paraId="38D3E47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r>
      <w:tr w14:paraId="45E2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2F3F553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除铁机3#</w:t>
            </w:r>
          </w:p>
        </w:tc>
        <w:tc>
          <w:tcPr>
            <w:tcW w:w="0" w:type="auto"/>
            <w:shd w:val="clear" w:color="auto" w:fill="auto"/>
            <w:noWrap/>
            <w:vAlign w:val="center"/>
          </w:tcPr>
          <w:p w14:paraId="66FF755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57F231B0">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29ED50D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426" w:type="dxa"/>
            <w:shd w:val="clear" w:color="auto" w:fill="auto"/>
            <w:vAlign w:val="center"/>
          </w:tcPr>
          <w:p w14:paraId="1853AD0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18</w:t>
            </w:r>
          </w:p>
        </w:tc>
        <w:tc>
          <w:tcPr>
            <w:tcW w:w="322" w:type="dxa"/>
            <w:shd w:val="clear" w:color="auto" w:fill="auto"/>
            <w:vAlign w:val="center"/>
          </w:tcPr>
          <w:p w14:paraId="29FFBAC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25D009E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w:t>
            </w:r>
          </w:p>
        </w:tc>
        <w:tc>
          <w:tcPr>
            <w:tcW w:w="0" w:type="auto"/>
            <w:shd w:val="clear" w:color="auto" w:fill="auto"/>
            <w:noWrap/>
            <w:vAlign w:val="center"/>
          </w:tcPr>
          <w:p w14:paraId="23B93A2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46BCC3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0" w:type="auto"/>
            <w:shd w:val="clear" w:color="auto" w:fill="auto"/>
            <w:noWrap/>
            <w:vAlign w:val="center"/>
          </w:tcPr>
          <w:p w14:paraId="26E02F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60.9</w:t>
            </w:r>
          </w:p>
        </w:tc>
        <w:tc>
          <w:tcPr>
            <w:tcW w:w="0" w:type="auto"/>
            <w:vMerge w:val="continue"/>
            <w:shd w:val="clear" w:color="auto" w:fill="auto"/>
            <w:noWrap/>
            <w:vAlign w:val="center"/>
          </w:tcPr>
          <w:p w14:paraId="449A1FFB">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65B2A7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54.42</w:t>
            </w:r>
          </w:p>
        </w:tc>
        <w:tc>
          <w:tcPr>
            <w:tcW w:w="0" w:type="auto"/>
            <w:shd w:val="clear" w:color="auto" w:fill="auto"/>
            <w:noWrap/>
            <w:vAlign w:val="center"/>
          </w:tcPr>
          <w:p w14:paraId="51D468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49.12</w:t>
            </w:r>
          </w:p>
        </w:tc>
        <w:tc>
          <w:tcPr>
            <w:tcW w:w="0" w:type="auto"/>
            <w:shd w:val="clear" w:color="auto" w:fill="auto"/>
            <w:noWrap/>
            <w:vAlign w:val="center"/>
          </w:tcPr>
          <w:p w14:paraId="1C4664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54.89</w:t>
            </w:r>
          </w:p>
        </w:tc>
        <w:tc>
          <w:tcPr>
            <w:tcW w:w="0" w:type="auto"/>
            <w:shd w:val="clear" w:color="auto" w:fill="auto"/>
            <w:noWrap/>
            <w:vAlign w:val="center"/>
          </w:tcPr>
          <w:p w14:paraId="478561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44.31</w:t>
            </w:r>
          </w:p>
        </w:tc>
        <w:tc>
          <w:tcPr>
            <w:tcW w:w="0" w:type="auto"/>
            <w:shd w:val="clear" w:color="auto" w:fill="auto"/>
            <w:noWrap/>
            <w:vAlign w:val="center"/>
          </w:tcPr>
          <w:p w14:paraId="7F740B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3DD80F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29.42</w:t>
            </w:r>
          </w:p>
        </w:tc>
        <w:tc>
          <w:tcPr>
            <w:tcW w:w="0" w:type="auto"/>
            <w:shd w:val="clear" w:color="auto" w:fill="auto"/>
            <w:noWrap/>
            <w:vAlign w:val="center"/>
          </w:tcPr>
          <w:p w14:paraId="72039F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24.12</w:t>
            </w:r>
          </w:p>
        </w:tc>
        <w:tc>
          <w:tcPr>
            <w:tcW w:w="0" w:type="auto"/>
            <w:shd w:val="clear" w:color="auto" w:fill="auto"/>
            <w:noWrap/>
            <w:vAlign w:val="center"/>
          </w:tcPr>
          <w:p w14:paraId="265961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29.89</w:t>
            </w:r>
          </w:p>
        </w:tc>
        <w:tc>
          <w:tcPr>
            <w:tcW w:w="0" w:type="auto"/>
            <w:shd w:val="clear" w:color="auto" w:fill="auto"/>
            <w:noWrap/>
            <w:vAlign w:val="center"/>
          </w:tcPr>
          <w:p w14:paraId="062AE4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19.31</w:t>
            </w:r>
          </w:p>
        </w:tc>
        <w:tc>
          <w:tcPr>
            <w:tcW w:w="921" w:type="dxa"/>
            <w:shd w:val="clear" w:color="auto" w:fill="auto"/>
            <w:noWrap/>
            <w:vAlign w:val="center"/>
          </w:tcPr>
          <w:p w14:paraId="1CA5B2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D10D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7A4EBE2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除铁机4#</w:t>
            </w:r>
          </w:p>
        </w:tc>
        <w:tc>
          <w:tcPr>
            <w:tcW w:w="744" w:type="dxa"/>
            <w:shd w:val="clear" w:color="auto" w:fill="auto"/>
            <w:vAlign w:val="center"/>
          </w:tcPr>
          <w:p w14:paraId="36BAD28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59AD25AE">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3F8B646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6227DF7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23</w:t>
            </w:r>
          </w:p>
        </w:tc>
        <w:tc>
          <w:tcPr>
            <w:tcW w:w="322" w:type="dxa"/>
            <w:shd w:val="clear" w:color="auto" w:fill="auto"/>
            <w:vAlign w:val="center"/>
          </w:tcPr>
          <w:p w14:paraId="4617822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5D7DB46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w:t>
            </w:r>
          </w:p>
        </w:tc>
        <w:tc>
          <w:tcPr>
            <w:tcW w:w="0" w:type="auto"/>
            <w:shd w:val="clear" w:color="auto" w:fill="auto"/>
            <w:noWrap/>
            <w:vAlign w:val="center"/>
          </w:tcPr>
          <w:p w14:paraId="315DF16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26166B1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0" w:type="auto"/>
            <w:shd w:val="clear" w:color="auto" w:fill="auto"/>
            <w:noWrap/>
            <w:vAlign w:val="center"/>
          </w:tcPr>
          <w:p w14:paraId="049E1D0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55.9</w:t>
            </w:r>
          </w:p>
        </w:tc>
        <w:tc>
          <w:tcPr>
            <w:tcW w:w="0" w:type="auto"/>
            <w:vMerge w:val="continue"/>
            <w:shd w:val="clear" w:color="auto" w:fill="auto"/>
            <w:noWrap/>
            <w:vAlign w:val="center"/>
          </w:tcPr>
          <w:p w14:paraId="5DEEDFED">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506FF7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54.42</w:t>
            </w:r>
          </w:p>
        </w:tc>
        <w:tc>
          <w:tcPr>
            <w:tcW w:w="0" w:type="auto"/>
            <w:shd w:val="clear" w:color="auto" w:fill="auto"/>
            <w:noWrap/>
            <w:vAlign w:val="center"/>
          </w:tcPr>
          <w:p w14:paraId="587BCF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49.12</w:t>
            </w:r>
          </w:p>
        </w:tc>
        <w:tc>
          <w:tcPr>
            <w:tcW w:w="0" w:type="auto"/>
            <w:shd w:val="clear" w:color="auto" w:fill="auto"/>
            <w:noWrap/>
            <w:vAlign w:val="center"/>
          </w:tcPr>
          <w:p w14:paraId="3B6C18A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52.77</w:t>
            </w:r>
          </w:p>
        </w:tc>
        <w:tc>
          <w:tcPr>
            <w:tcW w:w="0" w:type="auto"/>
            <w:shd w:val="clear" w:color="auto" w:fill="auto"/>
            <w:noWrap/>
            <w:vAlign w:val="center"/>
          </w:tcPr>
          <w:p w14:paraId="2747B9C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45.05</w:t>
            </w:r>
          </w:p>
        </w:tc>
        <w:tc>
          <w:tcPr>
            <w:tcW w:w="0" w:type="auto"/>
            <w:shd w:val="clear" w:color="auto" w:fill="auto"/>
            <w:noWrap/>
            <w:vAlign w:val="center"/>
          </w:tcPr>
          <w:p w14:paraId="1879F36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7D8052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29.42</w:t>
            </w:r>
          </w:p>
        </w:tc>
        <w:tc>
          <w:tcPr>
            <w:tcW w:w="0" w:type="auto"/>
            <w:shd w:val="clear" w:color="auto" w:fill="auto"/>
            <w:noWrap/>
            <w:vAlign w:val="center"/>
          </w:tcPr>
          <w:p w14:paraId="7945E2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24.12</w:t>
            </w:r>
          </w:p>
        </w:tc>
        <w:tc>
          <w:tcPr>
            <w:tcW w:w="0" w:type="auto"/>
            <w:shd w:val="clear" w:color="auto" w:fill="auto"/>
            <w:noWrap/>
            <w:vAlign w:val="center"/>
          </w:tcPr>
          <w:p w14:paraId="05FD3C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27.77</w:t>
            </w:r>
          </w:p>
        </w:tc>
        <w:tc>
          <w:tcPr>
            <w:tcW w:w="0" w:type="auto"/>
            <w:shd w:val="clear" w:color="auto" w:fill="auto"/>
            <w:noWrap/>
            <w:vAlign w:val="center"/>
          </w:tcPr>
          <w:p w14:paraId="321114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20.05</w:t>
            </w:r>
          </w:p>
        </w:tc>
        <w:tc>
          <w:tcPr>
            <w:tcW w:w="921" w:type="dxa"/>
            <w:shd w:val="clear" w:color="auto" w:fill="auto"/>
            <w:noWrap/>
            <w:vAlign w:val="center"/>
          </w:tcPr>
          <w:p w14:paraId="3841EB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6FBC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0" w:type="auto"/>
            <w:shd w:val="clear" w:color="auto" w:fill="auto"/>
            <w:noWrap/>
            <w:vAlign w:val="center"/>
          </w:tcPr>
          <w:p w14:paraId="193932B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除铁机5#</w:t>
            </w:r>
          </w:p>
        </w:tc>
        <w:tc>
          <w:tcPr>
            <w:tcW w:w="0" w:type="auto"/>
            <w:shd w:val="clear" w:color="auto" w:fill="auto"/>
            <w:noWrap/>
            <w:vAlign w:val="center"/>
          </w:tcPr>
          <w:p w14:paraId="4F31557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3E8D3B67">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5C3E90C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426" w:type="dxa"/>
            <w:shd w:val="clear" w:color="auto" w:fill="auto"/>
            <w:vAlign w:val="center"/>
          </w:tcPr>
          <w:p w14:paraId="0636AAA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28</w:t>
            </w:r>
          </w:p>
        </w:tc>
        <w:tc>
          <w:tcPr>
            <w:tcW w:w="322" w:type="dxa"/>
            <w:shd w:val="clear" w:color="auto" w:fill="auto"/>
            <w:vAlign w:val="center"/>
          </w:tcPr>
          <w:p w14:paraId="2C80F2F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2FA8DAB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w:t>
            </w:r>
          </w:p>
        </w:tc>
        <w:tc>
          <w:tcPr>
            <w:tcW w:w="0" w:type="auto"/>
            <w:shd w:val="clear" w:color="auto" w:fill="auto"/>
            <w:noWrap/>
            <w:vAlign w:val="center"/>
          </w:tcPr>
          <w:p w14:paraId="3AFE83F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50609D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0" w:type="auto"/>
            <w:shd w:val="clear" w:color="auto" w:fill="auto"/>
            <w:noWrap/>
            <w:vAlign w:val="center"/>
          </w:tcPr>
          <w:p w14:paraId="2625D8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50.9</w:t>
            </w:r>
          </w:p>
        </w:tc>
        <w:tc>
          <w:tcPr>
            <w:tcW w:w="0" w:type="auto"/>
            <w:vMerge w:val="continue"/>
            <w:shd w:val="clear" w:color="auto" w:fill="auto"/>
            <w:noWrap/>
            <w:vAlign w:val="center"/>
          </w:tcPr>
          <w:p w14:paraId="0B188D25">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4DDA42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54.42</w:t>
            </w:r>
          </w:p>
        </w:tc>
        <w:tc>
          <w:tcPr>
            <w:tcW w:w="0" w:type="auto"/>
            <w:shd w:val="clear" w:color="auto" w:fill="auto"/>
            <w:noWrap/>
            <w:vAlign w:val="center"/>
          </w:tcPr>
          <w:p w14:paraId="453222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49.12</w:t>
            </w:r>
          </w:p>
        </w:tc>
        <w:tc>
          <w:tcPr>
            <w:tcW w:w="0" w:type="auto"/>
            <w:shd w:val="clear" w:color="auto" w:fill="auto"/>
            <w:noWrap/>
            <w:vAlign w:val="center"/>
          </w:tcPr>
          <w:p w14:paraId="7996A6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51.06</w:t>
            </w:r>
          </w:p>
        </w:tc>
        <w:tc>
          <w:tcPr>
            <w:tcW w:w="0" w:type="auto"/>
            <w:shd w:val="clear" w:color="auto" w:fill="auto"/>
            <w:noWrap/>
            <w:vAlign w:val="center"/>
          </w:tcPr>
          <w:p w14:paraId="1E9B18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45.87</w:t>
            </w:r>
          </w:p>
        </w:tc>
        <w:tc>
          <w:tcPr>
            <w:tcW w:w="0" w:type="auto"/>
            <w:shd w:val="clear" w:color="auto" w:fill="auto"/>
            <w:noWrap/>
            <w:vAlign w:val="center"/>
          </w:tcPr>
          <w:p w14:paraId="18E7E2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380E33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29.42</w:t>
            </w:r>
          </w:p>
        </w:tc>
        <w:tc>
          <w:tcPr>
            <w:tcW w:w="0" w:type="auto"/>
            <w:shd w:val="clear" w:color="auto" w:fill="auto"/>
            <w:noWrap/>
            <w:vAlign w:val="center"/>
          </w:tcPr>
          <w:p w14:paraId="668F92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24.12</w:t>
            </w:r>
          </w:p>
        </w:tc>
        <w:tc>
          <w:tcPr>
            <w:tcW w:w="0" w:type="auto"/>
            <w:shd w:val="clear" w:color="auto" w:fill="auto"/>
            <w:noWrap/>
            <w:vAlign w:val="center"/>
          </w:tcPr>
          <w:p w14:paraId="0A9ED5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26.06</w:t>
            </w:r>
          </w:p>
        </w:tc>
        <w:tc>
          <w:tcPr>
            <w:tcW w:w="0" w:type="auto"/>
            <w:shd w:val="clear" w:color="auto" w:fill="auto"/>
            <w:noWrap/>
            <w:vAlign w:val="center"/>
          </w:tcPr>
          <w:p w14:paraId="28B0A1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20.87</w:t>
            </w:r>
          </w:p>
        </w:tc>
        <w:tc>
          <w:tcPr>
            <w:tcW w:w="921" w:type="dxa"/>
            <w:shd w:val="clear" w:color="auto" w:fill="auto"/>
            <w:noWrap/>
            <w:vAlign w:val="center"/>
          </w:tcPr>
          <w:p w14:paraId="774CB53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491C8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0" w:type="auto"/>
            <w:shd w:val="clear" w:color="auto" w:fill="auto"/>
            <w:noWrap/>
            <w:vAlign w:val="center"/>
          </w:tcPr>
          <w:p w14:paraId="49E22FD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除铁机6#</w:t>
            </w:r>
          </w:p>
        </w:tc>
        <w:tc>
          <w:tcPr>
            <w:tcW w:w="744" w:type="dxa"/>
            <w:shd w:val="clear" w:color="auto" w:fill="auto"/>
            <w:vAlign w:val="center"/>
          </w:tcPr>
          <w:p w14:paraId="64884CC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6F3E8C67">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52CF388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7735591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33</w:t>
            </w:r>
          </w:p>
        </w:tc>
        <w:tc>
          <w:tcPr>
            <w:tcW w:w="322" w:type="dxa"/>
            <w:shd w:val="clear" w:color="auto" w:fill="auto"/>
            <w:vAlign w:val="center"/>
          </w:tcPr>
          <w:p w14:paraId="5565522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62D460D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w:t>
            </w:r>
          </w:p>
        </w:tc>
        <w:tc>
          <w:tcPr>
            <w:tcW w:w="0" w:type="auto"/>
            <w:shd w:val="clear" w:color="auto" w:fill="auto"/>
            <w:noWrap/>
            <w:vAlign w:val="center"/>
          </w:tcPr>
          <w:p w14:paraId="7F19D7D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7FE806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0" w:type="auto"/>
            <w:shd w:val="clear" w:color="auto" w:fill="auto"/>
            <w:noWrap/>
            <w:vAlign w:val="center"/>
          </w:tcPr>
          <w:p w14:paraId="4C789E3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45.9</w:t>
            </w:r>
          </w:p>
        </w:tc>
        <w:tc>
          <w:tcPr>
            <w:tcW w:w="0" w:type="auto"/>
            <w:vMerge w:val="continue"/>
            <w:shd w:val="clear" w:color="auto" w:fill="auto"/>
            <w:noWrap/>
            <w:vAlign w:val="center"/>
          </w:tcPr>
          <w:p w14:paraId="52FD82CE">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6C4085A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54.42</w:t>
            </w:r>
          </w:p>
        </w:tc>
        <w:tc>
          <w:tcPr>
            <w:tcW w:w="0" w:type="auto"/>
            <w:shd w:val="clear" w:color="auto" w:fill="auto"/>
            <w:noWrap/>
            <w:vAlign w:val="center"/>
          </w:tcPr>
          <w:p w14:paraId="71A8AD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49.12</w:t>
            </w:r>
          </w:p>
        </w:tc>
        <w:tc>
          <w:tcPr>
            <w:tcW w:w="0" w:type="auto"/>
            <w:shd w:val="clear" w:color="auto" w:fill="auto"/>
            <w:noWrap/>
            <w:vAlign w:val="center"/>
          </w:tcPr>
          <w:p w14:paraId="742DA48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49.63</w:t>
            </w:r>
          </w:p>
        </w:tc>
        <w:tc>
          <w:tcPr>
            <w:tcW w:w="0" w:type="auto"/>
            <w:shd w:val="clear" w:color="auto" w:fill="auto"/>
            <w:noWrap/>
            <w:vAlign w:val="center"/>
          </w:tcPr>
          <w:p w14:paraId="40AF2A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46.76</w:t>
            </w:r>
          </w:p>
        </w:tc>
        <w:tc>
          <w:tcPr>
            <w:tcW w:w="0" w:type="auto"/>
            <w:shd w:val="clear" w:color="auto" w:fill="auto"/>
            <w:noWrap/>
            <w:vAlign w:val="center"/>
          </w:tcPr>
          <w:p w14:paraId="6EEC85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1CCEFC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29.42</w:t>
            </w:r>
          </w:p>
        </w:tc>
        <w:tc>
          <w:tcPr>
            <w:tcW w:w="0" w:type="auto"/>
            <w:shd w:val="clear" w:color="auto" w:fill="auto"/>
            <w:noWrap/>
            <w:vAlign w:val="center"/>
          </w:tcPr>
          <w:p w14:paraId="20E80F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24.12</w:t>
            </w:r>
          </w:p>
        </w:tc>
        <w:tc>
          <w:tcPr>
            <w:tcW w:w="0" w:type="auto"/>
            <w:shd w:val="clear" w:color="auto" w:fill="auto"/>
            <w:noWrap/>
            <w:vAlign w:val="center"/>
          </w:tcPr>
          <w:p w14:paraId="192D13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24.63</w:t>
            </w:r>
          </w:p>
        </w:tc>
        <w:tc>
          <w:tcPr>
            <w:tcW w:w="0" w:type="auto"/>
            <w:shd w:val="clear" w:color="auto" w:fill="auto"/>
            <w:noWrap/>
            <w:vAlign w:val="center"/>
          </w:tcPr>
          <w:p w14:paraId="489615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21.76</w:t>
            </w:r>
          </w:p>
        </w:tc>
        <w:tc>
          <w:tcPr>
            <w:tcW w:w="921" w:type="dxa"/>
            <w:shd w:val="clear" w:color="auto" w:fill="auto"/>
            <w:noWrap/>
            <w:vAlign w:val="center"/>
          </w:tcPr>
          <w:p w14:paraId="46E93D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FA7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1A4E711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除铁机7#</w:t>
            </w:r>
          </w:p>
        </w:tc>
        <w:tc>
          <w:tcPr>
            <w:tcW w:w="0" w:type="auto"/>
            <w:shd w:val="clear" w:color="auto" w:fill="auto"/>
            <w:noWrap/>
            <w:vAlign w:val="center"/>
          </w:tcPr>
          <w:p w14:paraId="117062D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1D359FC9">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1A14CF4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426" w:type="dxa"/>
            <w:shd w:val="clear" w:color="auto" w:fill="auto"/>
            <w:vAlign w:val="center"/>
          </w:tcPr>
          <w:p w14:paraId="1F0D5B1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38</w:t>
            </w:r>
          </w:p>
        </w:tc>
        <w:tc>
          <w:tcPr>
            <w:tcW w:w="322" w:type="dxa"/>
            <w:shd w:val="clear" w:color="auto" w:fill="auto"/>
            <w:vAlign w:val="center"/>
          </w:tcPr>
          <w:p w14:paraId="62166F9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318D582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w:t>
            </w:r>
          </w:p>
        </w:tc>
        <w:tc>
          <w:tcPr>
            <w:tcW w:w="0" w:type="auto"/>
            <w:shd w:val="clear" w:color="auto" w:fill="auto"/>
            <w:noWrap/>
            <w:vAlign w:val="center"/>
          </w:tcPr>
          <w:p w14:paraId="51739EA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09D898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0" w:type="auto"/>
            <w:shd w:val="clear" w:color="auto" w:fill="auto"/>
            <w:noWrap/>
            <w:vAlign w:val="center"/>
          </w:tcPr>
          <w:p w14:paraId="7DD6CB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40.9</w:t>
            </w:r>
          </w:p>
        </w:tc>
        <w:tc>
          <w:tcPr>
            <w:tcW w:w="0" w:type="auto"/>
            <w:vMerge w:val="continue"/>
            <w:shd w:val="clear" w:color="auto" w:fill="auto"/>
            <w:noWrap/>
            <w:vAlign w:val="center"/>
          </w:tcPr>
          <w:p w14:paraId="382B2343">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612C7F6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54.42</w:t>
            </w:r>
          </w:p>
        </w:tc>
        <w:tc>
          <w:tcPr>
            <w:tcW w:w="0" w:type="auto"/>
            <w:shd w:val="clear" w:color="auto" w:fill="auto"/>
            <w:noWrap/>
            <w:vAlign w:val="center"/>
          </w:tcPr>
          <w:p w14:paraId="7FB183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49.12</w:t>
            </w:r>
          </w:p>
        </w:tc>
        <w:tc>
          <w:tcPr>
            <w:tcW w:w="0" w:type="auto"/>
            <w:shd w:val="clear" w:color="auto" w:fill="auto"/>
            <w:noWrap/>
            <w:vAlign w:val="center"/>
          </w:tcPr>
          <w:p w14:paraId="0F9CDE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48.40 </w:t>
            </w:r>
          </w:p>
        </w:tc>
        <w:tc>
          <w:tcPr>
            <w:tcW w:w="0" w:type="auto"/>
            <w:shd w:val="clear" w:color="auto" w:fill="auto"/>
            <w:noWrap/>
            <w:vAlign w:val="center"/>
          </w:tcPr>
          <w:p w14:paraId="4C750B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47.77</w:t>
            </w:r>
          </w:p>
        </w:tc>
        <w:tc>
          <w:tcPr>
            <w:tcW w:w="0" w:type="auto"/>
            <w:shd w:val="clear" w:color="auto" w:fill="auto"/>
            <w:noWrap/>
            <w:vAlign w:val="center"/>
          </w:tcPr>
          <w:p w14:paraId="031473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487B07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29.42</w:t>
            </w:r>
          </w:p>
        </w:tc>
        <w:tc>
          <w:tcPr>
            <w:tcW w:w="0" w:type="auto"/>
            <w:shd w:val="clear" w:color="auto" w:fill="auto"/>
            <w:noWrap/>
            <w:vAlign w:val="center"/>
          </w:tcPr>
          <w:p w14:paraId="386C55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24.12</w:t>
            </w:r>
          </w:p>
        </w:tc>
        <w:tc>
          <w:tcPr>
            <w:tcW w:w="0" w:type="auto"/>
            <w:shd w:val="clear" w:color="auto" w:fill="auto"/>
            <w:noWrap/>
            <w:vAlign w:val="center"/>
          </w:tcPr>
          <w:p w14:paraId="2475A8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23.4</w:t>
            </w:r>
          </w:p>
        </w:tc>
        <w:tc>
          <w:tcPr>
            <w:tcW w:w="0" w:type="auto"/>
            <w:shd w:val="clear" w:color="auto" w:fill="auto"/>
            <w:noWrap/>
            <w:vAlign w:val="center"/>
          </w:tcPr>
          <w:p w14:paraId="04BB14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22.77</w:t>
            </w:r>
          </w:p>
        </w:tc>
        <w:tc>
          <w:tcPr>
            <w:tcW w:w="921" w:type="dxa"/>
            <w:shd w:val="clear" w:color="auto" w:fill="auto"/>
            <w:noWrap/>
            <w:vAlign w:val="center"/>
          </w:tcPr>
          <w:p w14:paraId="44691B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BD2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0A6B4DF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除铁机8#</w:t>
            </w:r>
          </w:p>
        </w:tc>
        <w:tc>
          <w:tcPr>
            <w:tcW w:w="744" w:type="dxa"/>
            <w:shd w:val="clear" w:color="auto" w:fill="auto"/>
            <w:vAlign w:val="center"/>
          </w:tcPr>
          <w:p w14:paraId="3EE7457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48410A88">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0ACB4F4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177C5CD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43</w:t>
            </w:r>
          </w:p>
        </w:tc>
        <w:tc>
          <w:tcPr>
            <w:tcW w:w="322" w:type="dxa"/>
            <w:shd w:val="clear" w:color="auto" w:fill="auto"/>
            <w:vAlign w:val="center"/>
          </w:tcPr>
          <w:p w14:paraId="5CAB740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3E45F11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w:t>
            </w:r>
          </w:p>
        </w:tc>
        <w:tc>
          <w:tcPr>
            <w:tcW w:w="0" w:type="auto"/>
            <w:shd w:val="clear" w:color="auto" w:fill="auto"/>
            <w:noWrap/>
            <w:vAlign w:val="center"/>
          </w:tcPr>
          <w:p w14:paraId="2123E42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2E24E0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0" w:type="auto"/>
            <w:shd w:val="clear" w:color="auto" w:fill="auto"/>
            <w:noWrap/>
            <w:vAlign w:val="center"/>
          </w:tcPr>
          <w:p w14:paraId="14E6BAD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35.9</w:t>
            </w:r>
          </w:p>
        </w:tc>
        <w:tc>
          <w:tcPr>
            <w:tcW w:w="0" w:type="auto"/>
            <w:vMerge w:val="continue"/>
            <w:shd w:val="clear" w:color="auto" w:fill="auto"/>
            <w:noWrap/>
            <w:vAlign w:val="center"/>
          </w:tcPr>
          <w:p w14:paraId="597B94F5">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389211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54.42</w:t>
            </w:r>
          </w:p>
        </w:tc>
        <w:tc>
          <w:tcPr>
            <w:tcW w:w="0" w:type="auto"/>
            <w:shd w:val="clear" w:color="auto" w:fill="auto"/>
            <w:noWrap/>
            <w:vAlign w:val="center"/>
          </w:tcPr>
          <w:p w14:paraId="3D28A8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49.12</w:t>
            </w:r>
          </w:p>
        </w:tc>
        <w:tc>
          <w:tcPr>
            <w:tcW w:w="0" w:type="auto"/>
            <w:shd w:val="clear" w:color="auto" w:fill="auto"/>
            <w:noWrap/>
            <w:vAlign w:val="center"/>
          </w:tcPr>
          <w:p w14:paraId="64C283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47.33</w:t>
            </w:r>
          </w:p>
        </w:tc>
        <w:tc>
          <w:tcPr>
            <w:tcW w:w="0" w:type="auto"/>
            <w:shd w:val="clear" w:color="auto" w:fill="auto"/>
            <w:noWrap/>
            <w:vAlign w:val="center"/>
          </w:tcPr>
          <w:p w14:paraId="7A9672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48.90 </w:t>
            </w:r>
          </w:p>
        </w:tc>
        <w:tc>
          <w:tcPr>
            <w:tcW w:w="0" w:type="auto"/>
            <w:shd w:val="clear" w:color="auto" w:fill="auto"/>
            <w:noWrap/>
            <w:vAlign w:val="center"/>
          </w:tcPr>
          <w:p w14:paraId="66F3AA6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2C98230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29.42</w:t>
            </w:r>
          </w:p>
        </w:tc>
        <w:tc>
          <w:tcPr>
            <w:tcW w:w="0" w:type="auto"/>
            <w:shd w:val="clear" w:color="auto" w:fill="auto"/>
            <w:noWrap/>
            <w:vAlign w:val="center"/>
          </w:tcPr>
          <w:p w14:paraId="5BEFAB7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24.12</w:t>
            </w:r>
          </w:p>
        </w:tc>
        <w:tc>
          <w:tcPr>
            <w:tcW w:w="0" w:type="auto"/>
            <w:shd w:val="clear" w:color="auto" w:fill="auto"/>
            <w:noWrap/>
            <w:vAlign w:val="center"/>
          </w:tcPr>
          <w:p w14:paraId="601F2B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22.33</w:t>
            </w:r>
          </w:p>
        </w:tc>
        <w:tc>
          <w:tcPr>
            <w:tcW w:w="0" w:type="auto"/>
            <w:shd w:val="clear" w:color="auto" w:fill="auto"/>
            <w:noWrap/>
            <w:vAlign w:val="center"/>
          </w:tcPr>
          <w:p w14:paraId="1C27F3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w:t>
            </w:r>
          </w:p>
        </w:tc>
        <w:tc>
          <w:tcPr>
            <w:tcW w:w="921" w:type="dxa"/>
            <w:shd w:val="clear" w:color="auto" w:fill="auto"/>
            <w:noWrap/>
            <w:vAlign w:val="center"/>
          </w:tcPr>
          <w:p w14:paraId="6464ED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E543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5A05D60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除铁机9#</w:t>
            </w:r>
          </w:p>
        </w:tc>
        <w:tc>
          <w:tcPr>
            <w:tcW w:w="0" w:type="auto"/>
            <w:shd w:val="clear" w:color="auto" w:fill="auto"/>
            <w:noWrap/>
            <w:vAlign w:val="center"/>
          </w:tcPr>
          <w:p w14:paraId="012FF2B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4646C4D1">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4D5FD4C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426" w:type="dxa"/>
            <w:shd w:val="clear" w:color="auto" w:fill="auto"/>
            <w:vAlign w:val="center"/>
          </w:tcPr>
          <w:p w14:paraId="6F900E9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48</w:t>
            </w:r>
          </w:p>
        </w:tc>
        <w:tc>
          <w:tcPr>
            <w:tcW w:w="322" w:type="dxa"/>
            <w:shd w:val="clear" w:color="auto" w:fill="auto"/>
            <w:vAlign w:val="center"/>
          </w:tcPr>
          <w:p w14:paraId="158370D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1157A84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w:t>
            </w:r>
          </w:p>
        </w:tc>
        <w:tc>
          <w:tcPr>
            <w:tcW w:w="0" w:type="auto"/>
            <w:shd w:val="clear" w:color="auto" w:fill="auto"/>
            <w:noWrap/>
            <w:vAlign w:val="center"/>
          </w:tcPr>
          <w:p w14:paraId="2503ABF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0394514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0" w:type="auto"/>
            <w:shd w:val="clear" w:color="auto" w:fill="auto"/>
            <w:noWrap/>
            <w:vAlign w:val="center"/>
          </w:tcPr>
          <w:p w14:paraId="3624595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30.9</w:t>
            </w:r>
          </w:p>
        </w:tc>
        <w:tc>
          <w:tcPr>
            <w:tcW w:w="0" w:type="auto"/>
            <w:vMerge w:val="continue"/>
            <w:shd w:val="clear" w:color="auto" w:fill="auto"/>
            <w:noWrap/>
            <w:vAlign w:val="center"/>
          </w:tcPr>
          <w:p w14:paraId="6C91681C">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5C31DA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54.42</w:t>
            </w:r>
          </w:p>
        </w:tc>
        <w:tc>
          <w:tcPr>
            <w:tcW w:w="0" w:type="auto"/>
            <w:shd w:val="clear" w:color="auto" w:fill="auto"/>
            <w:noWrap/>
            <w:vAlign w:val="center"/>
          </w:tcPr>
          <w:p w14:paraId="7D5CDE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49.12</w:t>
            </w:r>
          </w:p>
        </w:tc>
        <w:tc>
          <w:tcPr>
            <w:tcW w:w="0" w:type="auto"/>
            <w:shd w:val="clear" w:color="auto" w:fill="auto"/>
            <w:noWrap/>
            <w:vAlign w:val="center"/>
          </w:tcPr>
          <w:p w14:paraId="7E8370E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46.38</w:t>
            </w:r>
          </w:p>
        </w:tc>
        <w:tc>
          <w:tcPr>
            <w:tcW w:w="0" w:type="auto"/>
            <w:shd w:val="clear" w:color="auto" w:fill="auto"/>
            <w:noWrap/>
            <w:vAlign w:val="center"/>
          </w:tcPr>
          <w:p w14:paraId="69864E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 xml:space="preserve">50.20 </w:t>
            </w:r>
          </w:p>
        </w:tc>
        <w:tc>
          <w:tcPr>
            <w:tcW w:w="0" w:type="auto"/>
            <w:shd w:val="clear" w:color="auto" w:fill="auto"/>
            <w:noWrap/>
            <w:vAlign w:val="center"/>
          </w:tcPr>
          <w:p w14:paraId="5660C42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28F97CB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29.42</w:t>
            </w:r>
          </w:p>
        </w:tc>
        <w:tc>
          <w:tcPr>
            <w:tcW w:w="0" w:type="auto"/>
            <w:shd w:val="clear" w:color="auto" w:fill="auto"/>
            <w:noWrap/>
            <w:vAlign w:val="center"/>
          </w:tcPr>
          <w:p w14:paraId="273D0B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24.12</w:t>
            </w:r>
          </w:p>
        </w:tc>
        <w:tc>
          <w:tcPr>
            <w:tcW w:w="0" w:type="auto"/>
            <w:shd w:val="clear" w:color="auto" w:fill="auto"/>
            <w:noWrap/>
            <w:vAlign w:val="center"/>
          </w:tcPr>
          <w:p w14:paraId="04C4AF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21.38</w:t>
            </w:r>
          </w:p>
        </w:tc>
        <w:tc>
          <w:tcPr>
            <w:tcW w:w="0" w:type="auto"/>
            <w:shd w:val="clear" w:color="auto" w:fill="auto"/>
            <w:noWrap/>
            <w:vAlign w:val="center"/>
          </w:tcPr>
          <w:p w14:paraId="148A71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25.2</w:t>
            </w:r>
          </w:p>
        </w:tc>
        <w:tc>
          <w:tcPr>
            <w:tcW w:w="921" w:type="dxa"/>
            <w:shd w:val="clear" w:color="auto" w:fill="auto"/>
            <w:noWrap/>
            <w:vAlign w:val="center"/>
          </w:tcPr>
          <w:p w14:paraId="37B808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72F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145ADA5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往复筛1#</w:t>
            </w:r>
          </w:p>
        </w:tc>
        <w:tc>
          <w:tcPr>
            <w:tcW w:w="0" w:type="auto"/>
            <w:shd w:val="clear" w:color="auto" w:fill="auto"/>
            <w:noWrap/>
            <w:vAlign w:val="center"/>
          </w:tcPr>
          <w:p w14:paraId="0C9EBE9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0086AC04">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350703A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426" w:type="dxa"/>
            <w:shd w:val="clear" w:color="auto" w:fill="auto"/>
            <w:vAlign w:val="center"/>
          </w:tcPr>
          <w:p w14:paraId="3F049E4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w:t>
            </w:r>
          </w:p>
        </w:tc>
        <w:tc>
          <w:tcPr>
            <w:tcW w:w="322" w:type="dxa"/>
            <w:shd w:val="clear" w:color="auto" w:fill="auto"/>
            <w:vAlign w:val="center"/>
          </w:tcPr>
          <w:p w14:paraId="6F25658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23A5125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shd w:val="clear" w:color="auto" w:fill="auto"/>
            <w:noWrap/>
            <w:vAlign w:val="center"/>
          </w:tcPr>
          <w:p w14:paraId="636F347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2CB9A35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0" w:type="auto"/>
            <w:shd w:val="clear" w:color="auto" w:fill="auto"/>
            <w:noWrap/>
            <w:vAlign w:val="center"/>
          </w:tcPr>
          <w:p w14:paraId="762727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70.9</w:t>
            </w:r>
          </w:p>
        </w:tc>
        <w:tc>
          <w:tcPr>
            <w:tcW w:w="0" w:type="auto"/>
            <w:vMerge w:val="continue"/>
            <w:shd w:val="clear" w:color="auto" w:fill="auto"/>
            <w:noWrap/>
            <w:vAlign w:val="center"/>
          </w:tcPr>
          <w:p w14:paraId="1B59EF87">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0E39F76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45.75</w:t>
            </w:r>
          </w:p>
        </w:tc>
        <w:tc>
          <w:tcPr>
            <w:tcW w:w="0" w:type="auto"/>
            <w:shd w:val="clear" w:color="auto" w:fill="auto"/>
            <w:noWrap/>
            <w:vAlign w:val="center"/>
          </w:tcPr>
          <w:p w14:paraId="49F059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47.04</w:t>
            </w:r>
          </w:p>
        </w:tc>
        <w:tc>
          <w:tcPr>
            <w:tcW w:w="0" w:type="auto"/>
            <w:shd w:val="clear" w:color="auto" w:fill="auto"/>
            <w:noWrap/>
            <w:vAlign w:val="center"/>
          </w:tcPr>
          <w:p w14:paraId="5A9BA8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56.94</w:t>
            </w:r>
          </w:p>
        </w:tc>
        <w:tc>
          <w:tcPr>
            <w:tcW w:w="0" w:type="auto"/>
            <w:shd w:val="clear" w:color="auto" w:fill="auto"/>
            <w:noWrap/>
            <w:vAlign w:val="center"/>
          </w:tcPr>
          <w:p w14:paraId="027996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37.99</w:t>
            </w:r>
          </w:p>
        </w:tc>
        <w:tc>
          <w:tcPr>
            <w:tcW w:w="0" w:type="auto"/>
            <w:shd w:val="clear" w:color="auto" w:fill="auto"/>
            <w:noWrap/>
            <w:vAlign w:val="center"/>
          </w:tcPr>
          <w:p w14:paraId="7CA4F31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5FB711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20.75</w:t>
            </w:r>
          </w:p>
        </w:tc>
        <w:tc>
          <w:tcPr>
            <w:tcW w:w="0" w:type="auto"/>
            <w:shd w:val="clear" w:color="auto" w:fill="auto"/>
            <w:noWrap/>
            <w:vAlign w:val="center"/>
          </w:tcPr>
          <w:p w14:paraId="126517F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22.04</w:t>
            </w:r>
          </w:p>
        </w:tc>
        <w:tc>
          <w:tcPr>
            <w:tcW w:w="0" w:type="auto"/>
            <w:shd w:val="clear" w:color="auto" w:fill="auto"/>
            <w:noWrap/>
            <w:vAlign w:val="center"/>
          </w:tcPr>
          <w:p w14:paraId="5805A9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31.94</w:t>
            </w:r>
          </w:p>
        </w:tc>
        <w:tc>
          <w:tcPr>
            <w:tcW w:w="0" w:type="auto"/>
            <w:shd w:val="clear" w:color="auto" w:fill="auto"/>
            <w:noWrap/>
            <w:vAlign w:val="center"/>
          </w:tcPr>
          <w:p w14:paraId="65B64D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12.99</w:t>
            </w:r>
          </w:p>
        </w:tc>
        <w:tc>
          <w:tcPr>
            <w:tcW w:w="921" w:type="dxa"/>
            <w:shd w:val="clear" w:color="auto" w:fill="auto"/>
            <w:noWrap/>
            <w:vAlign w:val="center"/>
          </w:tcPr>
          <w:p w14:paraId="49D8B9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1731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0" w:type="auto"/>
            <w:shd w:val="clear" w:color="auto" w:fill="auto"/>
            <w:noWrap/>
            <w:vAlign w:val="center"/>
          </w:tcPr>
          <w:p w14:paraId="6212FAD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往复筛2#</w:t>
            </w:r>
          </w:p>
        </w:tc>
        <w:tc>
          <w:tcPr>
            <w:tcW w:w="0" w:type="auto"/>
            <w:shd w:val="clear" w:color="auto" w:fill="auto"/>
            <w:noWrap/>
            <w:vAlign w:val="center"/>
          </w:tcPr>
          <w:p w14:paraId="7ED9D0C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7221E86C">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76376ED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3572E13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w:t>
            </w:r>
          </w:p>
        </w:tc>
        <w:tc>
          <w:tcPr>
            <w:tcW w:w="322" w:type="dxa"/>
            <w:shd w:val="clear" w:color="auto" w:fill="auto"/>
            <w:vAlign w:val="center"/>
          </w:tcPr>
          <w:p w14:paraId="1A6DC35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30FDBB7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shd w:val="clear" w:color="auto" w:fill="auto"/>
            <w:noWrap/>
            <w:vAlign w:val="center"/>
          </w:tcPr>
          <w:p w14:paraId="32EA9C6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37A70F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0" w:type="auto"/>
            <w:shd w:val="clear" w:color="auto" w:fill="auto"/>
            <w:noWrap/>
            <w:vAlign w:val="center"/>
          </w:tcPr>
          <w:p w14:paraId="2B1A24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65.9</w:t>
            </w:r>
          </w:p>
        </w:tc>
        <w:tc>
          <w:tcPr>
            <w:tcW w:w="0" w:type="auto"/>
            <w:vMerge w:val="continue"/>
            <w:shd w:val="clear" w:color="auto" w:fill="auto"/>
            <w:noWrap/>
            <w:vAlign w:val="center"/>
          </w:tcPr>
          <w:p w14:paraId="600A80DD">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7C756F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45.75</w:t>
            </w:r>
          </w:p>
        </w:tc>
        <w:tc>
          <w:tcPr>
            <w:tcW w:w="0" w:type="auto"/>
            <w:shd w:val="clear" w:color="auto" w:fill="auto"/>
            <w:noWrap/>
            <w:vAlign w:val="center"/>
          </w:tcPr>
          <w:p w14:paraId="0D188F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47.04</w:t>
            </w:r>
          </w:p>
        </w:tc>
        <w:tc>
          <w:tcPr>
            <w:tcW w:w="0" w:type="auto"/>
            <w:shd w:val="clear" w:color="auto" w:fill="auto"/>
            <w:noWrap/>
            <w:vAlign w:val="center"/>
          </w:tcPr>
          <w:p w14:paraId="024163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52.72</w:t>
            </w:r>
          </w:p>
        </w:tc>
        <w:tc>
          <w:tcPr>
            <w:tcW w:w="0" w:type="auto"/>
            <w:shd w:val="clear" w:color="auto" w:fill="auto"/>
            <w:noWrap/>
            <w:vAlign w:val="center"/>
          </w:tcPr>
          <w:p w14:paraId="432C7C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38.62</w:t>
            </w:r>
          </w:p>
        </w:tc>
        <w:tc>
          <w:tcPr>
            <w:tcW w:w="0" w:type="auto"/>
            <w:shd w:val="clear" w:color="auto" w:fill="auto"/>
            <w:noWrap/>
            <w:vAlign w:val="center"/>
          </w:tcPr>
          <w:p w14:paraId="3593B4D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78AB75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20.75</w:t>
            </w:r>
          </w:p>
        </w:tc>
        <w:tc>
          <w:tcPr>
            <w:tcW w:w="0" w:type="auto"/>
            <w:shd w:val="clear" w:color="auto" w:fill="auto"/>
            <w:noWrap/>
            <w:vAlign w:val="center"/>
          </w:tcPr>
          <w:p w14:paraId="0EDC8F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22.04</w:t>
            </w:r>
          </w:p>
        </w:tc>
        <w:tc>
          <w:tcPr>
            <w:tcW w:w="0" w:type="auto"/>
            <w:shd w:val="clear" w:color="auto" w:fill="auto"/>
            <w:noWrap/>
            <w:vAlign w:val="center"/>
          </w:tcPr>
          <w:p w14:paraId="72F202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27.72</w:t>
            </w:r>
          </w:p>
        </w:tc>
        <w:tc>
          <w:tcPr>
            <w:tcW w:w="0" w:type="auto"/>
            <w:shd w:val="clear" w:color="auto" w:fill="auto"/>
            <w:noWrap/>
            <w:vAlign w:val="center"/>
          </w:tcPr>
          <w:p w14:paraId="3E9001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13.62</w:t>
            </w:r>
          </w:p>
        </w:tc>
        <w:tc>
          <w:tcPr>
            <w:tcW w:w="921" w:type="dxa"/>
            <w:shd w:val="clear" w:color="auto" w:fill="auto"/>
            <w:noWrap/>
            <w:vAlign w:val="center"/>
          </w:tcPr>
          <w:p w14:paraId="7A2980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6ED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4CAAA4A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往复筛3#</w:t>
            </w:r>
          </w:p>
        </w:tc>
        <w:tc>
          <w:tcPr>
            <w:tcW w:w="0" w:type="auto"/>
            <w:shd w:val="clear" w:color="auto" w:fill="auto"/>
            <w:noWrap/>
            <w:vAlign w:val="center"/>
          </w:tcPr>
          <w:p w14:paraId="574D870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7AC8C089">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7EA9E73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426" w:type="dxa"/>
            <w:shd w:val="clear" w:color="auto" w:fill="auto"/>
            <w:vAlign w:val="center"/>
          </w:tcPr>
          <w:p w14:paraId="284CF01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18</w:t>
            </w:r>
          </w:p>
        </w:tc>
        <w:tc>
          <w:tcPr>
            <w:tcW w:w="322" w:type="dxa"/>
            <w:shd w:val="clear" w:color="auto" w:fill="auto"/>
            <w:vAlign w:val="center"/>
          </w:tcPr>
          <w:p w14:paraId="4201C09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22D6B08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shd w:val="clear" w:color="auto" w:fill="auto"/>
            <w:noWrap/>
            <w:vAlign w:val="center"/>
          </w:tcPr>
          <w:p w14:paraId="4B53F5A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2D7BD7C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0" w:type="auto"/>
            <w:shd w:val="clear" w:color="auto" w:fill="auto"/>
            <w:noWrap/>
            <w:vAlign w:val="center"/>
          </w:tcPr>
          <w:p w14:paraId="3178E3F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60.9</w:t>
            </w:r>
          </w:p>
        </w:tc>
        <w:tc>
          <w:tcPr>
            <w:tcW w:w="0" w:type="auto"/>
            <w:vMerge w:val="continue"/>
            <w:shd w:val="clear" w:color="auto" w:fill="auto"/>
            <w:noWrap/>
            <w:vAlign w:val="center"/>
          </w:tcPr>
          <w:p w14:paraId="00AFFF33">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308B59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45.75</w:t>
            </w:r>
          </w:p>
        </w:tc>
        <w:tc>
          <w:tcPr>
            <w:tcW w:w="0" w:type="auto"/>
            <w:shd w:val="clear" w:color="auto" w:fill="auto"/>
            <w:noWrap/>
            <w:vAlign w:val="center"/>
          </w:tcPr>
          <w:p w14:paraId="62E328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47.04</w:t>
            </w:r>
          </w:p>
        </w:tc>
        <w:tc>
          <w:tcPr>
            <w:tcW w:w="0" w:type="auto"/>
            <w:shd w:val="clear" w:color="auto" w:fill="auto"/>
            <w:noWrap/>
            <w:vAlign w:val="center"/>
          </w:tcPr>
          <w:p w14:paraId="4D93E4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49.89</w:t>
            </w:r>
          </w:p>
        </w:tc>
        <w:tc>
          <w:tcPr>
            <w:tcW w:w="0" w:type="auto"/>
            <w:shd w:val="clear" w:color="auto" w:fill="auto"/>
            <w:noWrap/>
            <w:vAlign w:val="center"/>
          </w:tcPr>
          <w:p w14:paraId="19FDB2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39.31</w:t>
            </w:r>
          </w:p>
        </w:tc>
        <w:tc>
          <w:tcPr>
            <w:tcW w:w="0" w:type="auto"/>
            <w:shd w:val="clear" w:color="auto" w:fill="auto"/>
            <w:noWrap/>
            <w:vAlign w:val="center"/>
          </w:tcPr>
          <w:p w14:paraId="3CAFD3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37F1882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20.75</w:t>
            </w:r>
          </w:p>
        </w:tc>
        <w:tc>
          <w:tcPr>
            <w:tcW w:w="0" w:type="auto"/>
            <w:shd w:val="clear" w:color="auto" w:fill="auto"/>
            <w:noWrap/>
            <w:vAlign w:val="center"/>
          </w:tcPr>
          <w:p w14:paraId="5031EA5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22.04</w:t>
            </w:r>
          </w:p>
        </w:tc>
        <w:tc>
          <w:tcPr>
            <w:tcW w:w="0" w:type="auto"/>
            <w:shd w:val="clear" w:color="auto" w:fill="auto"/>
            <w:noWrap/>
            <w:vAlign w:val="center"/>
          </w:tcPr>
          <w:p w14:paraId="2DA0B2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24.89</w:t>
            </w:r>
          </w:p>
        </w:tc>
        <w:tc>
          <w:tcPr>
            <w:tcW w:w="0" w:type="auto"/>
            <w:shd w:val="clear" w:color="auto" w:fill="auto"/>
            <w:noWrap/>
            <w:vAlign w:val="center"/>
          </w:tcPr>
          <w:p w14:paraId="62442B7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14.31</w:t>
            </w:r>
          </w:p>
        </w:tc>
        <w:tc>
          <w:tcPr>
            <w:tcW w:w="921" w:type="dxa"/>
            <w:shd w:val="clear" w:color="auto" w:fill="auto"/>
            <w:noWrap/>
            <w:vAlign w:val="center"/>
          </w:tcPr>
          <w:p w14:paraId="47C0628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B464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0CF5E63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往复筛4#</w:t>
            </w:r>
          </w:p>
        </w:tc>
        <w:tc>
          <w:tcPr>
            <w:tcW w:w="0" w:type="auto"/>
            <w:shd w:val="clear" w:color="auto" w:fill="auto"/>
            <w:noWrap/>
            <w:vAlign w:val="center"/>
          </w:tcPr>
          <w:p w14:paraId="1ED90C8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6649CBEE">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277245A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6B8F322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23</w:t>
            </w:r>
          </w:p>
        </w:tc>
        <w:tc>
          <w:tcPr>
            <w:tcW w:w="322" w:type="dxa"/>
            <w:shd w:val="clear" w:color="auto" w:fill="auto"/>
            <w:vAlign w:val="center"/>
          </w:tcPr>
          <w:p w14:paraId="55A205F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7ED8629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shd w:val="clear" w:color="auto" w:fill="auto"/>
            <w:noWrap/>
            <w:vAlign w:val="center"/>
          </w:tcPr>
          <w:p w14:paraId="0F42961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179952E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w:t>
            </w:r>
          </w:p>
        </w:tc>
        <w:tc>
          <w:tcPr>
            <w:tcW w:w="0" w:type="auto"/>
            <w:shd w:val="clear" w:color="auto" w:fill="auto"/>
            <w:noWrap/>
            <w:vAlign w:val="center"/>
          </w:tcPr>
          <w:p w14:paraId="02EC7C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55.9</w:t>
            </w:r>
          </w:p>
        </w:tc>
        <w:tc>
          <w:tcPr>
            <w:tcW w:w="0" w:type="auto"/>
            <w:vMerge w:val="continue"/>
            <w:shd w:val="clear" w:color="auto" w:fill="auto"/>
            <w:noWrap/>
            <w:vAlign w:val="center"/>
          </w:tcPr>
          <w:p w14:paraId="67C1DC3E">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6F43DC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45.75</w:t>
            </w:r>
          </w:p>
        </w:tc>
        <w:tc>
          <w:tcPr>
            <w:tcW w:w="0" w:type="auto"/>
            <w:shd w:val="clear" w:color="auto" w:fill="auto"/>
            <w:noWrap/>
            <w:vAlign w:val="center"/>
          </w:tcPr>
          <w:p w14:paraId="6F4C62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47.04</w:t>
            </w:r>
          </w:p>
        </w:tc>
        <w:tc>
          <w:tcPr>
            <w:tcW w:w="0" w:type="auto"/>
            <w:shd w:val="clear" w:color="auto" w:fill="auto"/>
            <w:noWrap/>
            <w:vAlign w:val="center"/>
          </w:tcPr>
          <w:p w14:paraId="1809DE5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47.77</w:t>
            </w:r>
          </w:p>
        </w:tc>
        <w:tc>
          <w:tcPr>
            <w:tcW w:w="0" w:type="auto"/>
            <w:shd w:val="clear" w:color="auto" w:fill="auto"/>
            <w:noWrap/>
            <w:vAlign w:val="center"/>
          </w:tcPr>
          <w:p w14:paraId="40FA52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40.05</w:t>
            </w:r>
          </w:p>
        </w:tc>
        <w:tc>
          <w:tcPr>
            <w:tcW w:w="0" w:type="auto"/>
            <w:shd w:val="clear" w:color="auto" w:fill="auto"/>
            <w:noWrap/>
            <w:vAlign w:val="center"/>
          </w:tcPr>
          <w:p w14:paraId="12C15A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456CC4D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20.75</w:t>
            </w:r>
          </w:p>
        </w:tc>
        <w:tc>
          <w:tcPr>
            <w:tcW w:w="0" w:type="auto"/>
            <w:shd w:val="clear" w:color="auto" w:fill="auto"/>
            <w:noWrap/>
            <w:vAlign w:val="center"/>
          </w:tcPr>
          <w:p w14:paraId="097842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22.04</w:t>
            </w:r>
          </w:p>
        </w:tc>
        <w:tc>
          <w:tcPr>
            <w:tcW w:w="0" w:type="auto"/>
            <w:shd w:val="clear" w:color="auto" w:fill="auto"/>
            <w:noWrap/>
            <w:vAlign w:val="center"/>
          </w:tcPr>
          <w:p w14:paraId="14F5B4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22.77</w:t>
            </w:r>
          </w:p>
        </w:tc>
        <w:tc>
          <w:tcPr>
            <w:tcW w:w="0" w:type="auto"/>
            <w:shd w:val="clear" w:color="auto" w:fill="auto"/>
            <w:noWrap/>
            <w:vAlign w:val="center"/>
          </w:tcPr>
          <w:p w14:paraId="6D5A47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15.05</w:t>
            </w:r>
          </w:p>
        </w:tc>
        <w:tc>
          <w:tcPr>
            <w:tcW w:w="921" w:type="dxa"/>
            <w:shd w:val="clear" w:color="auto" w:fill="auto"/>
            <w:noWrap/>
            <w:vAlign w:val="center"/>
          </w:tcPr>
          <w:p w14:paraId="06F737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3AF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201AFC9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往复筛5#</w:t>
            </w:r>
          </w:p>
        </w:tc>
        <w:tc>
          <w:tcPr>
            <w:tcW w:w="0" w:type="auto"/>
            <w:shd w:val="clear" w:color="auto" w:fill="auto"/>
            <w:noWrap/>
            <w:vAlign w:val="center"/>
          </w:tcPr>
          <w:p w14:paraId="112B28C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37AE5ADE">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5B03212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426" w:type="dxa"/>
            <w:shd w:val="clear" w:color="auto" w:fill="auto"/>
            <w:vAlign w:val="center"/>
          </w:tcPr>
          <w:p w14:paraId="70157EF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28</w:t>
            </w:r>
          </w:p>
        </w:tc>
        <w:tc>
          <w:tcPr>
            <w:tcW w:w="322" w:type="dxa"/>
            <w:shd w:val="clear" w:color="auto" w:fill="auto"/>
            <w:vAlign w:val="center"/>
          </w:tcPr>
          <w:p w14:paraId="25CB632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5DCD05F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shd w:val="clear" w:color="auto" w:fill="auto"/>
            <w:noWrap/>
            <w:vAlign w:val="center"/>
          </w:tcPr>
          <w:p w14:paraId="08CF98B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0CF1D0A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0" w:type="auto"/>
            <w:shd w:val="clear" w:color="auto" w:fill="auto"/>
            <w:noWrap/>
            <w:vAlign w:val="center"/>
          </w:tcPr>
          <w:p w14:paraId="2DD18D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50.9</w:t>
            </w:r>
          </w:p>
        </w:tc>
        <w:tc>
          <w:tcPr>
            <w:tcW w:w="0" w:type="auto"/>
            <w:vMerge w:val="continue"/>
            <w:shd w:val="clear" w:color="auto" w:fill="auto"/>
            <w:noWrap/>
            <w:vAlign w:val="center"/>
          </w:tcPr>
          <w:p w14:paraId="2E11921F">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2D5E17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45.75</w:t>
            </w:r>
          </w:p>
        </w:tc>
        <w:tc>
          <w:tcPr>
            <w:tcW w:w="0" w:type="auto"/>
            <w:shd w:val="clear" w:color="auto" w:fill="auto"/>
            <w:noWrap/>
            <w:vAlign w:val="center"/>
          </w:tcPr>
          <w:p w14:paraId="7D1989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47.04</w:t>
            </w:r>
          </w:p>
        </w:tc>
        <w:tc>
          <w:tcPr>
            <w:tcW w:w="0" w:type="auto"/>
            <w:shd w:val="clear" w:color="auto" w:fill="auto"/>
            <w:noWrap/>
            <w:vAlign w:val="center"/>
          </w:tcPr>
          <w:p w14:paraId="64DDAB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46.06</w:t>
            </w:r>
          </w:p>
        </w:tc>
        <w:tc>
          <w:tcPr>
            <w:tcW w:w="0" w:type="auto"/>
            <w:shd w:val="clear" w:color="auto" w:fill="auto"/>
            <w:noWrap/>
            <w:vAlign w:val="center"/>
          </w:tcPr>
          <w:p w14:paraId="042740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40.87</w:t>
            </w:r>
          </w:p>
        </w:tc>
        <w:tc>
          <w:tcPr>
            <w:tcW w:w="0" w:type="auto"/>
            <w:shd w:val="clear" w:color="auto" w:fill="auto"/>
            <w:noWrap/>
            <w:vAlign w:val="center"/>
          </w:tcPr>
          <w:p w14:paraId="7607000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0D89415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20.75</w:t>
            </w:r>
          </w:p>
        </w:tc>
        <w:tc>
          <w:tcPr>
            <w:tcW w:w="0" w:type="auto"/>
            <w:shd w:val="clear" w:color="auto" w:fill="auto"/>
            <w:noWrap/>
            <w:vAlign w:val="center"/>
          </w:tcPr>
          <w:p w14:paraId="12D81D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22.04</w:t>
            </w:r>
          </w:p>
        </w:tc>
        <w:tc>
          <w:tcPr>
            <w:tcW w:w="0" w:type="auto"/>
            <w:shd w:val="clear" w:color="auto" w:fill="auto"/>
            <w:noWrap/>
            <w:vAlign w:val="center"/>
          </w:tcPr>
          <w:p w14:paraId="79A8A0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21.06</w:t>
            </w:r>
          </w:p>
        </w:tc>
        <w:tc>
          <w:tcPr>
            <w:tcW w:w="0" w:type="auto"/>
            <w:shd w:val="clear" w:color="auto" w:fill="auto"/>
            <w:noWrap/>
            <w:vAlign w:val="center"/>
          </w:tcPr>
          <w:p w14:paraId="10382F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15.87</w:t>
            </w:r>
          </w:p>
        </w:tc>
        <w:tc>
          <w:tcPr>
            <w:tcW w:w="921" w:type="dxa"/>
            <w:shd w:val="clear" w:color="auto" w:fill="auto"/>
            <w:noWrap/>
            <w:vAlign w:val="center"/>
          </w:tcPr>
          <w:p w14:paraId="11F23D4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FC3B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4A3A5E4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往复筛6#</w:t>
            </w:r>
          </w:p>
        </w:tc>
        <w:tc>
          <w:tcPr>
            <w:tcW w:w="0" w:type="auto"/>
            <w:shd w:val="clear" w:color="auto" w:fill="auto"/>
            <w:noWrap/>
            <w:vAlign w:val="center"/>
          </w:tcPr>
          <w:p w14:paraId="34FF14E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09AB754F">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28A3A42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1C20045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33</w:t>
            </w:r>
          </w:p>
        </w:tc>
        <w:tc>
          <w:tcPr>
            <w:tcW w:w="322" w:type="dxa"/>
            <w:shd w:val="clear" w:color="auto" w:fill="auto"/>
            <w:vAlign w:val="center"/>
          </w:tcPr>
          <w:p w14:paraId="2DD7349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39274CE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shd w:val="clear" w:color="auto" w:fill="auto"/>
            <w:noWrap/>
            <w:vAlign w:val="center"/>
          </w:tcPr>
          <w:p w14:paraId="5D176BC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052DD5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33</w:t>
            </w:r>
          </w:p>
        </w:tc>
        <w:tc>
          <w:tcPr>
            <w:tcW w:w="0" w:type="auto"/>
            <w:shd w:val="clear" w:color="auto" w:fill="auto"/>
            <w:noWrap/>
            <w:vAlign w:val="center"/>
          </w:tcPr>
          <w:p w14:paraId="1BF515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45.9</w:t>
            </w:r>
          </w:p>
        </w:tc>
        <w:tc>
          <w:tcPr>
            <w:tcW w:w="0" w:type="auto"/>
            <w:vMerge w:val="continue"/>
            <w:shd w:val="clear" w:color="auto" w:fill="auto"/>
            <w:noWrap/>
            <w:vAlign w:val="center"/>
          </w:tcPr>
          <w:p w14:paraId="785F4648">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4848C3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45.75</w:t>
            </w:r>
          </w:p>
        </w:tc>
        <w:tc>
          <w:tcPr>
            <w:tcW w:w="0" w:type="auto"/>
            <w:shd w:val="clear" w:color="auto" w:fill="auto"/>
            <w:noWrap/>
            <w:vAlign w:val="center"/>
          </w:tcPr>
          <w:p w14:paraId="56289E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47.04</w:t>
            </w:r>
          </w:p>
        </w:tc>
        <w:tc>
          <w:tcPr>
            <w:tcW w:w="0" w:type="auto"/>
            <w:shd w:val="clear" w:color="auto" w:fill="auto"/>
            <w:noWrap/>
            <w:vAlign w:val="center"/>
          </w:tcPr>
          <w:p w14:paraId="283E31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44.63</w:t>
            </w:r>
          </w:p>
        </w:tc>
        <w:tc>
          <w:tcPr>
            <w:tcW w:w="0" w:type="auto"/>
            <w:shd w:val="clear" w:color="auto" w:fill="auto"/>
            <w:noWrap/>
            <w:vAlign w:val="center"/>
          </w:tcPr>
          <w:p w14:paraId="23E836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41.76</w:t>
            </w:r>
          </w:p>
        </w:tc>
        <w:tc>
          <w:tcPr>
            <w:tcW w:w="0" w:type="auto"/>
            <w:shd w:val="clear" w:color="auto" w:fill="auto"/>
            <w:noWrap/>
            <w:vAlign w:val="center"/>
          </w:tcPr>
          <w:p w14:paraId="7BDD64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11C3B96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20.75</w:t>
            </w:r>
          </w:p>
        </w:tc>
        <w:tc>
          <w:tcPr>
            <w:tcW w:w="0" w:type="auto"/>
            <w:shd w:val="clear" w:color="auto" w:fill="auto"/>
            <w:noWrap/>
            <w:vAlign w:val="center"/>
          </w:tcPr>
          <w:p w14:paraId="59AAF6E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22.04</w:t>
            </w:r>
          </w:p>
        </w:tc>
        <w:tc>
          <w:tcPr>
            <w:tcW w:w="0" w:type="auto"/>
            <w:shd w:val="clear" w:color="auto" w:fill="auto"/>
            <w:noWrap/>
            <w:vAlign w:val="center"/>
          </w:tcPr>
          <w:p w14:paraId="19EB10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19.63</w:t>
            </w:r>
          </w:p>
        </w:tc>
        <w:tc>
          <w:tcPr>
            <w:tcW w:w="0" w:type="auto"/>
            <w:shd w:val="clear" w:color="auto" w:fill="auto"/>
            <w:noWrap/>
            <w:vAlign w:val="center"/>
          </w:tcPr>
          <w:p w14:paraId="1A64B2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16.76</w:t>
            </w:r>
          </w:p>
        </w:tc>
        <w:tc>
          <w:tcPr>
            <w:tcW w:w="921" w:type="dxa"/>
            <w:shd w:val="clear" w:color="auto" w:fill="auto"/>
            <w:noWrap/>
            <w:vAlign w:val="center"/>
          </w:tcPr>
          <w:p w14:paraId="61A850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2B27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0" w:type="auto"/>
            <w:shd w:val="clear" w:color="auto" w:fill="auto"/>
            <w:noWrap/>
            <w:vAlign w:val="center"/>
          </w:tcPr>
          <w:p w14:paraId="06D690A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往复筛7#</w:t>
            </w:r>
          </w:p>
        </w:tc>
        <w:tc>
          <w:tcPr>
            <w:tcW w:w="0" w:type="auto"/>
            <w:shd w:val="clear" w:color="auto" w:fill="auto"/>
            <w:noWrap/>
            <w:vAlign w:val="center"/>
          </w:tcPr>
          <w:p w14:paraId="31297AE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5BC202DA">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1E4A3C4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426" w:type="dxa"/>
            <w:shd w:val="clear" w:color="auto" w:fill="auto"/>
            <w:vAlign w:val="center"/>
          </w:tcPr>
          <w:p w14:paraId="5644D48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38</w:t>
            </w:r>
          </w:p>
        </w:tc>
        <w:tc>
          <w:tcPr>
            <w:tcW w:w="322" w:type="dxa"/>
            <w:shd w:val="clear" w:color="auto" w:fill="auto"/>
            <w:vAlign w:val="center"/>
          </w:tcPr>
          <w:p w14:paraId="7F206D5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545EC75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shd w:val="clear" w:color="auto" w:fill="auto"/>
            <w:noWrap/>
            <w:vAlign w:val="center"/>
          </w:tcPr>
          <w:p w14:paraId="7287E2F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107593C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38</w:t>
            </w:r>
          </w:p>
        </w:tc>
        <w:tc>
          <w:tcPr>
            <w:tcW w:w="0" w:type="auto"/>
            <w:shd w:val="clear" w:color="auto" w:fill="auto"/>
            <w:noWrap/>
            <w:vAlign w:val="center"/>
          </w:tcPr>
          <w:p w14:paraId="72CCC5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40.9</w:t>
            </w:r>
          </w:p>
        </w:tc>
        <w:tc>
          <w:tcPr>
            <w:tcW w:w="0" w:type="auto"/>
            <w:vMerge w:val="continue"/>
            <w:shd w:val="clear" w:color="auto" w:fill="auto"/>
            <w:noWrap/>
            <w:vAlign w:val="center"/>
          </w:tcPr>
          <w:p w14:paraId="20DBC30B">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75388F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45.75</w:t>
            </w:r>
          </w:p>
        </w:tc>
        <w:tc>
          <w:tcPr>
            <w:tcW w:w="0" w:type="auto"/>
            <w:shd w:val="clear" w:color="auto" w:fill="auto"/>
            <w:noWrap/>
            <w:vAlign w:val="center"/>
          </w:tcPr>
          <w:p w14:paraId="2D345C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47.04</w:t>
            </w:r>
          </w:p>
        </w:tc>
        <w:tc>
          <w:tcPr>
            <w:tcW w:w="0" w:type="auto"/>
            <w:shd w:val="clear" w:color="auto" w:fill="auto"/>
            <w:noWrap/>
            <w:vAlign w:val="center"/>
          </w:tcPr>
          <w:p w14:paraId="086B33E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43.4</w:t>
            </w:r>
          </w:p>
        </w:tc>
        <w:tc>
          <w:tcPr>
            <w:tcW w:w="0" w:type="auto"/>
            <w:shd w:val="clear" w:color="auto" w:fill="auto"/>
            <w:noWrap/>
            <w:vAlign w:val="center"/>
          </w:tcPr>
          <w:p w14:paraId="66540CE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42.77</w:t>
            </w:r>
          </w:p>
        </w:tc>
        <w:tc>
          <w:tcPr>
            <w:tcW w:w="0" w:type="auto"/>
            <w:shd w:val="clear" w:color="auto" w:fill="auto"/>
            <w:noWrap/>
            <w:vAlign w:val="center"/>
          </w:tcPr>
          <w:p w14:paraId="51A65D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01E7C8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20.75</w:t>
            </w:r>
          </w:p>
        </w:tc>
        <w:tc>
          <w:tcPr>
            <w:tcW w:w="0" w:type="auto"/>
            <w:shd w:val="clear" w:color="auto" w:fill="auto"/>
            <w:noWrap/>
            <w:vAlign w:val="center"/>
          </w:tcPr>
          <w:p w14:paraId="14F84B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22.04</w:t>
            </w:r>
          </w:p>
        </w:tc>
        <w:tc>
          <w:tcPr>
            <w:tcW w:w="0" w:type="auto"/>
            <w:shd w:val="clear" w:color="auto" w:fill="auto"/>
            <w:noWrap/>
            <w:vAlign w:val="center"/>
          </w:tcPr>
          <w:p w14:paraId="2B20B0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18.4</w:t>
            </w:r>
          </w:p>
        </w:tc>
        <w:tc>
          <w:tcPr>
            <w:tcW w:w="0" w:type="auto"/>
            <w:shd w:val="clear" w:color="auto" w:fill="auto"/>
            <w:noWrap/>
            <w:vAlign w:val="center"/>
          </w:tcPr>
          <w:p w14:paraId="77D294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17.77</w:t>
            </w:r>
          </w:p>
        </w:tc>
        <w:tc>
          <w:tcPr>
            <w:tcW w:w="921" w:type="dxa"/>
            <w:shd w:val="clear" w:color="auto" w:fill="auto"/>
            <w:noWrap/>
            <w:vAlign w:val="center"/>
          </w:tcPr>
          <w:p w14:paraId="484FAD7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E53C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0" w:type="auto"/>
            <w:shd w:val="clear" w:color="auto" w:fill="auto"/>
            <w:noWrap/>
            <w:vAlign w:val="center"/>
          </w:tcPr>
          <w:p w14:paraId="0A47223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往复筛8#</w:t>
            </w:r>
          </w:p>
        </w:tc>
        <w:tc>
          <w:tcPr>
            <w:tcW w:w="0" w:type="auto"/>
            <w:shd w:val="clear" w:color="auto" w:fill="auto"/>
            <w:noWrap/>
            <w:vAlign w:val="center"/>
          </w:tcPr>
          <w:p w14:paraId="52ACBCA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053CCEA7">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086B7E3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637CC46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43</w:t>
            </w:r>
          </w:p>
        </w:tc>
        <w:tc>
          <w:tcPr>
            <w:tcW w:w="322" w:type="dxa"/>
            <w:shd w:val="clear" w:color="auto" w:fill="auto"/>
            <w:vAlign w:val="center"/>
          </w:tcPr>
          <w:p w14:paraId="58EE80C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2AF025D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shd w:val="clear" w:color="auto" w:fill="auto"/>
            <w:noWrap/>
            <w:vAlign w:val="center"/>
          </w:tcPr>
          <w:p w14:paraId="47635B1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7EC1CF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0" w:type="auto"/>
            <w:shd w:val="clear" w:color="auto" w:fill="auto"/>
            <w:noWrap/>
            <w:vAlign w:val="center"/>
          </w:tcPr>
          <w:p w14:paraId="73844D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35.9</w:t>
            </w:r>
          </w:p>
        </w:tc>
        <w:tc>
          <w:tcPr>
            <w:tcW w:w="0" w:type="auto"/>
            <w:vMerge w:val="continue"/>
            <w:shd w:val="clear" w:color="auto" w:fill="auto"/>
            <w:noWrap/>
            <w:vAlign w:val="center"/>
          </w:tcPr>
          <w:p w14:paraId="2B0B7A82">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7C260A1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45.75</w:t>
            </w:r>
          </w:p>
        </w:tc>
        <w:tc>
          <w:tcPr>
            <w:tcW w:w="0" w:type="auto"/>
            <w:shd w:val="clear" w:color="auto" w:fill="auto"/>
            <w:noWrap/>
            <w:vAlign w:val="center"/>
          </w:tcPr>
          <w:p w14:paraId="645A88C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47.04</w:t>
            </w:r>
          </w:p>
        </w:tc>
        <w:tc>
          <w:tcPr>
            <w:tcW w:w="0" w:type="auto"/>
            <w:shd w:val="clear" w:color="auto" w:fill="auto"/>
            <w:noWrap/>
            <w:vAlign w:val="center"/>
          </w:tcPr>
          <w:p w14:paraId="251EE96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42.33</w:t>
            </w:r>
          </w:p>
        </w:tc>
        <w:tc>
          <w:tcPr>
            <w:tcW w:w="0" w:type="auto"/>
            <w:shd w:val="clear" w:color="auto" w:fill="auto"/>
            <w:noWrap/>
            <w:vAlign w:val="center"/>
          </w:tcPr>
          <w:p w14:paraId="1BE638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43.9</w:t>
            </w:r>
          </w:p>
        </w:tc>
        <w:tc>
          <w:tcPr>
            <w:tcW w:w="0" w:type="auto"/>
            <w:shd w:val="clear" w:color="auto" w:fill="auto"/>
            <w:noWrap/>
            <w:vAlign w:val="center"/>
          </w:tcPr>
          <w:p w14:paraId="63BEAA1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430E9C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20.75</w:t>
            </w:r>
          </w:p>
        </w:tc>
        <w:tc>
          <w:tcPr>
            <w:tcW w:w="0" w:type="auto"/>
            <w:shd w:val="clear" w:color="auto" w:fill="auto"/>
            <w:noWrap/>
            <w:vAlign w:val="center"/>
          </w:tcPr>
          <w:p w14:paraId="43A063E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22.04</w:t>
            </w:r>
          </w:p>
        </w:tc>
        <w:tc>
          <w:tcPr>
            <w:tcW w:w="0" w:type="auto"/>
            <w:shd w:val="clear" w:color="auto" w:fill="auto"/>
            <w:noWrap/>
            <w:vAlign w:val="center"/>
          </w:tcPr>
          <w:p w14:paraId="1CD92D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17.33</w:t>
            </w:r>
          </w:p>
        </w:tc>
        <w:tc>
          <w:tcPr>
            <w:tcW w:w="0" w:type="auto"/>
            <w:shd w:val="clear" w:color="auto" w:fill="auto"/>
            <w:noWrap/>
            <w:vAlign w:val="center"/>
          </w:tcPr>
          <w:p w14:paraId="49F289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18.9</w:t>
            </w:r>
          </w:p>
        </w:tc>
        <w:tc>
          <w:tcPr>
            <w:tcW w:w="921" w:type="dxa"/>
            <w:shd w:val="clear" w:color="auto" w:fill="auto"/>
            <w:noWrap/>
            <w:vAlign w:val="center"/>
          </w:tcPr>
          <w:p w14:paraId="189ADBF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ADB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6F70C53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往复筛9#</w:t>
            </w:r>
          </w:p>
        </w:tc>
        <w:tc>
          <w:tcPr>
            <w:tcW w:w="0" w:type="auto"/>
            <w:shd w:val="clear" w:color="auto" w:fill="auto"/>
            <w:noWrap/>
            <w:vAlign w:val="center"/>
          </w:tcPr>
          <w:p w14:paraId="0C8A614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22C5079C">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7AC7FAA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426" w:type="dxa"/>
            <w:shd w:val="clear" w:color="auto" w:fill="auto"/>
            <w:vAlign w:val="center"/>
          </w:tcPr>
          <w:p w14:paraId="7A437F1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48</w:t>
            </w:r>
          </w:p>
        </w:tc>
        <w:tc>
          <w:tcPr>
            <w:tcW w:w="322" w:type="dxa"/>
            <w:shd w:val="clear" w:color="auto" w:fill="auto"/>
            <w:vAlign w:val="center"/>
          </w:tcPr>
          <w:p w14:paraId="417A576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6F05720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shd w:val="clear" w:color="auto" w:fill="auto"/>
            <w:noWrap/>
            <w:vAlign w:val="center"/>
          </w:tcPr>
          <w:p w14:paraId="7812F33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3C38021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w:t>
            </w:r>
          </w:p>
        </w:tc>
        <w:tc>
          <w:tcPr>
            <w:tcW w:w="0" w:type="auto"/>
            <w:shd w:val="clear" w:color="auto" w:fill="auto"/>
            <w:noWrap/>
            <w:vAlign w:val="center"/>
          </w:tcPr>
          <w:p w14:paraId="2B5A5B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30.9</w:t>
            </w:r>
          </w:p>
        </w:tc>
        <w:tc>
          <w:tcPr>
            <w:tcW w:w="0" w:type="auto"/>
            <w:vMerge w:val="continue"/>
            <w:shd w:val="clear" w:color="auto" w:fill="auto"/>
            <w:noWrap/>
            <w:vAlign w:val="center"/>
          </w:tcPr>
          <w:p w14:paraId="449E4192">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05D447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45.75</w:t>
            </w:r>
          </w:p>
        </w:tc>
        <w:tc>
          <w:tcPr>
            <w:tcW w:w="0" w:type="auto"/>
            <w:shd w:val="clear" w:color="auto" w:fill="auto"/>
            <w:noWrap/>
            <w:vAlign w:val="center"/>
          </w:tcPr>
          <w:p w14:paraId="7FA5FF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47.04</w:t>
            </w:r>
          </w:p>
        </w:tc>
        <w:tc>
          <w:tcPr>
            <w:tcW w:w="0" w:type="auto"/>
            <w:shd w:val="clear" w:color="auto" w:fill="auto"/>
            <w:noWrap/>
            <w:vAlign w:val="center"/>
          </w:tcPr>
          <w:p w14:paraId="53C212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41.38</w:t>
            </w:r>
          </w:p>
        </w:tc>
        <w:tc>
          <w:tcPr>
            <w:tcW w:w="0" w:type="auto"/>
            <w:shd w:val="clear" w:color="auto" w:fill="auto"/>
            <w:noWrap/>
            <w:vAlign w:val="center"/>
          </w:tcPr>
          <w:p w14:paraId="736A21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45.2</w:t>
            </w:r>
          </w:p>
        </w:tc>
        <w:tc>
          <w:tcPr>
            <w:tcW w:w="0" w:type="auto"/>
            <w:shd w:val="clear" w:color="auto" w:fill="auto"/>
            <w:noWrap/>
            <w:vAlign w:val="center"/>
          </w:tcPr>
          <w:p w14:paraId="4F528D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42EA831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20.75</w:t>
            </w:r>
          </w:p>
        </w:tc>
        <w:tc>
          <w:tcPr>
            <w:tcW w:w="0" w:type="auto"/>
            <w:shd w:val="clear" w:color="auto" w:fill="auto"/>
            <w:noWrap/>
            <w:vAlign w:val="center"/>
          </w:tcPr>
          <w:p w14:paraId="5405E02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22.04</w:t>
            </w:r>
          </w:p>
        </w:tc>
        <w:tc>
          <w:tcPr>
            <w:tcW w:w="0" w:type="auto"/>
            <w:shd w:val="clear" w:color="auto" w:fill="auto"/>
            <w:noWrap/>
            <w:vAlign w:val="center"/>
          </w:tcPr>
          <w:p w14:paraId="2DC33B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16.38</w:t>
            </w:r>
          </w:p>
        </w:tc>
        <w:tc>
          <w:tcPr>
            <w:tcW w:w="0" w:type="auto"/>
            <w:shd w:val="clear" w:color="auto" w:fill="auto"/>
            <w:noWrap/>
            <w:vAlign w:val="center"/>
          </w:tcPr>
          <w:p w14:paraId="1B69C9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20.2</w:t>
            </w:r>
          </w:p>
        </w:tc>
        <w:tc>
          <w:tcPr>
            <w:tcW w:w="921" w:type="dxa"/>
            <w:shd w:val="clear" w:color="auto" w:fill="auto"/>
            <w:noWrap/>
            <w:vAlign w:val="center"/>
          </w:tcPr>
          <w:p w14:paraId="1193D77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6BD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3C330D7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精细粉碎机1#</w:t>
            </w:r>
          </w:p>
        </w:tc>
        <w:tc>
          <w:tcPr>
            <w:tcW w:w="0" w:type="auto"/>
            <w:shd w:val="clear" w:color="auto" w:fill="auto"/>
            <w:noWrap/>
            <w:vAlign w:val="center"/>
          </w:tcPr>
          <w:p w14:paraId="0FB9255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5CB2C4E8">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59A217B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w:t>
            </w:r>
          </w:p>
        </w:tc>
        <w:tc>
          <w:tcPr>
            <w:tcW w:w="0" w:type="auto"/>
            <w:shd w:val="clear" w:color="auto" w:fill="auto"/>
            <w:noWrap/>
            <w:vAlign w:val="center"/>
          </w:tcPr>
          <w:p w14:paraId="0B52DF4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66</w:t>
            </w:r>
          </w:p>
        </w:tc>
        <w:tc>
          <w:tcPr>
            <w:tcW w:w="322" w:type="dxa"/>
            <w:shd w:val="clear" w:color="auto" w:fill="auto"/>
            <w:vAlign w:val="center"/>
          </w:tcPr>
          <w:p w14:paraId="7FF4790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7545FF2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49</w:t>
            </w:r>
          </w:p>
        </w:tc>
        <w:tc>
          <w:tcPr>
            <w:tcW w:w="0" w:type="auto"/>
            <w:shd w:val="clear" w:color="auto" w:fill="auto"/>
            <w:noWrap/>
            <w:vAlign w:val="center"/>
          </w:tcPr>
          <w:p w14:paraId="3B0302F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w:t>
            </w:r>
          </w:p>
        </w:tc>
        <w:tc>
          <w:tcPr>
            <w:tcW w:w="0" w:type="auto"/>
            <w:shd w:val="clear" w:color="auto" w:fill="auto"/>
            <w:noWrap/>
            <w:vAlign w:val="center"/>
          </w:tcPr>
          <w:p w14:paraId="292FDF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0" w:type="auto"/>
            <w:shd w:val="clear" w:color="auto" w:fill="auto"/>
            <w:noWrap/>
            <w:vAlign w:val="center"/>
          </w:tcPr>
          <w:p w14:paraId="44E6CC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0" w:type="auto"/>
            <w:vMerge w:val="continue"/>
            <w:shd w:val="clear" w:color="auto" w:fill="auto"/>
            <w:noWrap/>
            <w:vAlign w:val="center"/>
          </w:tcPr>
          <w:p w14:paraId="2D21E569">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3A452E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46.2</w:t>
            </w:r>
          </w:p>
        </w:tc>
        <w:tc>
          <w:tcPr>
            <w:tcW w:w="0" w:type="auto"/>
            <w:shd w:val="clear" w:color="auto" w:fill="auto"/>
            <w:noWrap/>
            <w:vAlign w:val="center"/>
          </w:tcPr>
          <w:p w14:paraId="6195C2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66.02</w:t>
            </w:r>
          </w:p>
        </w:tc>
        <w:tc>
          <w:tcPr>
            <w:tcW w:w="0" w:type="auto"/>
            <w:shd w:val="clear" w:color="auto" w:fill="auto"/>
            <w:noWrap/>
            <w:vAlign w:val="center"/>
          </w:tcPr>
          <w:p w14:paraId="1665E1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43.61</w:t>
            </w:r>
          </w:p>
        </w:tc>
        <w:tc>
          <w:tcPr>
            <w:tcW w:w="0" w:type="auto"/>
            <w:shd w:val="clear" w:color="auto" w:fill="auto"/>
            <w:noWrap/>
            <w:vAlign w:val="center"/>
          </w:tcPr>
          <w:p w14:paraId="64D90AA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57.79</w:t>
            </w:r>
          </w:p>
        </w:tc>
        <w:tc>
          <w:tcPr>
            <w:tcW w:w="0" w:type="auto"/>
            <w:shd w:val="clear" w:color="auto" w:fill="auto"/>
            <w:noWrap/>
            <w:vAlign w:val="center"/>
          </w:tcPr>
          <w:p w14:paraId="477E4B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397E8D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21.2</w:t>
            </w:r>
          </w:p>
        </w:tc>
        <w:tc>
          <w:tcPr>
            <w:tcW w:w="0" w:type="auto"/>
            <w:shd w:val="clear" w:color="auto" w:fill="auto"/>
            <w:noWrap/>
            <w:vAlign w:val="center"/>
          </w:tcPr>
          <w:p w14:paraId="37D81F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41.02</w:t>
            </w:r>
          </w:p>
        </w:tc>
        <w:tc>
          <w:tcPr>
            <w:tcW w:w="0" w:type="auto"/>
            <w:shd w:val="clear" w:color="auto" w:fill="auto"/>
            <w:noWrap/>
            <w:vAlign w:val="center"/>
          </w:tcPr>
          <w:p w14:paraId="3FA368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18.61</w:t>
            </w:r>
          </w:p>
        </w:tc>
        <w:tc>
          <w:tcPr>
            <w:tcW w:w="0" w:type="auto"/>
            <w:shd w:val="clear" w:color="auto" w:fill="auto"/>
            <w:noWrap/>
            <w:vAlign w:val="center"/>
          </w:tcPr>
          <w:p w14:paraId="161CE5A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32.79</w:t>
            </w:r>
          </w:p>
        </w:tc>
        <w:tc>
          <w:tcPr>
            <w:tcW w:w="921" w:type="dxa"/>
            <w:shd w:val="clear" w:color="auto" w:fill="auto"/>
            <w:noWrap/>
            <w:vAlign w:val="center"/>
          </w:tcPr>
          <w:p w14:paraId="0D9E21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ADD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35" w:type="dxa"/>
            <w:shd w:val="clear" w:color="auto" w:fill="auto"/>
            <w:vAlign w:val="center"/>
          </w:tcPr>
          <w:p w14:paraId="1DEFA01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精细粉碎机2#</w:t>
            </w:r>
          </w:p>
        </w:tc>
        <w:tc>
          <w:tcPr>
            <w:tcW w:w="0" w:type="auto"/>
            <w:shd w:val="clear" w:color="auto" w:fill="auto"/>
            <w:noWrap/>
            <w:vAlign w:val="center"/>
          </w:tcPr>
          <w:p w14:paraId="6804FC4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0C1EAB1F">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2218712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0" w:type="auto"/>
            <w:shd w:val="clear" w:color="auto" w:fill="auto"/>
            <w:noWrap/>
            <w:vAlign w:val="center"/>
          </w:tcPr>
          <w:p w14:paraId="4DFFE62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66</w:t>
            </w:r>
          </w:p>
        </w:tc>
        <w:tc>
          <w:tcPr>
            <w:tcW w:w="322" w:type="dxa"/>
            <w:shd w:val="clear" w:color="auto" w:fill="auto"/>
            <w:vAlign w:val="center"/>
          </w:tcPr>
          <w:p w14:paraId="3C3379D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4C926C2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44</w:t>
            </w:r>
          </w:p>
        </w:tc>
        <w:tc>
          <w:tcPr>
            <w:tcW w:w="0" w:type="auto"/>
            <w:shd w:val="clear" w:color="auto" w:fill="auto"/>
            <w:noWrap/>
            <w:vAlign w:val="center"/>
          </w:tcPr>
          <w:p w14:paraId="2C79EFA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0" w:type="auto"/>
            <w:shd w:val="clear" w:color="auto" w:fill="auto"/>
            <w:noWrap/>
            <w:vAlign w:val="center"/>
          </w:tcPr>
          <w:p w14:paraId="5E5A24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0" w:type="auto"/>
            <w:shd w:val="clear" w:color="auto" w:fill="auto"/>
            <w:noWrap/>
            <w:vAlign w:val="center"/>
          </w:tcPr>
          <w:p w14:paraId="53A2D0C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0" w:type="auto"/>
            <w:vMerge w:val="continue"/>
            <w:shd w:val="clear" w:color="auto" w:fill="auto"/>
            <w:noWrap/>
            <w:vAlign w:val="center"/>
          </w:tcPr>
          <w:p w14:paraId="4FB2C844">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375058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47.13</w:t>
            </w:r>
          </w:p>
        </w:tc>
        <w:tc>
          <w:tcPr>
            <w:tcW w:w="0" w:type="auto"/>
            <w:shd w:val="clear" w:color="auto" w:fill="auto"/>
            <w:noWrap/>
            <w:vAlign w:val="center"/>
          </w:tcPr>
          <w:p w14:paraId="660B174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w:t>
            </w:r>
          </w:p>
        </w:tc>
        <w:tc>
          <w:tcPr>
            <w:tcW w:w="0" w:type="auto"/>
            <w:shd w:val="clear" w:color="auto" w:fill="auto"/>
            <w:noWrap/>
            <w:vAlign w:val="center"/>
          </w:tcPr>
          <w:p w14:paraId="37FE9E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43.61</w:t>
            </w:r>
          </w:p>
        </w:tc>
        <w:tc>
          <w:tcPr>
            <w:tcW w:w="0" w:type="auto"/>
            <w:shd w:val="clear" w:color="auto" w:fill="auto"/>
            <w:noWrap/>
            <w:vAlign w:val="center"/>
          </w:tcPr>
          <w:p w14:paraId="295CD7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57.79</w:t>
            </w:r>
          </w:p>
        </w:tc>
        <w:tc>
          <w:tcPr>
            <w:tcW w:w="0" w:type="auto"/>
            <w:shd w:val="clear" w:color="auto" w:fill="auto"/>
            <w:noWrap/>
            <w:vAlign w:val="center"/>
          </w:tcPr>
          <w:p w14:paraId="57BE64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38AC1DA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22.13</w:t>
            </w:r>
          </w:p>
        </w:tc>
        <w:tc>
          <w:tcPr>
            <w:tcW w:w="0" w:type="auto"/>
            <w:shd w:val="clear" w:color="auto" w:fill="auto"/>
            <w:noWrap/>
            <w:vAlign w:val="center"/>
          </w:tcPr>
          <w:p w14:paraId="063BC0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0" w:type="auto"/>
            <w:shd w:val="clear" w:color="auto" w:fill="auto"/>
            <w:noWrap/>
            <w:vAlign w:val="center"/>
          </w:tcPr>
          <w:p w14:paraId="430EDCF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18.61</w:t>
            </w:r>
          </w:p>
        </w:tc>
        <w:tc>
          <w:tcPr>
            <w:tcW w:w="0" w:type="auto"/>
            <w:shd w:val="clear" w:color="auto" w:fill="auto"/>
            <w:noWrap/>
            <w:vAlign w:val="center"/>
          </w:tcPr>
          <w:p w14:paraId="305E2F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32.79</w:t>
            </w:r>
          </w:p>
        </w:tc>
        <w:tc>
          <w:tcPr>
            <w:tcW w:w="921" w:type="dxa"/>
            <w:shd w:val="clear" w:color="auto" w:fill="auto"/>
            <w:noWrap/>
            <w:vAlign w:val="center"/>
          </w:tcPr>
          <w:p w14:paraId="1179A9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15FB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54E5A7D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精细粉碎机3#</w:t>
            </w:r>
          </w:p>
        </w:tc>
        <w:tc>
          <w:tcPr>
            <w:tcW w:w="0" w:type="auto"/>
            <w:shd w:val="clear" w:color="auto" w:fill="auto"/>
            <w:noWrap/>
            <w:vAlign w:val="center"/>
          </w:tcPr>
          <w:p w14:paraId="5F0A6F0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5C961243">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7064354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w:t>
            </w:r>
          </w:p>
        </w:tc>
        <w:tc>
          <w:tcPr>
            <w:tcW w:w="0" w:type="auto"/>
            <w:shd w:val="clear" w:color="auto" w:fill="auto"/>
            <w:noWrap/>
            <w:vAlign w:val="center"/>
          </w:tcPr>
          <w:p w14:paraId="6855F49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66</w:t>
            </w:r>
          </w:p>
        </w:tc>
        <w:tc>
          <w:tcPr>
            <w:tcW w:w="322" w:type="dxa"/>
            <w:shd w:val="clear" w:color="auto" w:fill="auto"/>
            <w:vAlign w:val="center"/>
          </w:tcPr>
          <w:p w14:paraId="721E6B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41F6199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39</w:t>
            </w:r>
          </w:p>
        </w:tc>
        <w:tc>
          <w:tcPr>
            <w:tcW w:w="0" w:type="auto"/>
            <w:shd w:val="clear" w:color="auto" w:fill="auto"/>
            <w:noWrap/>
            <w:vAlign w:val="center"/>
          </w:tcPr>
          <w:p w14:paraId="7926DCD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w:t>
            </w:r>
          </w:p>
        </w:tc>
        <w:tc>
          <w:tcPr>
            <w:tcW w:w="0" w:type="auto"/>
            <w:shd w:val="clear" w:color="auto" w:fill="auto"/>
            <w:noWrap/>
            <w:vAlign w:val="center"/>
          </w:tcPr>
          <w:p w14:paraId="6FFC3D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0" w:type="auto"/>
            <w:shd w:val="clear" w:color="auto" w:fill="auto"/>
            <w:noWrap/>
            <w:vAlign w:val="center"/>
          </w:tcPr>
          <w:p w14:paraId="21D0E42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0" w:type="auto"/>
            <w:vMerge w:val="continue"/>
            <w:shd w:val="clear" w:color="auto" w:fill="auto"/>
            <w:noWrap/>
            <w:vAlign w:val="center"/>
          </w:tcPr>
          <w:p w14:paraId="00C211F0">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4E9F04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48.18</w:t>
            </w:r>
          </w:p>
        </w:tc>
        <w:tc>
          <w:tcPr>
            <w:tcW w:w="0" w:type="auto"/>
            <w:shd w:val="clear" w:color="auto" w:fill="auto"/>
            <w:noWrap/>
            <w:vAlign w:val="center"/>
          </w:tcPr>
          <w:p w14:paraId="50BEE4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56.48</w:t>
            </w:r>
          </w:p>
        </w:tc>
        <w:tc>
          <w:tcPr>
            <w:tcW w:w="0" w:type="auto"/>
            <w:shd w:val="clear" w:color="auto" w:fill="auto"/>
            <w:noWrap/>
            <w:vAlign w:val="center"/>
          </w:tcPr>
          <w:p w14:paraId="56EC33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43.61</w:t>
            </w:r>
          </w:p>
        </w:tc>
        <w:tc>
          <w:tcPr>
            <w:tcW w:w="0" w:type="auto"/>
            <w:shd w:val="clear" w:color="auto" w:fill="auto"/>
            <w:noWrap/>
            <w:vAlign w:val="center"/>
          </w:tcPr>
          <w:p w14:paraId="1A5375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57.79</w:t>
            </w:r>
          </w:p>
        </w:tc>
        <w:tc>
          <w:tcPr>
            <w:tcW w:w="0" w:type="auto"/>
            <w:shd w:val="clear" w:color="auto" w:fill="auto"/>
            <w:noWrap/>
            <w:vAlign w:val="center"/>
          </w:tcPr>
          <w:p w14:paraId="7E7E5A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1A0E57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23.18</w:t>
            </w:r>
          </w:p>
        </w:tc>
        <w:tc>
          <w:tcPr>
            <w:tcW w:w="0" w:type="auto"/>
            <w:shd w:val="clear" w:color="auto" w:fill="auto"/>
            <w:noWrap/>
            <w:vAlign w:val="center"/>
          </w:tcPr>
          <w:p w14:paraId="128192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31.48</w:t>
            </w:r>
          </w:p>
        </w:tc>
        <w:tc>
          <w:tcPr>
            <w:tcW w:w="0" w:type="auto"/>
            <w:shd w:val="clear" w:color="auto" w:fill="auto"/>
            <w:noWrap/>
            <w:vAlign w:val="center"/>
          </w:tcPr>
          <w:p w14:paraId="3953C7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18.61</w:t>
            </w:r>
          </w:p>
        </w:tc>
        <w:tc>
          <w:tcPr>
            <w:tcW w:w="0" w:type="auto"/>
            <w:shd w:val="clear" w:color="auto" w:fill="auto"/>
            <w:noWrap/>
            <w:vAlign w:val="center"/>
          </w:tcPr>
          <w:p w14:paraId="317F1AF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32.79</w:t>
            </w:r>
          </w:p>
        </w:tc>
        <w:tc>
          <w:tcPr>
            <w:tcW w:w="921" w:type="dxa"/>
            <w:shd w:val="clear" w:color="auto" w:fill="auto"/>
            <w:noWrap/>
            <w:vAlign w:val="center"/>
          </w:tcPr>
          <w:p w14:paraId="2F7CAA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ACFD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4738D32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精细粉碎机4#</w:t>
            </w:r>
          </w:p>
        </w:tc>
        <w:tc>
          <w:tcPr>
            <w:tcW w:w="0" w:type="auto"/>
            <w:shd w:val="clear" w:color="auto" w:fill="auto"/>
            <w:noWrap/>
            <w:vAlign w:val="center"/>
          </w:tcPr>
          <w:p w14:paraId="715826B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645F5FD0">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1DEA7FF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0" w:type="auto"/>
            <w:shd w:val="clear" w:color="auto" w:fill="auto"/>
            <w:noWrap/>
            <w:vAlign w:val="center"/>
          </w:tcPr>
          <w:p w14:paraId="32DF22E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66</w:t>
            </w:r>
          </w:p>
        </w:tc>
        <w:tc>
          <w:tcPr>
            <w:tcW w:w="322" w:type="dxa"/>
            <w:shd w:val="clear" w:color="auto" w:fill="auto"/>
            <w:vAlign w:val="center"/>
          </w:tcPr>
          <w:p w14:paraId="0E9324C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52721BC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34</w:t>
            </w:r>
          </w:p>
        </w:tc>
        <w:tc>
          <w:tcPr>
            <w:tcW w:w="0" w:type="auto"/>
            <w:shd w:val="clear" w:color="auto" w:fill="auto"/>
            <w:noWrap/>
            <w:vAlign w:val="center"/>
          </w:tcPr>
          <w:p w14:paraId="44B4DC5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0" w:type="auto"/>
            <w:shd w:val="clear" w:color="auto" w:fill="auto"/>
            <w:noWrap/>
            <w:vAlign w:val="center"/>
          </w:tcPr>
          <w:p w14:paraId="7124B7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0" w:type="auto"/>
            <w:shd w:val="clear" w:color="auto" w:fill="auto"/>
            <w:noWrap/>
            <w:vAlign w:val="center"/>
          </w:tcPr>
          <w:p w14:paraId="4807838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0" w:type="auto"/>
            <w:vMerge w:val="continue"/>
            <w:shd w:val="clear" w:color="auto" w:fill="auto"/>
            <w:noWrap/>
            <w:vAlign w:val="center"/>
          </w:tcPr>
          <w:p w14:paraId="3AE39A57">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0D7E9F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49.37</w:t>
            </w:r>
          </w:p>
        </w:tc>
        <w:tc>
          <w:tcPr>
            <w:tcW w:w="0" w:type="auto"/>
            <w:shd w:val="clear" w:color="auto" w:fill="auto"/>
            <w:noWrap/>
            <w:vAlign w:val="center"/>
          </w:tcPr>
          <w:p w14:paraId="1473B7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53.98</w:t>
            </w:r>
          </w:p>
        </w:tc>
        <w:tc>
          <w:tcPr>
            <w:tcW w:w="0" w:type="auto"/>
            <w:shd w:val="clear" w:color="auto" w:fill="auto"/>
            <w:noWrap/>
            <w:vAlign w:val="center"/>
          </w:tcPr>
          <w:p w14:paraId="2D44AD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43.61</w:t>
            </w:r>
          </w:p>
        </w:tc>
        <w:tc>
          <w:tcPr>
            <w:tcW w:w="0" w:type="auto"/>
            <w:shd w:val="clear" w:color="auto" w:fill="auto"/>
            <w:noWrap/>
            <w:vAlign w:val="center"/>
          </w:tcPr>
          <w:p w14:paraId="4FAA49E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57.79</w:t>
            </w:r>
          </w:p>
        </w:tc>
        <w:tc>
          <w:tcPr>
            <w:tcW w:w="0" w:type="auto"/>
            <w:shd w:val="clear" w:color="auto" w:fill="auto"/>
            <w:noWrap/>
            <w:vAlign w:val="center"/>
          </w:tcPr>
          <w:p w14:paraId="44AEC4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75561E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24.37</w:t>
            </w:r>
          </w:p>
        </w:tc>
        <w:tc>
          <w:tcPr>
            <w:tcW w:w="0" w:type="auto"/>
            <w:shd w:val="clear" w:color="auto" w:fill="auto"/>
            <w:noWrap/>
            <w:vAlign w:val="center"/>
          </w:tcPr>
          <w:p w14:paraId="1F09D9C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28.98</w:t>
            </w:r>
          </w:p>
        </w:tc>
        <w:tc>
          <w:tcPr>
            <w:tcW w:w="0" w:type="auto"/>
            <w:shd w:val="clear" w:color="auto" w:fill="auto"/>
            <w:noWrap/>
            <w:vAlign w:val="center"/>
          </w:tcPr>
          <w:p w14:paraId="698108B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18.61</w:t>
            </w:r>
          </w:p>
        </w:tc>
        <w:tc>
          <w:tcPr>
            <w:tcW w:w="0" w:type="auto"/>
            <w:shd w:val="clear" w:color="auto" w:fill="auto"/>
            <w:noWrap/>
            <w:vAlign w:val="center"/>
          </w:tcPr>
          <w:p w14:paraId="45A245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32.79</w:t>
            </w:r>
          </w:p>
        </w:tc>
        <w:tc>
          <w:tcPr>
            <w:tcW w:w="921" w:type="dxa"/>
            <w:shd w:val="clear" w:color="auto" w:fill="auto"/>
            <w:noWrap/>
            <w:vAlign w:val="center"/>
          </w:tcPr>
          <w:p w14:paraId="45E3F1C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5BE67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35" w:type="dxa"/>
            <w:shd w:val="clear" w:color="auto" w:fill="auto"/>
            <w:vAlign w:val="center"/>
          </w:tcPr>
          <w:p w14:paraId="096B7CF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精细粉碎机5#</w:t>
            </w:r>
          </w:p>
        </w:tc>
        <w:tc>
          <w:tcPr>
            <w:tcW w:w="0" w:type="auto"/>
            <w:shd w:val="clear" w:color="auto" w:fill="auto"/>
            <w:noWrap/>
            <w:vAlign w:val="center"/>
          </w:tcPr>
          <w:p w14:paraId="52D3468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36B34BF3">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1AC980F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4431425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66</w:t>
            </w:r>
          </w:p>
        </w:tc>
        <w:tc>
          <w:tcPr>
            <w:tcW w:w="322" w:type="dxa"/>
            <w:shd w:val="clear" w:color="auto" w:fill="auto"/>
            <w:vAlign w:val="center"/>
          </w:tcPr>
          <w:p w14:paraId="32B5617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10DCC1A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29</w:t>
            </w:r>
          </w:p>
        </w:tc>
        <w:tc>
          <w:tcPr>
            <w:tcW w:w="0" w:type="auto"/>
            <w:shd w:val="clear" w:color="auto" w:fill="auto"/>
            <w:noWrap/>
            <w:vAlign w:val="center"/>
          </w:tcPr>
          <w:p w14:paraId="0A375AF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7B764C8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0" w:type="auto"/>
            <w:shd w:val="clear" w:color="auto" w:fill="auto"/>
            <w:noWrap/>
            <w:vAlign w:val="center"/>
          </w:tcPr>
          <w:p w14:paraId="703A72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0" w:type="auto"/>
            <w:vMerge w:val="continue"/>
            <w:shd w:val="clear" w:color="auto" w:fill="auto"/>
            <w:noWrap/>
            <w:vAlign w:val="center"/>
          </w:tcPr>
          <w:p w14:paraId="20E4FC60">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3EAE0F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50.75</w:t>
            </w:r>
          </w:p>
        </w:tc>
        <w:tc>
          <w:tcPr>
            <w:tcW w:w="0" w:type="auto"/>
            <w:shd w:val="clear" w:color="auto" w:fill="auto"/>
            <w:noWrap/>
            <w:vAlign w:val="center"/>
          </w:tcPr>
          <w:p w14:paraId="116E4A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52.04</w:t>
            </w:r>
          </w:p>
        </w:tc>
        <w:tc>
          <w:tcPr>
            <w:tcW w:w="0" w:type="auto"/>
            <w:shd w:val="clear" w:color="auto" w:fill="auto"/>
            <w:noWrap/>
            <w:vAlign w:val="center"/>
          </w:tcPr>
          <w:p w14:paraId="1238DB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43.61</w:t>
            </w:r>
          </w:p>
        </w:tc>
        <w:tc>
          <w:tcPr>
            <w:tcW w:w="0" w:type="auto"/>
            <w:shd w:val="clear" w:color="auto" w:fill="auto"/>
            <w:noWrap/>
            <w:vAlign w:val="center"/>
          </w:tcPr>
          <w:p w14:paraId="2446917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57.79</w:t>
            </w:r>
          </w:p>
        </w:tc>
        <w:tc>
          <w:tcPr>
            <w:tcW w:w="0" w:type="auto"/>
            <w:shd w:val="clear" w:color="auto" w:fill="auto"/>
            <w:noWrap/>
            <w:vAlign w:val="center"/>
          </w:tcPr>
          <w:p w14:paraId="11522F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02C667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25.75</w:t>
            </w:r>
          </w:p>
        </w:tc>
        <w:tc>
          <w:tcPr>
            <w:tcW w:w="0" w:type="auto"/>
            <w:shd w:val="clear" w:color="auto" w:fill="auto"/>
            <w:noWrap/>
            <w:vAlign w:val="center"/>
          </w:tcPr>
          <w:p w14:paraId="1EA885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27.04</w:t>
            </w:r>
          </w:p>
        </w:tc>
        <w:tc>
          <w:tcPr>
            <w:tcW w:w="0" w:type="auto"/>
            <w:shd w:val="clear" w:color="auto" w:fill="auto"/>
            <w:noWrap/>
            <w:vAlign w:val="center"/>
          </w:tcPr>
          <w:p w14:paraId="558EBF9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18.61</w:t>
            </w:r>
          </w:p>
        </w:tc>
        <w:tc>
          <w:tcPr>
            <w:tcW w:w="0" w:type="auto"/>
            <w:shd w:val="clear" w:color="auto" w:fill="auto"/>
            <w:noWrap/>
            <w:vAlign w:val="center"/>
          </w:tcPr>
          <w:p w14:paraId="35F9AD9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32.79</w:t>
            </w:r>
          </w:p>
        </w:tc>
        <w:tc>
          <w:tcPr>
            <w:tcW w:w="921" w:type="dxa"/>
            <w:shd w:val="clear" w:color="auto" w:fill="auto"/>
            <w:noWrap/>
            <w:vAlign w:val="center"/>
          </w:tcPr>
          <w:p w14:paraId="5795E62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5311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1C269A9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精细粉碎机6#</w:t>
            </w:r>
          </w:p>
        </w:tc>
        <w:tc>
          <w:tcPr>
            <w:tcW w:w="0" w:type="auto"/>
            <w:shd w:val="clear" w:color="auto" w:fill="auto"/>
            <w:noWrap/>
            <w:vAlign w:val="center"/>
          </w:tcPr>
          <w:p w14:paraId="6062F08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490CAEEF">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3A9E8D2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0" w:type="auto"/>
            <w:shd w:val="clear" w:color="auto" w:fill="auto"/>
            <w:noWrap/>
            <w:vAlign w:val="center"/>
          </w:tcPr>
          <w:p w14:paraId="0F4F312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66</w:t>
            </w:r>
          </w:p>
        </w:tc>
        <w:tc>
          <w:tcPr>
            <w:tcW w:w="322" w:type="dxa"/>
            <w:shd w:val="clear" w:color="auto" w:fill="auto"/>
            <w:vAlign w:val="center"/>
          </w:tcPr>
          <w:p w14:paraId="189A8D9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14D0FCA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24</w:t>
            </w:r>
          </w:p>
        </w:tc>
        <w:tc>
          <w:tcPr>
            <w:tcW w:w="0" w:type="auto"/>
            <w:shd w:val="clear" w:color="auto" w:fill="auto"/>
            <w:noWrap/>
            <w:vAlign w:val="center"/>
          </w:tcPr>
          <w:p w14:paraId="4E24D92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0" w:type="auto"/>
            <w:shd w:val="clear" w:color="auto" w:fill="auto"/>
            <w:noWrap/>
            <w:vAlign w:val="center"/>
          </w:tcPr>
          <w:p w14:paraId="4F5E774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0" w:type="auto"/>
            <w:shd w:val="clear" w:color="auto" w:fill="auto"/>
            <w:noWrap/>
            <w:vAlign w:val="center"/>
          </w:tcPr>
          <w:p w14:paraId="790E3C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0" w:type="auto"/>
            <w:vMerge w:val="continue"/>
            <w:shd w:val="clear" w:color="auto" w:fill="auto"/>
            <w:noWrap/>
            <w:vAlign w:val="center"/>
          </w:tcPr>
          <w:p w14:paraId="1B09260E">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4E1BE2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52.4</w:t>
            </w:r>
          </w:p>
        </w:tc>
        <w:tc>
          <w:tcPr>
            <w:tcW w:w="0" w:type="auto"/>
            <w:shd w:val="clear" w:color="auto" w:fill="auto"/>
            <w:noWrap/>
            <w:vAlign w:val="center"/>
          </w:tcPr>
          <w:p w14:paraId="277AF7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50.46</w:t>
            </w:r>
          </w:p>
        </w:tc>
        <w:tc>
          <w:tcPr>
            <w:tcW w:w="0" w:type="auto"/>
            <w:shd w:val="clear" w:color="auto" w:fill="auto"/>
            <w:noWrap/>
            <w:vAlign w:val="center"/>
          </w:tcPr>
          <w:p w14:paraId="52716A5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43.61</w:t>
            </w:r>
          </w:p>
        </w:tc>
        <w:tc>
          <w:tcPr>
            <w:tcW w:w="0" w:type="auto"/>
            <w:shd w:val="clear" w:color="auto" w:fill="auto"/>
            <w:noWrap/>
            <w:vAlign w:val="center"/>
          </w:tcPr>
          <w:p w14:paraId="756F4C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57.79</w:t>
            </w:r>
          </w:p>
        </w:tc>
        <w:tc>
          <w:tcPr>
            <w:tcW w:w="0" w:type="auto"/>
            <w:shd w:val="clear" w:color="auto" w:fill="auto"/>
            <w:noWrap/>
            <w:vAlign w:val="center"/>
          </w:tcPr>
          <w:p w14:paraId="6F2C00D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3CC9686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27.4</w:t>
            </w:r>
          </w:p>
        </w:tc>
        <w:tc>
          <w:tcPr>
            <w:tcW w:w="0" w:type="auto"/>
            <w:shd w:val="clear" w:color="auto" w:fill="auto"/>
            <w:noWrap/>
            <w:vAlign w:val="center"/>
          </w:tcPr>
          <w:p w14:paraId="56C5AFC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25.46</w:t>
            </w:r>
          </w:p>
        </w:tc>
        <w:tc>
          <w:tcPr>
            <w:tcW w:w="0" w:type="auto"/>
            <w:shd w:val="clear" w:color="auto" w:fill="auto"/>
            <w:noWrap/>
            <w:vAlign w:val="center"/>
          </w:tcPr>
          <w:p w14:paraId="792A35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18.61</w:t>
            </w:r>
          </w:p>
        </w:tc>
        <w:tc>
          <w:tcPr>
            <w:tcW w:w="0" w:type="auto"/>
            <w:shd w:val="clear" w:color="auto" w:fill="auto"/>
            <w:noWrap/>
            <w:vAlign w:val="center"/>
          </w:tcPr>
          <w:p w14:paraId="57C0C54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32.79</w:t>
            </w:r>
          </w:p>
        </w:tc>
        <w:tc>
          <w:tcPr>
            <w:tcW w:w="921" w:type="dxa"/>
            <w:shd w:val="clear" w:color="auto" w:fill="auto"/>
            <w:noWrap/>
            <w:vAlign w:val="center"/>
          </w:tcPr>
          <w:p w14:paraId="613E3D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EC06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4FB271E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精细粉碎机7#</w:t>
            </w:r>
          </w:p>
        </w:tc>
        <w:tc>
          <w:tcPr>
            <w:tcW w:w="0" w:type="auto"/>
            <w:shd w:val="clear" w:color="auto" w:fill="auto"/>
            <w:noWrap/>
            <w:vAlign w:val="center"/>
          </w:tcPr>
          <w:p w14:paraId="78A4A88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4F7D1B97">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29AD4CE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466B885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66</w:t>
            </w:r>
          </w:p>
        </w:tc>
        <w:tc>
          <w:tcPr>
            <w:tcW w:w="322" w:type="dxa"/>
            <w:shd w:val="clear" w:color="auto" w:fill="auto"/>
            <w:vAlign w:val="center"/>
          </w:tcPr>
          <w:p w14:paraId="7170DB6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4F31AB5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19</w:t>
            </w:r>
          </w:p>
        </w:tc>
        <w:tc>
          <w:tcPr>
            <w:tcW w:w="0" w:type="auto"/>
            <w:shd w:val="clear" w:color="auto" w:fill="auto"/>
            <w:noWrap/>
            <w:vAlign w:val="center"/>
          </w:tcPr>
          <w:p w14:paraId="218D827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7AD672F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0" w:type="auto"/>
            <w:shd w:val="clear" w:color="auto" w:fill="auto"/>
            <w:noWrap/>
            <w:vAlign w:val="center"/>
          </w:tcPr>
          <w:p w14:paraId="476A478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0" w:type="auto"/>
            <w:vMerge w:val="continue"/>
            <w:shd w:val="clear" w:color="auto" w:fill="auto"/>
            <w:noWrap/>
            <w:vAlign w:val="center"/>
          </w:tcPr>
          <w:p w14:paraId="7943CDE5">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27C984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54.42</w:t>
            </w:r>
          </w:p>
        </w:tc>
        <w:tc>
          <w:tcPr>
            <w:tcW w:w="0" w:type="auto"/>
            <w:shd w:val="clear" w:color="auto" w:fill="auto"/>
            <w:noWrap/>
            <w:vAlign w:val="center"/>
          </w:tcPr>
          <w:p w14:paraId="22608C0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49.12</w:t>
            </w:r>
          </w:p>
        </w:tc>
        <w:tc>
          <w:tcPr>
            <w:tcW w:w="0" w:type="auto"/>
            <w:shd w:val="clear" w:color="auto" w:fill="auto"/>
            <w:noWrap/>
            <w:vAlign w:val="center"/>
          </w:tcPr>
          <w:p w14:paraId="14AC08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43.61</w:t>
            </w:r>
          </w:p>
        </w:tc>
        <w:tc>
          <w:tcPr>
            <w:tcW w:w="0" w:type="auto"/>
            <w:shd w:val="clear" w:color="auto" w:fill="auto"/>
            <w:noWrap/>
            <w:vAlign w:val="center"/>
          </w:tcPr>
          <w:p w14:paraId="6CC6C1D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57.79</w:t>
            </w:r>
          </w:p>
        </w:tc>
        <w:tc>
          <w:tcPr>
            <w:tcW w:w="0" w:type="auto"/>
            <w:shd w:val="clear" w:color="auto" w:fill="auto"/>
            <w:noWrap/>
            <w:vAlign w:val="center"/>
          </w:tcPr>
          <w:p w14:paraId="2A8E670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0B6B5D0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29.42</w:t>
            </w:r>
          </w:p>
        </w:tc>
        <w:tc>
          <w:tcPr>
            <w:tcW w:w="0" w:type="auto"/>
            <w:shd w:val="clear" w:color="auto" w:fill="auto"/>
            <w:noWrap/>
            <w:vAlign w:val="center"/>
          </w:tcPr>
          <w:p w14:paraId="6A4157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24.12</w:t>
            </w:r>
          </w:p>
        </w:tc>
        <w:tc>
          <w:tcPr>
            <w:tcW w:w="0" w:type="auto"/>
            <w:shd w:val="clear" w:color="auto" w:fill="auto"/>
            <w:noWrap/>
            <w:vAlign w:val="center"/>
          </w:tcPr>
          <w:p w14:paraId="18EA31F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18.61</w:t>
            </w:r>
          </w:p>
        </w:tc>
        <w:tc>
          <w:tcPr>
            <w:tcW w:w="0" w:type="auto"/>
            <w:shd w:val="clear" w:color="auto" w:fill="auto"/>
            <w:noWrap/>
            <w:vAlign w:val="center"/>
          </w:tcPr>
          <w:p w14:paraId="41FE681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32.79</w:t>
            </w:r>
          </w:p>
        </w:tc>
        <w:tc>
          <w:tcPr>
            <w:tcW w:w="921" w:type="dxa"/>
            <w:shd w:val="clear" w:color="auto" w:fill="auto"/>
            <w:noWrap/>
            <w:vAlign w:val="center"/>
          </w:tcPr>
          <w:p w14:paraId="5029F4F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2EF3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6C20480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精细粉碎机8#</w:t>
            </w:r>
          </w:p>
        </w:tc>
        <w:tc>
          <w:tcPr>
            <w:tcW w:w="0" w:type="auto"/>
            <w:shd w:val="clear" w:color="auto" w:fill="auto"/>
            <w:noWrap/>
            <w:vAlign w:val="center"/>
          </w:tcPr>
          <w:p w14:paraId="6553AAF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1DF3EB99">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33B6C64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0" w:type="auto"/>
            <w:shd w:val="clear" w:color="auto" w:fill="auto"/>
            <w:noWrap/>
            <w:vAlign w:val="center"/>
          </w:tcPr>
          <w:p w14:paraId="69CAA0D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66</w:t>
            </w:r>
          </w:p>
        </w:tc>
        <w:tc>
          <w:tcPr>
            <w:tcW w:w="322" w:type="dxa"/>
            <w:shd w:val="clear" w:color="auto" w:fill="auto"/>
            <w:vAlign w:val="center"/>
          </w:tcPr>
          <w:p w14:paraId="33D5F92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446AFCF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14</w:t>
            </w:r>
          </w:p>
        </w:tc>
        <w:tc>
          <w:tcPr>
            <w:tcW w:w="0" w:type="auto"/>
            <w:shd w:val="clear" w:color="auto" w:fill="auto"/>
            <w:noWrap/>
            <w:vAlign w:val="center"/>
          </w:tcPr>
          <w:p w14:paraId="2730F32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0" w:type="auto"/>
            <w:shd w:val="clear" w:color="auto" w:fill="auto"/>
            <w:noWrap/>
            <w:vAlign w:val="center"/>
          </w:tcPr>
          <w:p w14:paraId="5B7ED3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0" w:type="auto"/>
            <w:shd w:val="clear" w:color="auto" w:fill="auto"/>
            <w:noWrap/>
            <w:vAlign w:val="center"/>
          </w:tcPr>
          <w:p w14:paraId="264CE11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0" w:type="auto"/>
            <w:vMerge w:val="continue"/>
            <w:shd w:val="clear" w:color="auto" w:fill="auto"/>
            <w:noWrap/>
            <w:vAlign w:val="center"/>
          </w:tcPr>
          <w:p w14:paraId="25C019BE">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5848B7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57.07</w:t>
            </w:r>
          </w:p>
        </w:tc>
        <w:tc>
          <w:tcPr>
            <w:tcW w:w="0" w:type="auto"/>
            <w:shd w:val="clear" w:color="auto" w:fill="auto"/>
            <w:noWrap/>
            <w:vAlign w:val="center"/>
          </w:tcPr>
          <w:p w14:paraId="6F845D8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47.96</w:t>
            </w:r>
          </w:p>
        </w:tc>
        <w:tc>
          <w:tcPr>
            <w:tcW w:w="0" w:type="auto"/>
            <w:shd w:val="clear" w:color="auto" w:fill="auto"/>
            <w:noWrap/>
            <w:vAlign w:val="center"/>
          </w:tcPr>
          <w:p w14:paraId="2F126C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43.61</w:t>
            </w:r>
          </w:p>
        </w:tc>
        <w:tc>
          <w:tcPr>
            <w:tcW w:w="0" w:type="auto"/>
            <w:shd w:val="clear" w:color="auto" w:fill="auto"/>
            <w:noWrap/>
            <w:vAlign w:val="center"/>
          </w:tcPr>
          <w:p w14:paraId="77FBECE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57.79</w:t>
            </w:r>
          </w:p>
        </w:tc>
        <w:tc>
          <w:tcPr>
            <w:tcW w:w="0" w:type="auto"/>
            <w:shd w:val="clear" w:color="auto" w:fill="auto"/>
            <w:noWrap/>
            <w:vAlign w:val="center"/>
          </w:tcPr>
          <w:p w14:paraId="13A5D8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6990837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32.07</w:t>
            </w:r>
          </w:p>
        </w:tc>
        <w:tc>
          <w:tcPr>
            <w:tcW w:w="0" w:type="auto"/>
            <w:shd w:val="clear" w:color="auto" w:fill="auto"/>
            <w:noWrap/>
            <w:vAlign w:val="center"/>
          </w:tcPr>
          <w:p w14:paraId="78FCA3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22.96</w:t>
            </w:r>
          </w:p>
        </w:tc>
        <w:tc>
          <w:tcPr>
            <w:tcW w:w="0" w:type="auto"/>
            <w:shd w:val="clear" w:color="auto" w:fill="auto"/>
            <w:noWrap/>
            <w:vAlign w:val="center"/>
          </w:tcPr>
          <w:p w14:paraId="3A3301B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18.61</w:t>
            </w:r>
          </w:p>
        </w:tc>
        <w:tc>
          <w:tcPr>
            <w:tcW w:w="0" w:type="auto"/>
            <w:shd w:val="clear" w:color="auto" w:fill="auto"/>
            <w:noWrap/>
            <w:vAlign w:val="center"/>
          </w:tcPr>
          <w:p w14:paraId="0F7629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32.79</w:t>
            </w:r>
          </w:p>
        </w:tc>
        <w:tc>
          <w:tcPr>
            <w:tcW w:w="921" w:type="dxa"/>
            <w:shd w:val="clear" w:color="auto" w:fill="auto"/>
            <w:noWrap/>
            <w:vAlign w:val="center"/>
          </w:tcPr>
          <w:p w14:paraId="500BAD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4BE4A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35" w:type="dxa"/>
            <w:shd w:val="clear" w:color="auto" w:fill="auto"/>
            <w:vAlign w:val="center"/>
          </w:tcPr>
          <w:p w14:paraId="0252140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精细粉碎机9#</w:t>
            </w:r>
          </w:p>
        </w:tc>
        <w:tc>
          <w:tcPr>
            <w:tcW w:w="0" w:type="auto"/>
            <w:shd w:val="clear" w:color="auto" w:fill="auto"/>
            <w:noWrap/>
            <w:vAlign w:val="center"/>
          </w:tcPr>
          <w:p w14:paraId="0794B03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80</w:t>
            </w:r>
          </w:p>
        </w:tc>
        <w:tc>
          <w:tcPr>
            <w:tcW w:w="636" w:type="dxa"/>
            <w:vMerge w:val="continue"/>
            <w:shd w:val="clear" w:color="auto" w:fill="auto"/>
            <w:vAlign w:val="center"/>
          </w:tcPr>
          <w:p w14:paraId="593028A7">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1B0BDB0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390C761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66</w:t>
            </w:r>
          </w:p>
        </w:tc>
        <w:tc>
          <w:tcPr>
            <w:tcW w:w="322" w:type="dxa"/>
            <w:shd w:val="clear" w:color="auto" w:fill="auto"/>
            <w:vAlign w:val="center"/>
          </w:tcPr>
          <w:p w14:paraId="5F12AB4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2937127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9</w:t>
            </w:r>
          </w:p>
        </w:tc>
        <w:tc>
          <w:tcPr>
            <w:tcW w:w="0" w:type="auto"/>
            <w:shd w:val="clear" w:color="auto" w:fill="auto"/>
            <w:noWrap/>
            <w:vAlign w:val="center"/>
          </w:tcPr>
          <w:p w14:paraId="6B81072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4A12E6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66</w:t>
            </w:r>
          </w:p>
        </w:tc>
        <w:tc>
          <w:tcPr>
            <w:tcW w:w="0" w:type="auto"/>
            <w:shd w:val="clear" w:color="auto" w:fill="auto"/>
            <w:noWrap/>
            <w:vAlign w:val="center"/>
          </w:tcPr>
          <w:p w14:paraId="76BBA20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12.9</w:t>
            </w:r>
          </w:p>
        </w:tc>
        <w:tc>
          <w:tcPr>
            <w:tcW w:w="0" w:type="auto"/>
            <w:vMerge w:val="continue"/>
            <w:shd w:val="clear" w:color="auto" w:fill="auto"/>
            <w:noWrap/>
            <w:vAlign w:val="center"/>
          </w:tcPr>
          <w:p w14:paraId="7D1792F6">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4A80B1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60.92</w:t>
            </w:r>
          </w:p>
        </w:tc>
        <w:tc>
          <w:tcPr>
            <w:tcW w:w="0" w:type="auto"/>
            <w:shd w:val="clear" w:color="auto" w:fill="auto"/>
            <w:noWrap/>
            <w:vAlign w:val="center"/>
          </w:tcPr>
          <w:p w14:paraId="0350FC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46.94</w:t>
            </w:r>
          </w:p>
        </w:tc>
        <w:tc>
          <w:tcPr>
            <w:tcW w:w="0" w:type="auto"/>
            <w:shd w:val="clear" w:color="auto" w:fill="auto"/>
            <w:noWrap/>
            <w:vAlign w:val="center"/>
          </w:tcPr>
          <w:p w14:paraId="1D64DF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43.61</w:t>
            </w:r>
          </w:p>
        </w:tc>
        <w:tc>
          <w:tcPr>
            <w:tcW w:w="0" w:type="auto"/>
            <w:shd w:val="clear" w:color="auto" w:fill="auto"/>
            <w:noWrap/>
            <w:vAlign w:val="center"/>
          </w:tcPr>
          <w:p w14:paraId="4A0D162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57.79</w:t>
            </w:r>
          </w:p>
        </w:tc>
        <w:tc>
          <w:tcPr>
            <w:tcW w:w="0" w:type="auto"/>
            <w:shd w:val="clear" w:color="auto" w:fill="auto"/>
            <w:noWrap/>
            <w:vAlign w:val="center"/>
          </w:tcPr>
          <w:p w14:paraId="459D4A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1AB5F0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35.92</w:t>
            </w:r>
          </w:p>
        </w:tc>
        <w:tc>
          <w:tcPr>
            <w:tcW w:w="0" w:type="auto"/>
            <w:shd w:val="clear" w:color="auto" w:fill="auto"/>
            <w:noWrap/>
            <w:vAlign w:val="center"/>
          </w:tcPr>
          <w:p w14:paraId="2353AC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21.94</w:t>
            </w:r>
          </w:p>
        </w:tc>
        <w:tc>
          <w:tcPr>
            <w:tcW w:w="0" w:type="auto"/>
            <w:shd w:val="clear" w:color="auto" w:fill="auto"/>
            <w:noWrap/>
            <w:vAlign w:val="center"/>
          </w:tcPr>
          <w:p w14:paraId="2D8C430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18.61</w:t>
            </w:r>
          </w:p>
        </w:tc>
        <w:tc>
          <w:tcPr>
            <w:tcW w:w="0" w:type="auto"/>
            <w:shd w:val="clear" w:color="auto" w:fill="auto"/>
            <w:noWrap/>
            <w:vAlign w:val="center"/>
          </w:tcPr>
          <w:p w14:paraId="6E9BBF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32.79</w:t>
            </w:r>
          </w:p>
        </w:tc>
        <w:tc>
          <w:tcPr>
            <w:tcW w:w="921" w:type="dxa"/>
            <w:shd w:val="clear" w:color="auto" w:fill="auto"/>
            <w:noWrap/>
            <w:vAlign w:val="center"/>
          </w:tcPr>
          <w:p w14:paraId="2BCC27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4EE98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347AC34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分级机1#</w:t>
            </w:r>
          </w:p>
        </w:tc>
        <w:tc>
          <w:tcPr>
            <w:tcW w:w="0" w:type="auto"/>
            <w:shd w:val="clear" w:color="auto" w:fill="auto"/>
            <w:noWrap/>
            <w:vAlign w:val="center"/>
          </w:tcPr>
          <w:p w14:paraId="5E7A99A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3323795C">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751AA55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w:t>
            </w:r>
          </w:p>
        </w:tc>
        <w:tc>
          <w:tcPr>
            <w:tcW w:w="0" w:type="auto"/>
            <w:shd w:val="clear" w:color="auto" w:fill="auto"/>
            <w:noWrap/>
            <w:vAlign w:val="center"/>
          </w:tcPr>
          <w:p w14:paraId="5CDFC86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58</w:t>
            </w:r>
          </w:p>
        </w:tc>
        <w:tc>
          <w:tcPr>
            <w:tcW w:w="322" w:type="dxa"/>
            <w:shd w:val="clear" w:color="auto" w:fill="auto"/>
            <w:vAlign w:val="center"/>
          </w:tcPr>
          <w:p w14:paraId="5C65992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1616BDD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w:t>
            </w:r>
          </w:p>
        </w:tc>
        <w:tc>
          <w:tcPr>
            <w:tcW w:w="0" w:type="auto"/>
            <w:shd w:val="clear" w:color="auto" w:fill="auto"/>
            <w:noWrap/>
            <w:vAlign w:val="center"/>
          </w:tcPr>
          <w:p w14:paraId="49DAF3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shd w:val="clear" w:color="auto" w:fill="auto"/>
            <w:noWrap/>
            <w:vAlign w:val="center"/>
          </w:tcPr>
          <w:p w14:paraId="0525F28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shd w:val="clear" w:color="auto" w:fill="auto"/>
            <w:noWrap/>
            <w:vAlign w:val="center"/>
          </w:tcPr>
          <w:p w14:paraId="527CA7C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0" w:type="auto"/>
            <w:vMerge w:val="continue"/>
            <w:shd w:val="clear" w:color="auto" w:fill="auto"/>
            <w:noWrap/>
            <w:vAlign w:val="center"/>
          </w:tcPr>
          <w:p w14:paraId="083767D7">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5ED08AB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41.2</w:t>
            </w:r>
          </w:p>
        </w:tc>
        <w:tc>
          <w:tcPr>
            <w:tcW w:w="0" w:type="auto"/>
            <w:shd w:val="clear" w:color="auto" w:fill="auto"/>
            <w:noWrap/>
            <w:vAlign w:val="center"/>
          </w:tcPr>
          <w:p w14:paraId="07938E7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61.02</w:t>
            </w:r>
          </w:p>
        </w:tc>
        <w:tc>
          <w:tcPr>
            <w:tcW w:w="0" w:type="auto"/>
            <w:shd w:val="clear" w:color="auto" w:fill="auto"/>
            <w:noWrap/>
            <w:vAlign w:val="center"/>
          </w:tcPr>
          <w:p w14:paraId="797933A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39.73</w:t>
            </w:r>
          </w:p>
        </w:tc>
        <w:tc>
          <w:tcPr>
            <w:tcW w:w="0" w:type="auto"/>
            <w:shd w:val="clear" w:color="auto" w:fill="auto"/>
            <w:noWrap/>
            <w:vAlign w:val="center"/>
          </w:tcPr>
          <w:p w14:paraId="765C309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w:t>
            </w:r>
          </w:p>
        </w:tc>
        <w:tc>
          <w:tcPr>
            <w:tcW w:w="0" w:type="auto"/>
            <w:shd w:val="clear" w:color="auto" w:fill="auto"/>
            <w:noWrap/>
            <w:vAlign w:val="center"/>
          </w:tcPr>
          <w:p w14:paraId="03D2ACD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6187CC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16.2</w:t>
            </w:r>
          </w:p>
        </w:tc>
        <w:tc>
          <w:tcPr>
            <w:tcW w:w="0" w:type="auto"/>
            <w:shd w:val="clear" w:color="auto" w:fill="auto"/>
            <w:noWrap/>
            <w:vAlign w:val="center"/>
          </w:tcPr>
          <w:p w14:paraId="3499B7C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36.02</w:t>
            </w:r>
          </w:p>
        </w:tc>
        <w:tc>
          <w:tcPr>
            <w:tcW w:w="0" w:type="auto"/>
            <w:shd w:val="clear" w:color="auto" w:fill="auto"/>
            <w:noWrap/>
            <w:vAlign w:val="center"/>
          </w:tcPr>
          <w:p w14:paraId="4F3A2AC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14.73</w:t>
            </w:r>
          </w:p>
        </w:tc>
        <w:tc>
          <w:tcPr>
            <w:tcW w:w="0" w:type="auto"/>
            <w:shd w:val="clear" w:color="auto" w:fill="auto"/>
            <w:noWrap/>
            <w:vAlign w:val="center"/>
          </w:tcPr>
          <w:p w14:paraId="45028C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921" w:type="dxa"/>
            <w:shd w:val="clear" w:color="auto" w:fill="auto"/>
            <w:noWrap/>
            <w:vAlign w:val="center"/>
          </w:tcPr>
          <w:p w14:paraId="3785DF4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3CF9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68C150C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分级机2#</w:t>
            </w:r>
          </w:p>
        </w:tc>
        <w:tc>
          <w:tcPr>
            <w:tcW w:w="0" w:type="auto"/>
            <w:shd w:val="clear" w:color="auto" w:fill="auto"/>
            <w:noWrap/>
            <w:vAlign w:val="center"/>
          </w:tcPr>
          <w:p w14:paraId="49D3526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201BC86D">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47A9DF7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10</w:t>
            </w:r>
          </w:p>
        </w:tc>
        <w:tc>
          <w:tcPr>
            <w:tcW w:w="0" w:type="auto"/>
            <w:shd w:val="clear" w:color="auto" w:fill="auto"/>
            <w:noWrap/>
            <w:vAlign w:val="center"/>
          </w:tcPr>
          <w:p w14:paraId="1C94AAC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58</w:t>
            </w:r>
          </w:p>
        </w:tc>
        <w:tc>
          <w:tcPr>
            <w:tcW w:w="322" w:type="dxa"/>
            <w:shd w:val="clear" w:color="auto" w:fill="auto"/>
            <w:vAlign w:val="center"/>
          </w:tcPr>
          <w:p w14:paraId="095D4C9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0CC0483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w:t>
            </w:r>
          </w:p>
        </w:tc>
        <w:tc>
          <w:tcPr>
            <w:tcW w:w="0" w:type="auto"/>
            <w:shd w:val="clear" w:color="auto" w:fill="auto"/>
            <w:noWrap/>
            <w:vAlign w:val="center"/>
          </w:tcPr>
          <w:p w14:paraId="659F1FE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0" w:type="auto"/>
            <w:shd w:val="clear" w:color="auto" w:fill="auto"/>
            <w:noWrap/>
            <w:vAlign w:val="center"/>
          </w:tcPr>
          <w:p w14:paraId="78A849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shd w:val="clear" w:color="auto" w:fill="auto"/>
            <w:noWrap/>
            <w:vAlign w:val="center"/>
          </w:tcPr>
          <w:p w14:paraId="1D17C08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0" w:type="auto"/>
            <w:vMerge w:val="continue"/>
            <w:shd w:val="clear" w:color="auto" w:fill="auto"/>
            <w:noWrap/>
            <w:vAlign w:val="center"/>
          </w:tcPr>
          <w:p w14:paraId="13B1181E">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5768F6F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42.13</w:t>
            </w:r>
          </w:p>
        </w:tc>
        <w:tc>
          <w:tcPr>
            <w:tcW w:w="0" w:type="auto"/>
            <w:shd w:val="clear" w:color="auto" w:fill="auto"/>
            <w:noWrap/>
            <w:vAlign w:val="center"/>
          </w:tcPr>
          <w:p w14:paraId="0461E4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w:t>
            </w:r>
          </w:p>
        </w:tc>
        <w:tc>
          <w:tcPr>
            <w:tcW w:w="0" w:type="auto"/>
            <w:shd w:val="clear" w:color="auto" w:fill="auto"/>
            <w:noWrap/>
            <w:vAlign w:val="center"/>
          </w:tcPr>
          <w:p w14:paraId="49228F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39.73</w:t>
            </w:r>
          </w:p>
        </w:tc>
        <w:tc>
          <w:tcPr>
            <w:tcW w:w="0" w:type="auto"/>
            <w:shd w:val="clear" w:color="auto" w:fill="auto"/>
            <w:noWrap/>
            <w:vAlign w:val="center"/>
          </w:tcPr>
          <w:p w14:paraId="481735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w:t>
            </w:r>
          </w:p>
        </w:tc>
        <w:tc>
          <w:tcPr>
            <w:tcW w:w="0" w:type="auto"/>
            <w:shd w:val="clear" w:color="auto" w:fill="auto"/>
            <w:noWrap/>
            <w:vAlign w:val="center"/>
          </w:tcPr>
          <w:p w14:paraId="2891EA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2EE36B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17.13</w:t>
            </w:r>
          </w:p>
        </w:tc>
        <w:tc>
          <w:tcPr>
            <w:tcW w:w="0" w:type="auto"/>
            <w:shd w:val="clear" w:color="auto" w:fill="auto"/>
            <w:noWrap/>
            <w:vAlign w:val="center"/>
          </w:tcPr>
          <w:p w14:paraId="34CA0C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shd w:val="clear" w:color="auto" w:fill="auto"/>
            <w:noWrap/>
            <w:vAlign w:val="center"/>
          </w:tcPr>
          <w:p w14:paraId="73429D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14.73</w:t>
            </w:r>
          </w:p>
        </w:tc>
        <w:tc>
          <w:tcPr>
            <w:tcW w:w="0" w:type="auto"/>
            <w:shd w:val="clear" w:color="auto" w:fill="auto"/>
            <w:noWrap/>
            <w:vAlign w:val="center"/>
          </w:tcPr>
          <w:p w14:paraId="0BE1DD9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921" w:type="dxa"/>
            <w:shd w:val="clear" w:color="auto" w:fill="auto"/>
            <w:noWrap/>
            <w:vAlign w:val="center"/>
          </w:tcPr>
          <w:p w14:paraId="722915E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41D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74C4449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分级机3#</w:t>
            </w:r>
          </w:p>
        </w:tc>
        <w:tc>
          <w:tcPr>
            <w:tcW w:w="0" w:type="auto"/>
            <w:shd w:val="clear" w:color="auto" w:fill="auto"/>
            <w:noWrap/>
            <w:vAlign w:val="center"/>
          </w:tcPr>
          <w:p w14:paraId="02F96C2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498B0FA1">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30FF1B5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15</w:t>
            </w:r>
          </w:p>
        </w:tc>
        <w:tc>
          <w:tcPr>
            <w:tcW w:w="0" w:type="auto"/>
            <w:shd w:val="clear" w:color="auto" w:fill="auto"/>
            <w:noWrap/>
            <w:vAlign w:val="center"/>
          </w:tcPr>
          <w:p w14:paraId="5B49068B">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58</w:t>
            </w:r>
          </w:p>
        </w:tc>
        <w:tc>
          <w:tcPr>
            <w:tcW w:w="322" w:type="dxa"/>
            <w:shd w:val="clear" w:color="auto" w:fill="auto"/>
            <w:vAlign w:val="center"/>
          </w:tcPr>
          <w:p w14:paraId="0E5CEBC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6600E53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w:t>
            </w:r>
          </w:p>
        </w:tc>
        <w:tc>
          <w:tcPr>
            <w:tcW w:w="0" w:type="auto"/>
            <w:shd w:val="clear" w:color="auto" w:fill="auto"/>
            <w:noWrap/>
            <w:vAlign w:val="center"/>
          </w:tcPr>
          <w:p w14:paraId="302A43D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0" w:type="auto"/>
            <w:shd w:val="clear" w:color="auto" w:fill="auto"/>
            <w:noWrap/>
            <w:vAlign w:val="center"/>
          </w:tcPr>
          <w:p w14:paraId="0CF80B6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shd w:val="clear" w:color="auto" w:fill="auto"/>
            <w:noWrap/>
            <w:vAlign w:val="center"/>
          </w:tcPr>
          <w:p w14:paraId="3C1AB6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0" w:type="auto"/>
            <w:vMerge w:val="continue"/>
            <w:shd w:val="clear" w:color="auto" w:fill="auto"/>
            <w:noWrap/>
            <w:vAlign w:val="center"/>
          </w:tcPr>
          <w:p w14:paraId="58319823">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2FAE1E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43.18</w:t>
            </w:r>
          </w:p>
        </w:tc>
        <w:tc>
          <w:tcPr>
            <w:tcW w:w="0" w:type="auto"/>
            <w:shd w:val="clear" w:color="auto" w:fill="auto"/>
            <w:noWrap/>
            <w:vAlign w:val="center"/>
          </w:tcPr>
          <w:p w14:paraId="36A3BC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51.48</w:t>
            </w:r>
          </w:p>
        </w:tc>
        <w:tc>
          <w:tcPr>
            <w:tcW w:w="0" w:type="auto"/>
            <w:shd w:val="clear" w:color="auto" w:fill="auto"/>
            <w:noWrap/>
            <w:vAlign w:val="center"/>
          </w:tcPr>
          <w:p w14:paraId="670D673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39.73</w:t>
            </w:r>
          </w:p>
        </w:tc>
        <w:tc>
          <w:tcPr>
            <w:tcW w:w="0" w:type="auto"/>
            <w:shd w:val="clear" w:color="auto" w:fill="auto"/>
            <w:noWrap/>
            <w:vAlign w:val="center"/>
          </w:tcPr>
          <w:p w14:paraId="5A4D68B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w:t>
            </w:r>
          </w:p>
        </w:tc>
        <w:tc>
          <w:tcPr>
            <w:tcW w:w="0" w:type="auto"/>
            <w:shd w:val="clear" w:color="auto" w:fill="auto"/>
            <w:noWrap/>
            <w:vAlign w:val="center"/>
          </w:tcPr>
          <w:p w14:paraId="2CA9BCB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566AC5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18.18</w:t>
            </w:r>
          </w:p>
        </w:tc>
        <w:tc>
          <w:tcPr>
            <w:tcW w:w="0" w:type="auto"/>
            <w:shd w:val="clear" w:color="auto" w:fill="auto"/>
            <w:noWrap/>
            <w:vAlign w:val="center"/>
          </w:tcPr>
          <w:p w14:paraId="4C2DC6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26.48</w:t>
            </w:r>
          </w:p>
        </w:tc>
        <w:tc>
          <w:tcPr>
            <w:tcW w:w="0" w:type="auto"/>
            <w:shd w:val="clear" w:color="auto" w:fill="auto"/>
            <w:noWrap/>
            <w:vAlign w:val="center"/>
          </w:tcPr>
          <w:p w14:paraId="082F754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14.73</w:t>
            </w:r>
          </w:p>
        </w:tc>
        <w:tc>
          <w:tcPr>
            <w:tcW w:w="0" w:type="auto"/>
            <w:shd w:val="clear" w:color="auto" w:fill="auto"/>
            <w:noWrap/>
            <w:vAlign w:val="center"/>
          </w:tcPr>
          <w:p w14:paraId="456F38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921" w:type="dxa"/>
            <w:shd w:val="clear" w:color="auto" w:fill="auto"/>
            <w:noWrap/>
            <w:vAlign w:val="center"/>
          </w:tcPr>
          <w:p w14:paraId="608993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530BB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281E3AB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分级机4#</w:t>
            </w:r>
          </w:p>
        </w:tc>
        <w:tc>
          <w:tcPr>
            <w:tcW w:w="0" w:type="auto"/>
            <w:shd w:val="clear" w:color="auto" w:fill="auto"/>
            <w:noWrap/>
            <w:vAlign w:val="center"/>
          </w:tcPr>
          <w:p w14:paraId="49E470E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58B94FDE">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7450765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20</w:t>
            </w:r>
          </w:p>
        </w:tc>
        <w:tc>
          <w:tcPr>
            <w:tcW w:w="0" w:type="auto"/>
            <w:shd w:val="clear" w:color="auto" w:fill="auto"/>
            <w:noWrap/>
            <w:vAlign w:val="center"/>
          </w:tcPr>
          <w:p w14:paraId="2A4EE6B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58</w:t>
            </w:r>
          </w:p>
        </w:tc>
        <w:tc>
          <w:tcPr>
            <w:tcW w:w="322" w:type="dxa"/>
            <w:shd w:val="clear" w:color="auto" w:fill="auto"/>
            <w:vAlign w:val="center"/>
          </w:tcPr>
          <w:p w14:paraId="5813EDBC">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11A55DF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34</w:t>
            </w:r>
          </w:p>
        </w:tc>
        <w:tc>
          <w:tcPr>
            <w:tcW w:w="0" w:type="auto"/>
            <w:shd w:val="clear" w:color="auto" w:fill="auto"/>
            <w:noWrap/>
            <w:vAlign w:val="center"/>
          </w:tcPr>
          <w:p w14:paraId="18141E6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w:t>
            </w:r>
          </w:p>
        </w:tc>
        <w:tc>
          <w:tcPr>
            <w:tcW w:w="0" w:type="auto"/>
            <w:shd w:val="clear" w:color="auto" w:fill="auto"/>
            <w:noWrap/>
            <w:vAlign w:val="center"/>
          </w:tcPr>
          <w:p w14:paraId="762A633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shd w:val="clear" w:color="auto" w:fill="auto"/>
            <w:noWrap/>
            <w:vAlign w:val="center"/>
          </w:tcPr>
          <w:p w14:paraId="2273E8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0" w:type="auto"/>
            <w:vMerge w:val="continue"/>
            <w:shd w:val="clear" w:color="auto" w:fill="auto"/>
            <w:noWrap/>
            <w:vAlign w:val="center"/>
          </w:tcPr>
          <w:p w14:paraId="1C713EB3">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58A68EE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44.37</w:t>
            </w:r>
          </w:p>
        </w:tc>
        <w:tc>
          <w:tcPr>
            <w:tcW w:w="0" w:type="auto"/>
            <w:shd w:val="clear" w:color="auto" w:fill="auto"/>
            <w:noWrap/>
            <w:vAlign w:val="center"/>
          </w:tcPr>
          <w:p w14:paraId="0D656E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48.98</w:t>
            </w:r>
          </w:p>
        </w:tc>
        <w:tc>
          <w:tcPr>
            <w:tcW w:w="0" w:type="auto"/>
            <w:shd w:val="clear" w:color="auto" w:fill="auto"/>
            <w:noWrap/>
            <w:vAlign w:val="center"/>
          </w:tcPr>
          <w:p w14:paraId="1F1DF2B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39.73</w:t>
            </w:r>
          </w:p>
        </w:tc>
        <w:tc>
          <w:tcPr>
            <w:tcW w:w="0" w:type="auto"/>
            <w:shd w:val="clear" w:color="auto" w:fill="auto"/>
            <w:noWrap/>
            <w:vAlign w:val="center"/>
          </w:tcPr>
          <w:p w14:paraId="6D9E753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w:t>
            </w:r>
          </w:p>
        </w:tc>
        <w:tc>
          <w:tcPr>
            <w:tcW w:w="0" w:type="auto"/>
            <w:shd w:val="clear" w:color="auto" w:fill="auto"/>
            <w:noWrap/>
            <w:vAlign w:val="center"/>
          </w:tcPr>
          <w:p w14:paraId="2A78F2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34ED9B7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19.37</w:t>
            </w:r>
          </w:p>
        </w:tc>
        <w:tc>
          <w:tcPr>
            <w:tcW w:w="0" w:type="auto"/>
            <w:shd w:val="clear" w:color="auto" w:fill="auto"/>
            <w:noWrap/>
            <w:vAlign w:val="center"/>
          </w:tcPr>
          <w:p w14:paraId="04612AA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23.98</w:t>
            </w:r>
          </w:p>
        </w:tc>
        <w:tc>
          <w:tcPr>
            <w:tcW w:w="0" w:type="auto"/>
            <w:shd w:val="clear" w:color="auto" w:fill="auto"/>
            <w:noWrap/>
            <w:vAlign w:val="center"/>
          </w:tcPr>
          <w:p w14:paraId="3D5E23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14.73</w:t>
            </w:r>
          </w:p>
        </w:tc>
        <w:tc>
          <w:tcPr>
            <w:tcW w:w="0" w:type="auto"/>
            <w:shd w:val="clear" w:color="auto" w:fill="auto"/>
            <w:noWrap/>
            <w:vAlign w:val="center"/>
          </w:tcPr>
          <w:p w14:paraId="6E0367D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921" w:type="dxa"/>
            <w:shd w:val="clear" w:color="auto" w:fill="auto"/>
            <w:noWrap/>
            <w:vAlign w:val="center"/>
          </w:tcPr>
          <w:p w14:paraId="7E0C51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90E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0BE977D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分级机5#</w:t>
            </w:r>
          </w:p>
        </w:tc>
        <w:tc>
          <w:tcPr>
            <w:tcW w:w="0" w:type="auto"/>
            <w:shd w:val="clear" w:color="auto" w:fill="auto"/>
            <w:noWrap/>
            <w:vAlign w:val="center"/>
          </w:tcPr>
          <w:p w14:paraId="11C127A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63B786EE">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49923C1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25</w:t>
            </w:r>
          </w:p>
        </w:tc>
        <w:tc>
          <w:tcPr>
            <w:tcW w:w="0" w:type="auto"/>
            <w:shd w:val="clear" w:color="auto" w:fill="auto"/>
            <w:noWrap/>
            <w:vAlign w:val="center"/>
          </w:tcPr>
          <w:p w14:paraId="206DC30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58</w:t>
            </w:r>
          </w:p>
        </w:tc>
        <w:tc>
          <w:tcPr>
            <w:tcW w:w="322" w:type="dxa"/>
            <w:shd w:val="clear" w:color="auto" w:fill="auto"/>
            <w:vAlign w:val="center"/>
          </w:tcPr>
          <w:p w14:paraId="18A8B81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5B31ADA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29</w:t>
            </w:r>
          </w:p>
        </w:tc>
        <w:tc>
          <w:tcPr>
            <w:tcW w:w="0" w:type="auto"/>
            <w:shd w:val="clear" w:color="auto" w:fill="auto"/>
            <w:noWrap/>
            <w:vAlign w:val="center"/>
          </w:tcPr>
          <w:p w14:paraId="7957F09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5E1918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shd w:val="clear" w:color="auto" w:fill="auto"/>
            <w:noWrap/>
            <w:vAlign w:val="center"/>
          </w:tcPr>
          <w:p w14:paraId="0602468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0" w:type="auto"/>
            <w:vMerge w:val="continue"/>
            <w:shd w:val="clear" w:color="auto" w:fill="auto"/>
            <w:noWrap/>
            <w:vAlign w:val="center"/>
          </w:tcPr>
          <w:p w14:paraId="60DAAC86">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7ECB291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45.75</w:t>
            </w:r>
          </w:p>
        </w:tc>
        <w:tc>
          <w:tcPr>
            <w:tcW w:w="0" w:type="auto"/>
            <w:shd w:val="clear" w:color="auto" w:fill="auto"/>
            <w:noWrap/>
            <w:vAlign w:val="center"/>
          </w:tcPr>
          <w:p w14:paraId="1B4949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47.04</w:t>
            </w:r>
          </w:p>
        </w:tc>
        <w:tc>
          <w:tcPr>
            <w:tcW w:w="0" w:type="auto"/>
            <w:shd w:val="clear" w:color="auto" w:fill="auto"/>
            <w:noWrap/>
            <w:vAlign w:val="center"/>
          </w:tcPr>
          <w:p w14:paraId="400E70E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39.73</w:t>
            </w:r>
          </w:p>
        </w:tc>
        <w:tc>
          <w:tcPr>
            <w:tcW w:w="0" w:type="auto"/>
            <w:shd w:val="clear" w:color="auto" w:fill="auto"/>
            <w:noWrap/>
            <w:vAlign w:val="center"/>
          </w:tcPr>
          <w:p w14:paraId="53B317F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w:t>
            </w:r>
          </w:p>
        </w:tc>
        <w:tc>
          <w:tcPr>
            <w:tcW w:w="0" w:type="auto"/>
            <w:shd w:val="clear" w:color="auto" w:fill="auto"/>
            <w:noWrap/>
            <w:vAlign w:val="center"/>
          </w:tcPr>
          <w:p w14:paraId="610B52B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3E2721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20.75</w:t>
            </w:r>
          </w:p>
        </w:tc>
        <w:tc>
          <w:tcPr>
            <w:tcW w:w="0" w:type="auto"/>
            <w:shd w:val="clear" w:color="auto" w:fill="auto"/>
            <w:noWrap/>
            <w:vAlign w:val="center"/>
          </w:tcPr>
          <w:p w14:paraId="05BBEA2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22.04</w:t>
            </w:r>
          </w:p>
        </w:tc>
        <w:tc>
          <w:tcPr>
            <w:tcW w:w="0" w:type="auto"/>
            <w:shd w:val="clear" w:color="auto" w:fill="auto"/>
            <w:noWrap/>
            <w:vAlign w:val="center"/>
          </w:tcPr>
          <w:p w14:paraId="7EAF5F6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14.73</w:t>
            </w:r>
          </w:p>
        </w:tc>
        <w:tc>
          <w:tcPr>
            <w:tcW w:w="0" w:type="auto"/>
            <w:shd w:val="clear" w:color="auto" w:fill="auto"/>
            <w:noWrap/>
            <w:vAlign w:val="center"/>
          </w:tcPr>
          <w:p w14:paraId="3866934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921" w:type="dxa"/>
            <w:shd w:val="clear" w:color="auto" w:fill="auto"/>
            <w:noWrap/>
            <w:vAlign w:val="center"/>
          </w:tcPr>
          <w:p w14:paraId="5311E15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105F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783A737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分级机6#</w:t>
            </w:r>
          </w:p>
        </w:tc>
        <w:tc>
          <w:tcPr>
            <w:tcW w:w="0" w:type="auto"/>
            <w:shd w:val="clear" w:color="auto" w:fill="auto"/>
            <w:noWrap/>
            <w:vAlign w:val="center"/>
          </w:tcPr>
          <w:p w14:paraId="761FFC44">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1184FE90">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226D252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0" w:type="auto"/>
            <w:shd w:val="clear" w:color="auto" w:fill="auto"/>
            <w:noWrap/>
            <w:vAlign w:val="center"/>
          </w:tcPr>
          <w:p w14:paraId="78A0451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58</w:t>
            </w:r>
          </w:p>
        </w:tc>
        <w:tc>
          <w:tcPr>
            <w:tcW w:w="322" w:type="dxa"/>
            <w:shd w:val="clear" w:color="auto" w:fill="auto"/>
            <w:vAlign w:val="center"/>
          </w:tcPr>
          <w:p w14:paraId="544F56D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0FF4F5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0" w:type="auto"/>
            <w:shd w:val="clear" w:color="auto" w:fill="auto"/>
            <w:noWrap/>
            <w:vAlign w:val="center"/>
          </w:tcPr>
          <w:p w14:paraId="5B17AA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shd w:val="clear" w:color="auto" w:fill="auto"/>
            <w:noWrap/>
            <w:vAlign w:val="center"/>
          </w:tcPr>
          <w:p w14:paraId="3D5355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shd w:val="clear" w:color="auto" w:fill="auto"/>
            <w:noWrap/>
            <w:vAlign w:val="center"/>
          </w:tcPr>
          <w:p w14:paraId="26BA8B9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0" w:type="auto"/>
            <w:vMerge w:val="continue"/>
            <w:shd w:val="clear" w:color="auto" w:fill="auto"/>
            <w:noWrap/>
            <w:vAlign w:val="center"/>
          </w:tcPr>
          <w:p w14:paraId="03D3FD7A">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6A4A7B8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47.4</w:t>
            </w:r>
          </w:p>
        </w:tc>
        <w:tc>
          <w:tcPr>
            <w:tcW w:w="0" w:type="auto"/>
            <w:shd w:val="clear" w:color="auto" w:fill="auto"/>
            <w:noWrap/>
            <w:vAlign w:val="center"/>
          </w:tcPr>
          <w:p w14:paraId="4C403DC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45.46</w:t>
            </w:r>
          </w:p>
        </w:tc>
        <w:tc>
          <w:tcPr>
            <w:tcW w:w="0" w:type="auto"/>
            <w:shd w:val="clear" w:color="auto" w:fill="auto"/>
            <w:noWrap/>
            <w:vAlign w:val="center"/>
          </w:tcPr>
          <w:p w14:paraId="03F4871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39.73</w:t>
            </w:r>
          </w:p>
        </w:tc>
        <w:tc>
          <w:tcPr>
            <w:tcW w:w="0" w:type="auto"/>
            <w:shd w:val="clear" w:color="auto" w:fill="auto"/>
            <w:noWrap/>
            <w:vAlign w:val="center"/>
          </w:tcPr>
          <w:p w14:paraId="7163331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w:t>
            </w:r>
          </w:p>
        </w:tc>
        <w:tc>
          <w:tcPr>
            <w:tcW w:w="0" w:type="auto"/>
            <w:shd w:val="clear" w:color="auto" w:fill="auto"/>
            <w:noWrap/>
            <w:vAlign w:val="center"/>
          </w:tcPr>
          <w:p w14:paraId="010660E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1F84DCF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22.4</w:t>
            </w:r>
          </w:p>
        </w:tc>
        <w:tc>
          <w:tcPr>
            <w:tcW w:w="0" w:type="auto"/>
            <w:shd w:val="clear" w:color="auto" w:fill="auto"/>
            <w:noWrap/>
            <w:vAlign w:val="center"/>
          </w:tcPr>
          <w:p w14:paraId="20CB83B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20.46</w:t>
            </w:r>
          </w:p>
        </w:tc>
        <w:tc>
          <w:tcPr>
            <w:tcW w:w="0" w:type="auto"/>
            <w:shd w:val="clear" w:color="auto" w:fill="auto"/>
            <w:noWrap/>
            <w:vAlign w:val="center"/>
          </w:tcPr>
          <w:p w14:paraId="274CF33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14.73</w:t>
            </w:r>
          </w:p>
        </w:tc>
        <w:tc>
          <w:tcPr>
            <w:tcW w:w="0" w:type="auto"/>
            <w:shd w:val="clear" w:color="auto" w:fill="auto"/>
            <w:noWrap/>
            <w:vAlign w:val="center"/>
          </w:tcPr>
          <w:p w14:paraId="4152605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921" w:type="dxa"/>
            <w:shd w:val="clear" w:color="auto" w:fill="auto"/>
            <w:noWrap/>
            <w:vAlign w:val="center"/>
          </w:tcPr>
          <w:p w14:paraId="7DC5EAA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9C0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0982035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分级机7#</w:t>
            </w:r>
          </w:p>
        </w:tc>
        <w:tc>
          <w:tcPr>
            <w:tcW w:w="0" w:type="auto"/>
            <w:shd w:val="clear" w:color="auto" w:fill="auto"/>
            <w:noWrap/>
            <w:vAlign w:val="center"/>
          </w:tcPr>
          <w:p w14:paraId="2658D91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076FDEB1">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241AAA1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35</w:t>
            </w:r>
          </w:p>
        </w:tc>
        <w:tc>
          <w:tcPr>
            <w:tcW w:w="0" w:type="auto"/>
            <w:shd w:val="clear" w:color="auto" w:fill="auto"/>
            <w:noWrap/>
            <w:vAlign w:val="center"/>
          </w:tcPr>
          <w:p w14:paraId="1C4391E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58</w:t>
            </w:r>
          </w:p>
        </w:tc>
        <w:tc>
          <w:tcPr>
            <w:tcW w:w="322" w:type="dxa"/>
            <w:shd w:val="clear" w:color="auto" w:fill="auto"/>
            <w:vAlign w:val="center"/>
          </w:tcPr>
          <w:p w14:paraId="7940EDB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7DBE740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w:t>
            </w:r>
          </w:p>
        </w:tc>
        <w:tc>
          <w:tcPr>
            <w:tcW w:w="0" w:type="auto"/>
            <w:shd w:val="clear" w:color="auto" w:fill="auto"/>
            <w:noWrap/>
            <w:vAlign w:val="center"/>
          </w:tcPr>
          <w:p w14:paraId="60C72B7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w:t>
            </w:r>
          </w:p>
        </w:tc>
        <w:tc>
          <w:tcPr>
            <w:tcW w:w="0" w:type="auto"/>
            <w:shd w:val="clear" w:color="auto" w:fill="auto"/>
            <w:noWrap/>
            <w:vAlign w:val="center"/>
          </w:tcPr>
          <w:p w14:paraId="3542186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shd w:val="clear" w:color="auto" w:fill="auto"/>
            <w:noWrap/>
            <w:vAlign w:val="center"/>
          </w:tcPr>
          <w:p w14:paraId="6A779A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0" w:type="auto"/>
            <w:vMerge w:val="continue"/>
            <w:shd w:val="clear" w:color="auto" w:fill="auto"/>
            <w:noWrap/>
            <w:vAlign w:val="center"/>
          </w:tcPr>
          <w:p w14:paraId="783C50CB">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241FEC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49.42</w:t>
            </w:r>
          </w:p>
        </w:tc>
        <w:tc>
          <w:tcPr>
            <w:tcW w:w="0" w:type="auto"/>
            <w:shd w:val="clear" w:color="auto" w:fill="auto"/>
            <w:noWrap/>
            <w:vAlign w:val="center"/>
          </w:tcPr>
          <w:p w14:paraId="1CE533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44.12</w:t>
            </w:r>
          </w:p>
        </w:tc>
        <w:tc>
          <w:tcPr>
            <w:tcW w:w="0" w:type="auto"/>
            <w:shd w:val="clear" w:color="auto" w:fill="auto"/>
            <w:noWrap/>
            <w:vAlign w:val="center"/>
          </w:tcPr>
          <w:p w14:paraId="52BF0C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39.73</w:t>
            </w:r>
          </w:p>
        </w:tc>
        <w:tc>
          <w:tcPr>
            <w:tcW w:w="0" w:type="auto"/>
            <w:shd w:val="clear" w:color="auto" w:fill="auto"/>
            <w:noWrap/>
            <w:vAlign w:val="center"/>
          </w:tcPr>
          <w:p w14:paraId="68AD5C0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w:t>
            </w:r>
          </w:p>
        </w:tc>
        <w:tc>
          <w:tcPr>
            <w:tcW w:w="0" w:type="auto"/>
            <w:shd w:val="clear" w:color="auto" w:fill="auto"/>
            <w:noWrap/>
            <w:vAlign w:val="center"/>
          </w:tcPr>
          <w:p w14:paraId="17A578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57C9739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24.42</w:t>
            </w:r>
          </w:p>
        </w:tc>
        <w:tc>
          <w:tcPr>
            <w:tcW w:w="0" w:type="auto"/>
            <w:shd w:val="clear" w:color="auto" w:fill="auto"/>
            <w:noWrap/>
            <w:vAlign w:val="center"/>
          </w:tcPr>
          <w:p w14:paraId="7D32C4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19.12</w:t>
            </w:r>
          </w:p>
        </w:tc>
        <w:tc>
          <w:tcPr>
            <w:tcW w:w="0" w:type="auto"/>
            <w:shd w:val="clear" w:color="auto" w:fill="auto"/>
            <w:noWrap/>
            <w:vAlign w:val="center"/>
          </w:tcPr>
          <w:p w14:paraId="5AD6914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14.73</w:t>
            </w:r>
          </w:p>
        </w:tc>
        <w:tc>
          <w:tcPr>
            <w:tcW w:w="0" w:type="auto"/>
            <w:shd w:val="clear" w:color="auto" w:fill="auto"/>
            <w:noWrap/>
            <w:vAlign w:val="center"/>
          </w:tcPr>
          <w:p w14:paraId="4F347D8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921" w:type="dxa"/>
            <w:shd w:val="clear" w:color="auto" w:fill="auto"/>
            <w:noWrap/>
            <w:vAlign w:val="center"/>
          </w:tcPr>
          <w:p w14:paraId="394A289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93B7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1535" w:type="dxa"/>
            <w:shd w:val="clear" w:color="auto" w:fill="auto"/>
            <w:vAlign w:val="center"/>
          </w:tcPr>
          <w:p w14:paraId="69ED535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分级机8#</w:t>
            </w:r>
          </w:p>
        </w:tc>
        <w:tc>
          <w:tcPr>
            <w:tcW w:w="0" w:type="auto"/>
            <w:shd w:val="clear" w:color="auto" w:fill="auto"/>
            <w:noWrap/>
            <w:vAlign w:val="center"/>
          </w:tcPr>
          <w:p w14:paraId="5337A41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7C183D62">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2326458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40</w:t>
            </w:r>
          </w:p>
        </w:tc>
        <w:tc>
          <w:tcPr>
            <w:tcW w:w="0" w:type="auto"/>
            <w:shd w:val="clear" w:color="auto" w:fill="auto"/>
            <w:noWrap/>
            <w:vAlign w:val="center"/>
          </w:tcPr>
          <w:p w14:paraId="73E69FC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58</w:t>
            </w:r>
          </w:p>
        </w:tc>
        <w:tc>
          <w:tcPr>
            <w:tcW w:w="322" w:type="dxa"/>
            <w:shd w:val="clear" w:color="auto" w:fill="auto"/>
            <w:vAlign w:val="center"/>
          </w:tcPr>
          <w:p w14:paraId="03DB2CF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620B63B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0" w:type="auto"/>
            <w:shd w:val="clear" w:color="auto" w:fill="auto"/>
            <w:noWrap/>
            <w:vAlign w:val="center"/>
          </w:tcPr>
          <w:p w14:paraId="0746D2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w:t>
            </w:r>
          </w:p>
        </w:tc>
        <w:tc>
          <w:tcPr>
            <w:tcW w:w="0" w:type="auto"/>
            <w:shd w:val="clear" w:color="auto" w:fill="auto"/>
            <w:noWrap/>
            <w:vAlign w:val="center"/>
          </w:tcPr>
          <w:p w14:paraId="24C0FBB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shd w:val="clear" w:color="auto" w:fill="auto"/>
            <w:noWrap/>
            <w:vAlign w:val="center"/>
          </w:tcPr>
          <w:p w14:paraId="0FF1829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0" w:type="auto"/>
            <w:vMerge w:val="continue"/>
            <w:shd w:val="clear" w:color="auto" w:fill="auto"/>
            <w:noWrap/>
            <w:vAlign w:val="center"/>
          </w:tcPr>
          <w:p w14:paraId="57FABC3A">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7AEAE2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52.08</w:t>
            </w:r>
          </w:p>
        </w:tc>
        <w:tc>
          <w:tcPr>
            <w:tcW w:w="0" w:type="auto"/>
            <w:shd w:val="clear" w:color="auto" w:fill="auto"/>
            <w:noWrap/>
            <w:vAlign w:val="center"/>
          </w:tcPr>
          <w:p w14:paraId="499F365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42.96</w:t>
            </w:r>
          </w:p>
        </w:tc>
        <w:tc>
          <w:tcPr>
            <w:tcW w:w="0" w:type="auto"/>
            <w:shd w:val="clear" w:color="auto" w:fill="auto"/>
            <w:noWrap/>
            <w:vAlign w:val="center"/>
          </w:tcPr>
          <w:p w14:paraId="54B043E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39.73</w:t>
            </w:r>
          </w:p>
        </w:tc>
        <w:tc>
          <w:tcPr>
            <w:tcW w:w="0" w:type="auto"/>
            <w:shd w:val="clear" w:color="auto" w:fill="auto"/>
            <w:noWrap/>
            <w:vAlign w:val="center"/>
          </w:tcPr>
          <w:p w14:paraId="011F58B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w:t>
            </w:r>
          </w:p>
        </w:tc>
        <w:tc>
          <w:tcPr>
            <w:tcW w:w="0" w:type="auto"/>
            <w:shd w:val="clear" w:color="auto" w:fill="auto"/>
            <w:noWrap/>
            <w:vAlign w:val="center"/>
          </w:tcPr>
          <w:p w14:paraId="0D406BE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49CAC56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27.08</w:t>
            </w:r>
          </w:p>
        </w:tc>
        <w:tc>
          <w:tcPr>
            <w:tcW w:w="0" w:type="auto"/>
            <w:shd w:val="clear" w:color="auto" w:fill="auto"/>
            <w:noWrap/>
            <w:vAlign w:val="center"/>
          </w:tcPr>
          <w:p w14:paraId="02B6C12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17.96</w:t>
            </w:r>
          </w:p>
        </w:tc>
        <w:tc>
          <w:tcPr>
            <w:tcW w:w="0" w:type="auto"/>
            <w:shd w:val="clear" w:color="auto" w:fill="auto"/>
            <w:noWrap/>
            <w:vAlign w:val="center"/>
          </w:tcPr>
          <w:p w14:paraId="4CC2E0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14.73</w:t>
            </w:r>
          </w:p>
        </w:tc>
        <w:tc>
          <w:tcPr>
            <w:tcW w:w="0" w:type="auto"/>
            <w:shd w:val="clear" w:color="auto" w:fill="auto"/>
            <w:noWrap/>
            <w:vAlign w:val="center"/>
          </w:tcPr>
          <w:p w14:paraId="7C113E1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921" w:type="dxa"/>
            <w:shd w:val="clear" w:color="auto" w:fill="auto"/>
            <w:noWrap/>
            <w:vAlign w:val="center"/>
          </w:tcPr>
          <w:p w14:paraId="1A4D471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0F847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1535" w:type="dxa"/>
            <w:shd w:val="clear" w:color="auto" w:fill="auto"/>
            <w:vAlign w:val="center"/>
          </w:tcPr>
          <w:p w14:paraId="4F6C41F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分级机9#</w:t>
            </w:r>
          </w:p>
        </w:tc>
        <w:tc>
          <w:tcPr>
            <w:tcW w:w="0" w:type="auto"/>
            <w:shd w:val="clear" w:color="auto" w:fill="auto"/>
            <w:noWrap/>
            <w:vAlign w:val="center"/>
          </w:tcPr>
          <w:p w14:paraId="45FBED35">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75</w:t>
            </w:r>
          </w:p>
        </w:tc>
        <w:tc>
          <w:tcPr>
            <w:tcW w:w="636" w:type="dxa"/>
            <w:vMerge w:val="continue"/>
            <w:shd w:val="clear" w:color="auto" w:fill="auto"/>
            <w:vAlign w:val="center"/>
          </w:tcPr>
          <w:p w14:paraId="04CE7820">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146F7FD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45</w:t>
            </w:r>
          </w:p>
        </w:tc>
        <w:tc>
          <w:tcPr>
            <w:tcW w:w="0" w:type="auto"/>
            <w:shd w:val="clear" w:color="auto" w:fill="auto"/>
            <w:noWrap/>
            <w:vAlign w:val="center"/>
          </w:tcPr>
          <w:p w14:paraId="1EFDE493">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58</w:t>
            </w:r>
          </w:p>
        </w:tc>
        <w:tc>
          <w:tcPr>
            <w:tcW w:w="322" w:type="dxa"/>
            <w:shd w:val="clear" w:color="auto" w:fill="auto"/>
            <w:vAlign w:val="center"/>
          </w:tcPr>
          <w:p w14:paraId="7D47089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5DB6F76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0" w:type="auto"/>
            <w:shd w:val="clear" w:color="auto" w:fill="auto"/>
            <w:noWrap/>
            <w:vAlign w:val="center"/>
          </w:tcPr>
          <w:p w14:paraId="0D4EC18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45</w:t>
            </w:r>
          </w:p>
        </w:tc>
        <w:tc>
          <w:tcPr>
            <w:tcW w:w="0" w:type="auto"/>
            <w:shd w:val="clear" w:color="auto" w:fill="auto"/>
            <w:noWrap/>
            <w:vAlign w:val="center"/>
          </w:tcPr>
          <w:p w14:paraId="4465E60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58</w:t>
            </w:r>
          </w:p>
        </w:tc>
        <w:tc>
          <w:tcPr>
            <w:tcW w:w="0" w:type="auto"/>
            <w:shd w:val="clear" w:color="auto" w:fill="auto"/>
            <w:noWrap/>
            <w:vAlign w:val="center"/>
          </w:tcPr>
          <w:p w14:paraId="590DF45F">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20.9</w:t>
            </w:r>
          </w:p>
        </w:tc>
        <w:tc>
          <w:tcPr>
            <w:tcW w:w="0" w:type="auto"/>
            <w:vMerge w:val="continue"/>
            <w:shd w:val="clear" w:color="auto" w:fill="auto"/>
            <w:noWrap/>
            <w:vAlign w:val="center"/>
          </w:tcPr>
          <w:p w14:paraId="4CF5F037">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4F58DE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55.92</w:t>
            </w:r>
          </w:p>
        </w:tc>
        <w:tc>
          <w:tcPr>
            <w:tcW w:w="0" w:type="auto"/>
            <w:shd w:val="clear" w:color="auto" w:fill="auto"/>
            <w:noWrap/>
            <w:vAlign w:val="center"/>
          </w:tcPr>
          <w:p w14:paraId="046F1E5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41.94</w:t>
            </w:r>
          </w:p>
        </w:tc>
        <w:tc>
          <w:tcPr>
            <w:tcW w:w="0" w:type="auto"/>
            <w:shd w:val="clear" w:color="auto" w:fill="auto"/>
            <w:noWrap/>
            <w:vAlign w:val="center"/>
          </w:tcPr>
          <w:p w14:paraId="5A5E4B0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39.73</w:t>
            </w:r>
          </w:p>
        </w:tc>
        <w:tc>
          <w:tcPr>
            <w:tcW w:w="0" w:type="auto"/>
            <w:shd w:val="clear" w:color="auto" w:fill="auto"/>
            <w:noWrap/>
            <w:vAlign w:val="center"/>
          </w:tcPr>
          <w:p w14:paraId="7E5BDEC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w:t>
            </w:r>
          </w:p>
        </w:tc>
        <w:tc>
          <w:tcPr>
            <w:tcW w:w="0" w:type="auto"/>
            <w:shd w:val="clear" w:color="auto" w:fill="auto"/>
            <w:noWrap/>
            <w:vAlign w:val="center"/>
          </w:tcPr>
          <w:p w14:paraId="42BDAC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5CCACA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30.92</w:t>
            </w:r>
          </w:p>
        </w:tc>
        <w:tc>
          <w:tcPr>
            <w:tcW w:w="0" w:type="auto"/>
            <w:shd w:val="clear" w:color="auto" w:fill="auto"/>
            <w:noWrap/>
            <w:vAlign w:val="center"/>
          </w:tcPr>
          <w:p w14:paraId="3393E7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16.94</w:t>
            </w:r>
          </w:p>
        </w:tc>
        <w:tc>
          <w:tcPr>
            <w:tcW w:w="0" w:type="auto"/>
            <w:shd w:val="clear" w:color="auto" w:fill="auto"/>
            <w:noWrap/>
            <w:vAlign w:val="center"/>
          </w:tcPr>
          <w:p w14:paraId="0089C8D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14.73</w:t>
            </w:r>
          </w:p>
        </w:tc>
        <w:tc>
          <w:tcPr>
            <w:tcW w:w="0" w:type="auto"/>
            <w:shd w:val="clear" w:color="auto" w:fill="auto"/>
            <w:noWrap/>
            <w:vAlign w:val="center"/>
          </w:tcPr>
          <w:p w14:paraId="192B45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w:t>
            </w:r>
          </w:p>
        </w:tc>
        <w:tc>
          <w:tcPr>
            <w:tcW w:w="921" w:type="dxa"/>
            <w:shd w:val="clear" w:color="auto" w:fill="auto"/>
            <w:noWrap/>
            <w:vAlign w:val="center"/>
          </w:tcPr>
          <w:p w14:paraId="1A36A00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74598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3EFC9C7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除尘器风机1#</w:t>
            </w:r>
          </w:p>
        </w:tc>
        <w:tc>
          <w:tcPr>
            <w:tcW w:w="0" w:type="auto"/>
            <w:shd w:val="clear" w:color="auto" w:fill="auto"/>
            <w:noWrap/>
            <w:vAlign w:val="center"/>
          </w:tcPr>
          <w:p w14:paraId="29EF0E49">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85</w:t>
            </w:r>
          </w:p>
        </w:tc>
        <w:tc>
          <w:tcPr>
            <w:tcW w:w="636" w:type="dxa"/>
            <w:vMerge w:val="continue"/>
            <w:shd w:val="clear" w:color="auto" w:fill="auto"/>
            <w:vAlign w:val="center"/>
          </w:tcPr>
          <w:p w14:paraId="52C739B2">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3C6A242E">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0" w:type="auto"/>
            <w:shd w:val="clear" w:color="auto" w:fill="auto"/>
            <w:noWrap/>
            <w:vAlign w:val="center"/>
          </w:tcPr>
          <w:p w14:paraId="53B9A3F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13</w:t>
            </w:r>
          </w:p>
        </w:tc>
        <w:tc>
          <w:tcPr>
            <w:tcW w:w="322" w:type="dxa"/>
            <w:shd w:val="clear" w:color="auto" w:fill="auto"/>
            <w:vAlign w:val="center"/>
          </w:tcPr>
          <w:p w14:paraId="13003AC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0705AB3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0" w:type="auto"/>
            <w:shd w:val="clear" w:color="auto" w:fill="auto"/>
            <w:noWrap/>
            <w:vAlign w:val="center"/>
          </w:tcPr>
          <w:p w14:paraId="6A4822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shd w:val="clear" w:color="auto" w:fill="auto"/>
            <w:noWrap/>
            <w:vAlign w:val="center"/>
          </w:tcPr>
          <w:p w14:paraId="71F7A83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0" w:type="auto"/>
            <w:shd w:val="clear" w:color="auto" w:fill="auto"/>
            <w:noWrap/>
            <w:vAlign w:val="center"/>
          </w:tcPr>
          <w:p w14:paraId="566B08F1">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65.9</w:t>
            </w:r>
          </w:p>
        </w:tc>
        <w:tc>
          <w:tcPr>
            <w:tcW w:w="0" w:type="auto"/>
            <w:vMerge w:val="continue"/>
            <w:shd w:val="clear" w:color="auto" w:fill="auto"/>
            <w:noWrap/>
            <w:vAlign w:val="center"/>
          </w:tcPr>
          <w:p w14:paraId="7E6AA0E6">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674730C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57.4</w:t>
            </w:r>
          </w:p>
        </w:tc>
        <w:tc>
          <w:tcPr>
            <w:tcW w:w="0" w:type="auto"/>
            <w:shd w:val="clear" w:color="auto" w:fill="auto"/>
            <w:noWrap/>
            <w:vAlign w:val="center"/>
          </w:tcPr>
          <w:p w14:paraId="1BF6C8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shd w:val="clear" w:color="auto" w:fill="auto"/>
            <w:noWrap/>
            <w:vAlign w:val="center"/>
          </w:tcPr>
          <w:p w14:paraId="602529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62.72</w:t>
            </w:r>
          </w:p>
        </w:tc>
        <w:tc>
          <w:tcPr>
            <w:tcW w:w="0" w:type="auto"/>
            <w:shd w:val="clear" w:color="auto" w:fill="auto"/>
            <w:noWrap/>
            <w:vAlign w:val="center"/>
          </w:tcPr>
          <w:p w14:paraId="061E444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48.62</w:t>
            </w:r>
          </w:p>
        </w:tc>
        <w:tc>
          <w:tcPr>
            <w:tcW w:w="0" w:type="auto"/>
            <w:shd w:val="clear" w:color="auto" w:fill="auto"/>
            <w:noWrap/>
            <w:vAlign w:val="center"/>
          </w:tcPr>
          <w:p w14:paraId="3CA0A26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3F00F91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32.4</w:t>
            </w:r>
          </w:p>
        </w:tc>
        <w:tc>
          <w:tcPr>
            <w:tcW w:w="0" w:type="auto"/>
            <w:shd w:val="clear" w:color="auto" w:fill="auto"/>
            <w:noWrap/>
            <w:vAlign w:val="center"/>
          </w:tcPr>
          <w:p w14:paraId="245FAF2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shd w:val="clear" w:color="auto" w:fill="auto"/>
            <w:noWrap/>
            <w:vAlign w:val="center"/>
          </w:tcPr>
          <w:p w14:paraId="16114FA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37.72</w:t>
            </w:r>
          </w:p>
        </w:tc>
        <w:tc>
          <w:tcPr>
            <w:tcW w:w="0" w:type="auto"/>
            <w:shd w:val="clear" w:color="auto" w:fill="auto"/>
            <w:noWrap/>
            <w:vAlign w:val="center"/>
          </w:tcPr>
          <w:p w14:paraId="0C14254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23.62</w:t>
            </w:r>
          </w:p>
        </w:tc>
        <w:tc>
          <w:tcPr>
            <w:tcW w:w="921" w:type="dxa"/>
            <w:shd w:val="clear" w:color="auto" w:fill="auto"/>
            <w:noWrap/>
            <w:vAlign w:val="center"/>
          </w:tcPr>
          <w:p w14:paraId="3F5171B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57E34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29229006">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除尘器风机2#</w:t>
            </w:r>
          </w:p>
        </w:tc>
        <w:tc>
          <w:tcPr>
            <w:tcW w:w="0" w:type="auto"/>
            <w:shd w:val="clear" w:color="auto" w:fill="auto"/>
            <w:noWrap/>
            <w:vAlign w:val="center"/>
          </w:tcPr>
          <w:p w14:paraId="1F542FC7">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85</w:t>
            </w:r>
          </w:p>
        </w:tc>
        <w:tc>
          <w:tcPr>
            <w:tcW w:w="636" w:type="dxa"/>
            <w:vMerge w:val="continue"/>
            <w:shd w:val="clear" w:color="auto" w:fill="auto"/>
            <w:vAlign w:val="center"/>
          </w:tcPr>
          <w:p w14:paraId="6EA9E823">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5F87012D">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0" w:type="auto"/>
            <w:shd w:val="clear" w:color="auto" w:fill="auto"/>
            <w:noWrap/>
            <w:vAlign w:val="center"/>
          </w:tcPr>
          <w:p w14:paraId="6B7D0A6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28</w:t>
            </w:r>
          </w:p>
        </w:tc>
        <w:tc>
          <w:tcPr>
            <w:tcW w:w="322" w:type="dxa"/>
            <w:shd w:val="clear" w:color="auto" w:fill="auto"/>
            <w:vAlign w:val="center"/>
          </w:tcPr>
          <w:p w14:paraId="0782DCEA">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411CBD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0" w:type="auto"/>
            <w:shd w:val="clear" w:color="auto" w:fill="auto"/>
            <w:noWrap/>
            <w:vAlign w:val="center"/>
          </w:tcPr>
          <w:p w14:paraId="3F5ECE0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shd w:val="clear" w:color="auto" w:fill="auto"/>
            <w:noWrap/>
            <w:vAlign w:val="center"/>
          </w:tcPr>
          <w:p w14:paraId="306389A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w:t>
            </w:r>
          </w:p>
        </w:tc>
        <w:tc>
          <w:tcPr>
            <w:tcW w:w="0" w:type="auto"/>
            <w:shd w:val="clear" w:color="auto" w:fill="auto"/>
            <w:noWrap/>
            <w:vAlign w:val="center"/>
          </w:tcPr>
          <w:p w14:paraId="76E884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50.9</w:t>
            </w:r>
          </w:p>
        </w:tc>
        <w:tc>
          <w:tcPr>
            <w:tcW w:w="0" w:type="auto"/>
            <w:vMerge w:val="continue"/>
            <w:shd w:val="clear" w:color="auto" w:fill="auto"/>
            <w:noWrap/>
            <w:vAlign w:val="center"/>
          </w:tcPr>
          <w:p w14:paraId="4F5E8324">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0934A99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57.4</w:t>
            </w:r>
          </w:p>
        </w:tc>
        <w:tc>
          <w:tcPr>
            <w:tcW w:w="0" w:type="auto"/>
            <w:shd w:val="clear" w:color="auto" w:fill="auto"/>
            <w:noWrap/>
            <w:vAlign w:val="center"/>
          </w:tcPr>
          <w:p w14:paraId="67CBB69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shd w:val="clear" w:color="auto" w:fill="auto"/>
            <w:noWrap/>
            <w:vAlign w:val="center"/>
          </w:tcPr>
          <w:p w14:paraId="6B46F6FA">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56.06</w:t>
            </w:r>
          </w:p>
        </w:tc>
        <w:tc>
          <w:tcPr>
            <w:tcW w:w="0" w:type="auto"/>
            <w:shd w:val="clear" w:color="auto" w:fill="auto"/>
            <w:noWrap/>
            <w:vAlign w:val="center"/>
          </w:tcPr>
          <w:p w14:paraId="10B6821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50.87</w:t>
            </w:r>
          </w:p>
        </w:tc>
        <w:tc>
          <w:tcPr>
            <w:tcW w:w="0" w:type="auto"/>
            <w:shd w:val="clear" w:color="auto" w:fill="auto"/>
            <w:noWrap/>
            <w:vAlign w:val="center"/>
          </w:tcPr>
          <w:p w14:paraId="272CF14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31CF9DB4">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32.4</w:t>
            </w:r>
          </w:p>
        </w:tc>
        <w:tc>
          <w:tcPr>
            <w:tcW w:w="0" w:type="auto"/>
            <w:shd w:val="clear" w:color="auto" w:fill="auto"/>
            <w:noWrap/>
            <w:vAlign w:val="center"/>
          </w:tcPr>
          <w:p w14:paraId="49E5622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shd w:val="clear" w:color="auto" w:fill="auto"/>
            <w:noWrap/>
            <w:vAlign w:val="center"/>
          </w:tcPr>
          <w:p w14:paraId="2574269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31.06</w:t>
            </w:r>
          </w:p>
        </w:tc>
        <w:tc>
          <w:tcPr>
            <w:tcW w:w="0" w:type="auto"/>
            <w:shd w:val="clear" w:color="auto" w:fill="auto"/>
            <w:noWrap/>
            <w:vAlign w:val="center"/>
          </w:tcPr>
          <w:p w14:paraId="12F4E3D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25.87</w:t>
            </w:r>
          </w:p>
        </w:tc>
        <w:tc>
          <w:tcPr>
            <w:tcW w:w="921" w:type="dxa"/>
            <w:shd w:val="clear" w:color="auto" w:fill="auto"/>
            <w:noWrap/>
            <w:vAlign w:val="center"/>
          </w:tcPr>
          <w:p w14:paraId="3027B3C2">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r w14:paraId="6C62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trPr>
        <w:tc>
          <w:tcPr>
            <w:tcW w:w="0" w:type="auto"/>
            <w:shd w:val="clear" w:color="auto" w:fill="auto"/>
            <w:noWrap/>
            <w:vAlign w:val="center"/>
          </w:tcPr>
          <w:p w14:paraId="3C3AD898">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除尘器风机3#</w:t>
            </w:r>
          </w:p>
        </w:tc>
        <w:tc>
          <w:tcPr>
            <w:tcW w:w="0" w:type="auto"/>
            <w:shd w:val="clear" w:color="auto" w:fill="auto"/>
            <w:noWrap/>
            <w:vAlign w:val="center"/>
          </w:tcPr>
          <w:p w14:paraId="17A2B0FF">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85</w:t>
            </w:r>
          </w:p>
        </w:tc>
        <w:tc>
          <w:tcPr>
            <w:tcW w:w="636" w:type="dxa"/>
            <w:vMerge w:val="continue"/>
            <w:shd w:val="clear" w:color="auto" w:fill="auto"/>
            <w:vAlign w:val="center"/>
          </w:tcPr>
          <w:p w14:paraId="653BBDB1">
            <w:pPr>
              <w:jc w:val="center"/>
              <w:rPr>
                <w:rFonts w:hint="eastAsia" w:ascii="宋体" w:hAnsi="宋体" w:eastAsia="宋体" w:cs="宋体"/>
                <w:b w:val="0"/>
                <w:bCs w:val="0"/>
                <w:i w:val="0"/>
                <w:iCs w:val="0"/>
                <w:color w:val="000000"/>
                <w:sz w:val="21"/>
                <w:szCs w:val="21"/>
                <w:u w:val="none"/>
              </w:rPr>
            </w:pPr>
          </w:p>
        </w:tc>
        <w:tc>
          <w:tcPr>
            <w:tcW w:w="0" w:type="auto"/>
            <w:shd w:val="clear" w:color="auto" w:fill="auto"/>
            <w:noWrap/>
            <w:vAlign w:val="center"/>
          </w:tcPr>
          <w:p w14:paraId="51AE6AE0">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30</w:t>
            </w:r>
          </w:p>
        </w:tc>
        <w:tc>
          <w:tcPr>
            <w:tcW w:w="0" w:type="auto"/>
            <w:shd w:val="clear" w:color="auto" w:fill="auto"/>
            <w:noWrap/>
            <w:vAlign w:val="center"/>
          </w:tcPr>
          <w:p w14:paraId="1E8D37C1">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43</w:t>
            </w:r>
          </w:p>
        </w:tc>
        <w:tc>
          <w:tcPr>
            <w:tcW w:w="322" w:type="dxa"/>
            <w:shd w:val="clear" w:color="auto" w:fill="auto"/>
            <w:vAlign w:val="center"/>
          </w:tcPr>
          <w:p w14:paraId="4A6BE0B2">
            <w:pPr>
              <w:keepNext w:val="0"/>
              <w:keepLines w:val="0"/>
              <w:widowControl/>
              <w:suppressLineNumbers w:val="0"/>
              <w:jc w:val="center"/>
              <w:textAlignment w:val="center"/>
              <w:rPr>
                <w:rFonts w:hint="eastAsia" w:ascii="宋体" w:hAnsi="宋体" w:eastAsia="宋体" w:cs="宋体"/>
                <w:b w:val="0"/>
                <w:bCs w:val="0"/>
                <w:i w:val="0"/>
                <w:iCs w:val="0"/>
                <w:color w:val="000000"/>
                <w:sz w:val="21"/>
                <w:szCs w:val="21"/>
                <w:u w:val="none"/>
              </w:rPr>
            </w:pPr>
            <w:r>
              <w:rPr>
                <w:rFonts w:hint="eastAsia" w:ascii="宋体" w:hAnsi="宋体" w:eastAsia="宋体" w:cs="宋体"/>
                <w:b w:val="0"/>
                <w:bCs w:val="0"/>
                <w:i w:val="0"/>
                <w:iCs w:val="0"/>
                <w:color w:val="000000"/>
                <w:kern w:val="0"/>
                <w:sz w:val="21"/>
                <w:szCs w:val="21"/>
                <w:u w:val="none"/>
                <w:lang w:val="en-US" w:eastAsia="zh-CN" w:bidi="ar"/>
              </w:rPr>
              <w:t>1</w:t>
            </w:r>
          </w:p>
        </w:tc>
        <w:tc>
          <w:tcPr>
            <w:tcW w:w="0" w:type="auto"/>
            <w:shd w:val="clear" w:color="auto" w:fill="auto"/>
            <w:noWrap/>
            <w:vAlign w:val="center"/>
          </w:tcPr>
          <w:p w14:paraId="11DFD45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24</w:t>
            </w:r>
          </w:p>
        </w:tc>
        <w:tc>
          <w:tcPr>
            <w:tcW w:w="0" w:type="auto"/>
            <w:shd w:val="clear" w:color="auto" w:fill="auto"/>
            <w:noWrap/>
            <w:vAlign w:val="center"/>
          </w:tcPr>
          <w:p w14:paraId="7DE91C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shd w:val="clear" w:color="auto" w:fill="auto"/>
            <w:noWrap/>
            <w:vAlign w:val="center"/>
          </w:tcPr>
          <w:p w14:paraId="5CF9F76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43</w:t>
            </w:r>
          </w:p>
        </w:tc>
        <w:tc>
          <w:tcPr>
            <w:tcW w:w="0" w:type="auto"/>
            <w:shd w:val="clear" w:color="auto" w:fill="auto"/>
            <w:noWrap/>
            <w:vAlign w:val="center"/>
          </w:tcPr>
          <w:p w14:paraId="2FC09FFB">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35.9</w:t>
            </w:r>
          </w:p>
        </w:tc>
        <w:tc>
          <w:tcPr>
            <w:tcW w:w="0" w:type="auto"/>
            <w:vMerge w:val="continue"/>
            <w:shd w:val="clear" w:color="auto" w:fill="auto"/>
            <w:noWrap/>
            <w:vAlign w:val="center"/>
          </w:tcPr>
          <w:p w14:paraId="314D7EC0">
            <w:pPr>
              <w:jc w:val="center"/>
              <w:rPr>
                <w:rFonts w:hint="eastAsia" w:ascii="宋体" w:hAnsi="宋体" w:eastAsia="宋体" w:cs="宋体"/>
                <w:i w:val="0"/>
                <w:iCs w:val="0"/>
                <w:color w:val="000000"/>
                <w:sz w:val="21"/>
                <w:szCs w:val="21"/>
                <w:u w:val="none"/>
              </w:rPr>
            </w:pPr>
          </w:p>
        </w:tc>
        <w:tc>
          <w:tcPr>
            <w:tcW w:w="0" w:type="auto"/>
            <w:shd w:val="clear" w:color="auto" w:fill="auto"/>
            <w:noWrap/>
            <w:vAlign w:val="center"/>
          </w:tcPr>
          <w:p w14:paraId="722C0128">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57.4</w:t>
            </w:r>
          </w:p>
        </w:tc>
        <w:tc>
          <w:tcPr>
            <w:tcW w:w="0" w:type="auto"/>
            <w:shd w:val="clear" w:color="auto" w:fill="auto"/>
            <w:noWrap/>
            <w:vAlign w:val="center"/>
          </w:tcPr>
          <w:p w14:paraId="6929C7B9">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30</w:t>
            </w:r>
          </w:p>
        </w:tc>
        <w:tc>
          <w:tcPr>
            <w:tcW w:w="0" w:type="auto"/>
            <w:shd w:val="clear" w:color="auto" w:fill="auto"/>
            <w:noWrap/>
            <w:vAlign w:val="center"/>
          </w:tcPr>
          <w:p w14:paraId="2AEF3CCC">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52.33</w:t>
            </w:r>
          </w:p>
        </w:tc>
        <w:tc>
          <w:tcPr>
            <w:tcW w:w="0" w:type="auto"/>
            <w:shd w:val="clear" w:color="auto" w:fill="auto"/>
            <w:noWrap/>
            <w:vAlign w:val="center"/>
          </w:tcPr>
          <w:p w14:paraId="1A87F2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53.9</w:t>
            </w:r>
          </w:p>
        </w:tc>
        <w:tc>
          <w:tcPr>
            <w:tcW w:w="0" w:type="auto"/>
            <w:shd w:val="clear" w:color="auto" w:fill="auto"/>
            <w:noWrap/>
            <w:vAlign w:val="center"/>
          </w:tcPr>
          <w:p w14:paraId="16689C6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25</w:t>
            </w:r>
          </w:p>
        </w:tc>
        <w:tc>
          <w:tcPr>
            <w:tcW w:w="0" w:type="auto"/>
            <w:shd w:val="clear" w:color="auto" w:fill="auto"/>
            <w:noWrap/>
            <w:vAlign w:val="center"/>
          </w:tcPr>
          <w:p w14:paraId="025DC35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32.4</w:t>
            </w:r>
          </w:p>
        </w:tc>
        <w:tc>
          <w:tcPr>
            <w:tcW w:w="0" w:type="auto"/>
            <w:shd w:val="clear" w:color="auto" w:fill="auto"/>
            <w:noWrap/>
            <w:vAlign w:val="center"/>
          </w:tcPr>
          <w:p w14:paraId="27EC9C2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0" w:type="auto"/>
            <w:shd w:val="clear" w:color="auto" w:fill="auto"/>
            <w:noWrap/>
            <w:vAlign w:val="center"/>
          </w:tcPr>
          <w:p w14:paraId="6B803723">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27.33</w:t>
            </w:r>
          </w:p>
        </w:tc>
        <w:tc>
          <w:tcPr>
            <w:tcW w:w="0" w:type="auto"/>
            <w:shd w:val="clear" w:color="auto" w:fill="auto"/>
            <w:noWrap/>
            <w:vAlign w:val="center"/>
          </w:tcPr>
          <w:p w14:paraId="421C9680">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28.9</w:t>
            </w:r>
          </w:p>
        </w:tc>
        <w:tc>
          <w:tcPr>
            <w:tcW w:w="921" w:type="dxa"/>
            <w:shd w:val="clear" w:color="auto" w:fill="auto"/>
            <w:noWrap/>
            <w:vAlign w:val="center"/>
          </w:tcPr>
          <w:p w14:paraId="36E72EE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r>
    </w:tbl>
    <w:p w14:paraId="3B045884">
      <w:pPr>
        <w:pStyle w:val="4"/>
        <w:sectPr>
          <w:pgSz w:w="16838" w:h="11906" w:orient="landscape"/>
          <w:pgMar w:top="1800" w:right="1440" w:bottom="1800" w:left="1440" w:header="851" w:footer="992" w:gutter="0"/>
          <w:pgNumType w:fmt="decimal"/>
          <w:cols w:space="425" w:num="1"/>
          <w:docGrid w:type="lines" w:linePitch="312" w:charSpace="0"/>
        </w:sectPr>
      </w:pPr>
    </w:p>
    <w:p w14:paraId="2C10AA99"/>
    <w:tbl>
      <w:tblPr>
        <w:tblStyle w:val="17"/>
        <w:tblW w:w="8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7989"/>
      </w:tblGrid>
      <w:tr w14:paraId="680A2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5" w:type="dxa"/>
            <w:noWrap w:val="0"/>
            <w:vAlign w:val="center"/>
          </w:tcPr>
          <w:p w14:paraId="6AD9AF56">
            <w:pPr>
              <w:adjustRightInd w:val="0"/>
              <w:snapToGrid w:val="0"/>
              <w:jc w:val="center"/>
              <w:rPr>
                <w:color w:val="000000"/>
              </w:rPr>
            </w:pPr>
            <w:r>
              <w:rPr>
                <w:rFonts w:ascii="Calibri" w:hAnsi="Calibri" w:eastAsia="Calibri"/>
                <w:color w:val="000000"/>
              </w:rPr>
              <w:t>运营期环境影响和保护措施</w:t>
            </w:r>
          </w:p>
        </w:tc>
        <w:tc>
          <w:tcPr>
            <w:tcW w:w="7989" w:type="dxa"/>
            <w:noWrap w:val="0"/>
            <w:vAlign w:val="top"/>
          </w:tcPr>
          <w:p w14:paraId="67075B42">
            <w:pPr>
              <w:spacing w:line="520" w:lineRule="exact"/>
              <w:ind w:firstLine="482" w:firstLineChars="200"/>
              <w:rPr>
                <w:rFonts w:hint="eastAsia"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en-US" w:eastAsia="zh-CN"/>
              </w:rPr>
              <w:t>为确保项目厂界噪声满足《工业企业厂界环境噪声排放标准》（GB12348-2008）中的</w:t>
            </w:r>
            <w:r>
              <w:rPr>
                <w:rFonts w:hint="eastAsia" w:cs="Times New Roman"/>
                <w:b/>
                <w:bCs/>
                <w:color w:val="000000"/>
                <w:u w:val="single"/>
                <w:lang w:val="en-US" w:eastAsia="zh-CN"/>
              </w:rPr>
              <w:t>3</w:t>
            </w:r>
            <w:r>
              <w:rPr>
                <w:rFonts w:hint="eastAsia" w:ascii="Times New Roman" w:hAnsi="Times New Roman" w:eastAsia="宋体" w:cs="Times New Roman"/>
                <w:b/>
                <w:bCs/>
                <w:color w:val="000000"/>
                <w:u w:val="single"/>
                <w:lang w:val="en-US" w:eastAsia="zh-CN"/>
              </w:rPr>
              <w:t>类标准限值要求，本评价建议建设单位应采取以下噪声防治措施：</w:t>
            </w:r>
          </w:p>
          <w:p w14:paraId="5E5D1D51">
            <w:pPr>
              <w:spacing w:line="520" w:lineRule="exact"/>
              <w:ind w:firstLine="482" w:firstLineChars="200"/>
              <w:rPr>
                <w:rFonts w:hint="eastAsia"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en-US" w:eastAsia="zh-CN"/>
              </w:rPr>
              <w:t>①设备选用。在满足工艺生产条件下，选用加工精度高、装备质量好、低噪声设备，并根据设备噪声、振动的产生机理，合理采取各种针对的降噪技术，如在安装时采取台基减振、橡胶减振接头以及减振垫等措施；</w:t>
            </w:r>
          </w:p>
          <w:p w14:paraId="5E3FF498">
            <w:pPr>
              <w:spacing w:line="520" w:lineRule="exact"/>
              <w:ind w:firstLine="482" w:firstLineChars="200"/>
              <w:rPr>
                <w:rFonts w:hint="eastAsia"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en-US" w:eastAsia="zh-CN"/>
              </w:rPr>
              <w:t>②合理布置产噪设备。建设单位在布设生产设备时，要将高噪声设备远离周围敏感点，有效利用距离衰减使厂界噪声能够达标排放；</w:t>
            </w:r>
          </w:p>
          <w:p w14:paraId="68159CFE">
            <w:pPr>
              <w:spacing w:line="520" w:lineRule="exact"/>
              <w:ind w:firstLine="482" w:firstLineChars="200"/>
              <w:rPr>
                <w:rFonts w:hint="eastAsia"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en-US" w:eastAsia="zh-CN"/>
              </w:rPr>
              <w:t>③应定期对生产设备进行维修检查，确保正常运转，建立设备维护、保养的管理制度，减少设备因故障引起的高噪音；</w:t>
            </w:r>
          </w:p>
          <w:p w14:paraId="1253B41C">
            <w:pPr>
              <w:spacing w:line="520" w:lineRule="exact"/>
              <w:ind w:firstLine="482" w:firstLineChars="200"/>
              <w:rPr>
                <w:rFonts w:hint="eastAsia"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en-US" w:eastAsia="zh-CN"/>
              </w:rPr>
              <w:t>④加强生产车间门、窗的密闭性，以增加对生产设备产生噪声的隔音作用，减少对周围敏感点的影响；</w:t>
            </w:r>
          </w:p>
          <w:p w14:paraId="3378B3AF">
            <w:pPr>
              <w:spacing w:line="520" w:lineRule="exact"/>
              <w:ind w:firstLine="482" w:firstLineChars="200"/>
              <w:rPr>
                <w:rFonts w:hint="eastAsia"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en-US" w:eastAsia="zh-CN"/>
              </w:rPr>
              <w:t>⑤项目采用低噪声风机，建议加装隔声罩，风机出风口安装消声器等降噪措施；</w:t>
            </w:r>
          </w:p>
          <w:p w14:paraId="1622C9FF">
            <w:pPr>
              <w:spacing w:line="520" w:lineRule="exact"/>
              <w:ind w:firstLine="482" w:firstLineChars="200"/>
              <w:rPr>
                <w:rFonts w:hint="eastAsia"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en-US" w:eastAsia="zh-CN"/>
              </w:rPr>
              <w:t>⑥应合理安排生产时间，夜间不进行生产，尽量减少高噪声设备同时运转；</w:t>
            </w:r>
          </w:p>
          <w:p w14:paraId="35417215">
            <w:pPr>
              <w:spacing w:line="520" w:lineRule="exact"/>
              <w:ind w:firstLine="482" w:firstLineChars="200"/>
              <w:rPr>
                <w:rFonts w:hint="eastAsia" w:ascii="Times New Roman" w:hAnsi="Times New Roman" w:eastAsia="宋体" w:cs="Times New Roman"/>
                <w:b/>
                <w:bCs/>
                <w:color w:val="000000"/>
                <w:u w:val="single"/>
                <w:lang w:val="en-US" w:eastAsia="zh-CN"/>
              </w:rPr>
            </w:pPr>
            <w:r>
              <w:rPr>
                <w:rFonts w:hint="eastAsia" w:ascii="Times New Roman" w:hAnsi="Times New Roman" w:eastAsia="宋体" w:cs="Times New Roman"/>
                <w:b/>
                <w:bCs/>
                <w:color w:val="000000"/>
                <w:u w:val="single"/>
                <w:lang w:val="en-US" w:eastAsia="zh-CN"/>
              </w:rPr>
              <w:t>⑦加强职工环保意识教育，提倡文明生产，防止人为噪声。</w:t>
            </w:r>
          </w:p>
          <w:p w14:paraId="60579E5A">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3.2 声环境影响预测和评价</w:t>
            </w:r>
          </w:p>
          <w:p w14:paraId="0B076806">
            <w:pPr>
              <w:spacing w:line="520" w:lineRule="exact"/>
              <w:ind w:firstLine="482" w:firstLineChars="200"/>
              <w:rPr>
                <w:rFonts w:hint="eastAsia"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（1） 预测模型</w:t>
            </w:r>
          </w:p>
          <w:p w14:paraId="3E2B87FF">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根据《环境影响评价技术导则 声环境》（HJ2.4-2021）导则要求，本评价按照附录B给出的预测方法进行预测，具体如下所示：</w:t>
            </w:r>
          </w:p>
          <w:p w14:paraId="04F672CA">
            <w:pPr>
              <w:spacing w:line="520" w:lineRule="exact"/>
              <w:ind w:firstLine="482"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b/>
                <w:bCs/>
                <w:color w:val="000000"/>
                <w:lang w:val="en-US" w:eastAsia="zh-CN"/>
              </w:rPr>
              <w:t>①室内声源等效室外声源声功率级计算方法</w:t>
            </w:r>
          </w:p>
          <w:p w14:paraId="06A35E48">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设靠近开口处（或窗户）室内、室外某倍频带的声压级或A声级分别为Lp1和Lp2。若声源所在室内声场为近似扩散声场，则室外的倍频带声压级可按下式近似求出：</w:t>
            </w:r>
          </w:p>
          <w:p w14:paraId="031D161A">
            <w:pPr>
              <w:spacing w:line="520" w:lineRule="exact"/>
              <w:ind w:firstLine="480" w:firstLineChars="200"/>
              <w:jc w:val="center"/>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object>
                <v:shape id="_x0000_i1025" o:spt="75" type="#_x0000_t75" style="height:17.35pt;width:87.65pt;" o:ole="t" filled="f" o:preferrelative="t" stroked="f" coordsize="21600,21600">
                  <v:path/>
                  <v:fill on="f" focussize="0,0"/>
                  <v:stroke on="f"/>
                  <v:imagedata r:id="rId17" o:title=""/>
                  <o:lock v:ext="edit" aspectratio="t"/>
                  <w10:wrap type="none"/>
                  <w10:anchorlock/>
                </v:shape>
                <o:OLEObject Type="Embed" ProgID="Equation.KSEE3" ShapeID="_x0000_i1025" DrawAspect="Content" ObjectID="_1468075725" r:id="rId16">
                  <o:LockedField>false</o:LockedField>
                </o:OLEObject>
              </w:object>
            </w:r>
          </w:p>
          <w:p w14:paraId="6BB6A2D7">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式中：Lp1—靠近开口处（或窗户）室内某倍频带的声压级或A声级，dB；</w:t>
            </w:r>
          </w:p>
          <w:p w14:paraId="140333F6">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Lp2—靠近开口处（或窗户）室外某倍频带的声压级或A声级，dB；</w:t>
            </w:r>
          </w:p>
          <w:p w14:paraId="75E14A39">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TL—隔墙（或窗户）倍频带或A声级的隔声量，dB。</w:t>
            </w:r>
          </w:p>
          <w:p w14:paraId="0803162A">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按下式计算某一室内声源靠近围护结构处产生的倍频带声压级或A声级：</w:t>
            </w:r>
          </w:p>
          <w:p w14:paraId="5020478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object>
                <v:shape id="_x0000_i1026" o:spt="75" type="#_x0000_t75" style="height:36.65pt;width:124.6pt;" o:ole="t" filled="f" o:preferrelative="t" stroked="f" coordsize="21600,21600">
                  <v:path/>
                  <v:fill on="f" focussize="0,0"/>
                  <v:stroke on="f"/>
                  <v:imagedata r:id="rId19" o:title=""/>
                  <o:lock v:ext="edit" aspectratio="t"/>
                  <w10:wrap type="none"/>
                  <w10:anchorlock/>
                </v:shape>
                <o:OLEObject Type="Embed" ProgID="Equation.KSEE3" ShapeID="_x0000_i1026" DrawAspect="Content" ObjectID="_1468075726" r:id="rId18">
                  <o:LockedField>false</o:LockedField>
                </o:OLEObject>
              </w:object>
            </w:r>
          </w:p>
          <w:p w14:paraId="4E3628AB">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式中：Lp1—靠近开口处（或窗户）室内某倍频带的声压级或A声级，dB；</w:t>
            </w:r>
          </w:p>
          <w:p w14:paraId="39C5017F">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Lw—点声源声功率级（A计权或倍频带），dB；</w:t>
            </w:r>
          </w:p>
          <w:p w14:paraId="37741902">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Q—指向性因数；通常对无指向性声源，当声源放在房间中心时，Q=1；当放在一面墙的中心时，Q=2；当放在两面墙夹角处时，Q=4；当放在三面墙夹角处时，Q=8；</w:t>
            </w:r>
          </w:p>
          <w:p w14:paraId="76FCAC79">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R—房间常数；，S为房间内表面面积，m；为平均吸声系数；</w:t>
            </w:r>
          </w:p>
          <w:p w14:paraId="7542E782">
            <w:pPr>
              <w:spacing w:line="520" w:lineRule="exact"/>
              <w:ind w:firstLine="482" w:firstLineChars="200"/>
              <w:rPr>
                <w:rFonts w:hint="eastAsia"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②室外声源在预测点产生的声级计算模型</w:t>
            </w:r>
          </w:p>
          <w:p w14:paraId="7519DD22">
            <w:pPr>
              <w:jc w:val="center"/>
              <w:rPr>
                <w:rFonts w:hint="eastAsia"/>
              </w:rPr>
            </w:pPr>
            <w:r>
              <w:rPr>
                <w:rFonts w:hint="eastAsia"/>
                <w:position w:val="-14"/>
              </w:rPr>
              <w:object>
                <v:shape id="_x0000_i1027" o:spt="75" type="#_x0000_t75" style="height:19pt;width:240.95pt;" o:ole="t" filled="f" o:preferrelative="t" stroked="f" coordsize="21600,21600">
                  <v:path/>
                  <v:fill on="f" focussize="0,0"/>
                  <v:stroke on="f"/>
                  <v:imagedata r:id="rId21" o:title=""/>
                  <o:lock v:ext="edit" aspectratio="t"/>
                  <w10:wrap type="none"/>
                  <w10:anchorlock/>
                </v:shape>
                <o:OLEObject Type="Embed" ProgID="Equation.KSEE3" ShapeID="_x0000_i1027" DrawAspect="Content" ObjectID="_1468075727" r:id="rId20">
                  <o:LockedField>false</o:LockedField>
                </o:OLEObject>
              </w:object>
            </w:r>
          </w:p>
          <w:p w14:paraId="2210DB55">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式中：Lp(r)—预测点处声压级，dB；</w:t>
            </w:r>
          </w:p>
          <w:p w14:paraId="586A925D">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Lp(r0)—参考位置r0处的声压级，dB；</w:t>
            </w:r>
          </w:p>
          <w:p w14:paraId="69F0EBCB">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DC—指向性校正，它描述点声源的等效连续声压级与产生声功率级Lw的全向点声源在规定方向的声级的偏差程度，dB；</w:t>
            </w:r>
          </w:p>
          <w:p w14:paraId="1F6F108B">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Adiv —几何发散引起的衰减，dB；</w:t>
            </w:r>
          </w:p>
          <w:p w14:paraId="53E3BF02">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Aatm—大气吸收引起的衰减，dB；</w:t>
            </w:r>
          </w:p>
          <w:p w14:paraId="002FB84B">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Agr—地面效应引起的衰减，dB；</w:t>
            </w:r>
          </w:p>
          <w:p w14:paraId="4D05096D">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Abar—障碍物屏蔽引起的衰减，dB；</w:t>
            </w:r>
          </w:p>
          <w:p w14:paraId="46D453E8">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Amisc—其他多方面效应引起的衰减，dB。</w:t>
            </w:r>
          </w:p>
          <w:p w14:paraId="63F42CE1">
            <w:pPr>
              <w:spacing w:line="520" w:lineRule="exact"/>
              <w:ind w:firstLine="482" w:firstLineChars="200"/>
              <w:rPr>
                <w:rFonts w:hint="eastAsia"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③点声源的几何发散衰减：</w:t>
            </w:r>
          </w:p>
          <w:p w14:paraId="420B9AB3">
            <w:pPr>
              <w:spacing w:line="520" w:lineRule="exact"/>
              <w:ind w:firstLine="480" w:firstLineChars="200"/>
              <w:jc w:val="center"/>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zh-CN" w:eastAsia="zh-CN"/>
              </w:rPr>
              <w:object>
                <v:shape id="_x0000_i1028" o:spt="75" type="#_x0000_t75" style="height:19pt;width:134pt;" o:ole="t" filled="f" o:preferrelative="t" stroked="f" coordsize="21600,21600">
                  <v:path/>
                  <v:fill on="f" focussize="0,0"/>
                  <v:stroke on="f"/>
                  <v:imagedata r:id="rId23" o:title=""/>
                  <o:lock v:ext="edit" aspectratio="t"/>
                  <w10:wrap type="none"/>
                  <w10:anchorlock/>
                </v:shape>
                <o:OLEObject Type="Embed" ProgID="Equation.KSEE3" ShapeID="_x0000_i1028" DrawAspect="Content" ObjectID="_1468075728" r:id="rId22">
                  <o:LockedField>false</o:LockedField>
                </o:OLEObject>
              </w:object>
            </w:r>
          </w:p>
          <w:p w14:paraId="4FE3DDE8">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式中：Lp(r)—预测点处声压级，dB；</w:t>
            </w:r>
          </w:p>
          <w:p w14:paraId="25B5A890">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Lp(r0)—参考位置r0处的声压级，dB；</w:t>
            </w:r>
          </w:p>
          <w:p w14:paraId="25D3853B">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r—预测点距声源的距离；</w:t>
            </w:r>
          </w:p>
          <w:p w14:paraId="0D9ECE50">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r0—参照位置距声源的距离。</w:t>
            </w:r>
          </w:p>
          <w:p w14:paraId="2ADC8146">
            <w:pPr>
              <w:spacing w:line="520" w:lineRule="exact"/>
              <w:ind w:firstLine="482" w:firstLineChars="200"/>
              <w:rPr>
                <w:rFonts w:hint="eastAsia"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④工业企业噪声计算：</w:t>
            </w:r>
          </w:p>
          <w:p w14:paraId="4C26D1CB">
            <w:pPr>
              <w:spacing w:line="520" w:lineRule="exact"/>
              <w:ind w:firstLine="480" w:firstLineChars="200"/>
              <w:rPr>
                <w:rFonts w:hint="eastAsia"/>
                <w:lang w:val="en-US" w:eastAsia="zh-CN"/>
              </w:rPr>
            </w:pPr>
            <w:r>
              <w:rPr>
                <w:rFonts w:hint="eastAsia" w:ascii="Times New Roman" w:hAnsi="Times New Roman" w:eastAsia="宋体" w:cs="Times New Roman"/>
                <w:color w:val="000000"/>
                <w:lang w:val="en-US" w:eastAsia="zh-CN"/>
              </w:rPr>
              <w:t>设第i个室外声源在预测点产生的A声级为LAi，在T时间内该声源工作时间为ti；第j个等效室外声源在预测点产生的A声级为LAj，在T时间内该声源工作时间为tj，则拟建工程声源对预测点产生的贡献值（Leqg）为：</w:t>
            </w:r>
          </w:p>
          <w:p w14:paraId="7542109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position w:val="-34"/>
                <w:lang w:val="en-US" w:eastAsia="zh-CN"/>
              </w:rPr>
              <w:object>
                <v:shape id="_x0000_i1029" o:spt="75" type="#_x0000_t75" style="height:37.1pt;width:190.05pt;" o:ole="t" filled="f" o:preferrelative="t" stroked="f" coordsize="21600,21600">
                  <v:path/>
                  <v:fill on="f" focussize="0,0"/>
                  <v:stroke on="f"/>
                  <v:imagedata r:id="rId25" o:title=""/>
                  <o:lock v:ext="edit" aspectratio="t"/>
                  <w10:wrap type="none"/>
                  <w10:anchorlock/>
                </v:shape>
                <o:OLEObject Type="Embed" ProgID="Equation.KSEE3" ShapeID="_x0000_i1029" DrawAspect="Content" ObjectID="_1468075729" r:id="rId24">
                  <o:LockedField>false</o:LockedField>
                </o:OLEObject>
              </w:object>
            </w:r>
          </w:p>
          <w:p w14:paraId="68FD1446">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式中：Leqg—建设项目声源在预测点的等效声级贡献值，dB（A）；</w:t>
            </w:r>
          </w:p>
          <w:p w14:paraId="6242115F">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T—用于计算等效声级的时间，s；</w:t>
            </w:r>
          </w:p>
          <w:p w14:paraId="112A6BF5">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N—室外声源个数；</w:t>
            </w:r>
          </w:p>
          <w:p w14:paraId="681D4A09">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ti—在T时间内i声源工作时间，s；</w:t>
            </w:r>
          </w:p>
          <w:p w14:paraId="4C5A6222">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M—等效室外声源个数；</w:t>
            </w:r>
          </w:p>
          <w:p w14:paraId="65D52AB0">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tj—在T时间内j声源工作时间，s；</w:t>
            </w:r>
          </w:p>
          <w:p w14:paraId="6708F241">
            <w:pPr>
              <w:spacing w:line="520" w:lineRule="exact"/>
              <w:ind w:firstLine="482" w:firstLineChars="200"/>
              <w:rPr>
                <w:rFonts w:hint="eastAsia"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（2） 预测结果及评价</w:t>
            </w:r>
          </w:p>
          <w:p w14:paraId="7851D931">
            <w:pPr>
              <w:spacing w:line="520" w:lineRule="exact"/>
              <w:ind w:firstLine="480" w:firstLineChars="200"/>
              <w:rPr>
                <w:rFonts w:hint="eastAsia" w:ascii="Times New Roman" w:hAnsi="Times New Roman" w:eastAsia="宋体" w:cs="Times New Roman"/>
                <w:color w:val="000000"/>
                <w:lang w:val="en-US" w:eastAsia="zh-CN"/>
              </w:rPr>
            </w:pPr>
            <w:r>
              <w:rPr>
                <w:rFonts w:hint="eastAsia" w:ascii="Times New Roman" w:hAnsi="Times New Roman" w:eastAsia="宋体" w:cs="Times New Roman"/>
                <w:color w:val="000000"/>
                <w:lang w:val="en-US" w:eastAsia="zh-CN"/>
              </w:rPr>
              <w:t>《工业企业厂界环境噪声排放标准》（GB12348-2008）规定：“昼间”是指 6：00至 22：00 之间的时段，“夜间”是指 22：00 至次日 6：00 之间的时段。本项目每天 3班，每班 8 h。本次评价按照噪声预测模式及源强参数，结合噪声源到各预测点距离，预测计算厂区噪声对厂界的贡献值见表 4-</w:t>
            </w:r>
            <w:r>
              <w:rPr>
                <w:rFonts w:hint="eastAsia" w:cs="Times New Roman"/>
                <w:color w:val="000000"/>
                <w:lang w:val="en-US" w:eastAsia="zh-CN"/>
              </w:rPr>
              <w:t>14</w:t>
            </w:r>
            <w:r>
              <w:rPr>
                <w:rFonts w:hint="eastAsia" w:ascii="Times New Roman" w:hAnsi="Times New Roman" w:eastAsia="宋体" w:cs="Times New Roman"/>
                <w:color w:val="000000"/>
                <w:lang w:val="en-US" w:eastAsia="zh-CN"/>
              </w:rPr>
              <w:t>。</w:t>
            </w:r>
          </w:p>
          <w:p w14:paraId="5006ABAE">
            <w:pPr>
              <w:spacing w:line="520" w:lineRule="exact"/>
              <w:ind w:firstLine="480" w:firstLineChars="200"/>
              <w:rPr>
                <w:rFonts w:hint="eastAsia" w:ascii="Times New Roman" w:hAnsi="Times New Roman" w:eastAsia="宋体" w:cs="Times New Roman"/>
                <w:color w:val="000000"/>
                <w:lang w:val="en-US" w:eastAsia="zh-CN"/>
              </w:rPr>
            </w:pPr>
          </w:p>
          <w:p w14:paraId="6A899A51">
            <w:pPr>
              <w:spacing w:line="520" w:lineRule="exact"/>
              <w:ind w:firstLine="480" w:firstLineChars="200"/>
              <w:rPr>
                <w:rFonts w:hint="eastAsia" w:ascii="Times New Roman" w:hAnsi="Times New Roman" w:eastAsia="宋体" w:cs="Times New Roman"/>
                <w:color w:val="000000"/>
                <w:lang w:val="en-US" w:eastAsia="zh-CN"/>
              </w:rPr>
            </w:pPr>
          </w:p>
          <w:p w14:paraId="0EA2C52A">
            <w:pPr>
              <w:pageBreakBefore/>
              <w:spacing w:line="360" w:lineRule="auto"/>
              <w:ind w:firstLine="498"/>
              <w:jc w:val="center"/>
              <w:rPr>
                <w:b/>
                <w:bCs/>
                <w:spacing w:val="4"/>
                <w:highlight w:val="yellow"/>
              </w:rPr>
            </w:pPr>
            <w:r>
              <w:rPr>
                <w:b/>
                <w:bCs/>
                <w:spacing w:val="4"/>
                <w:highlight w:val="none"/>
              </w:rPr>
              <w:t>表</w:t>
            </w:r>
            <w:r>
              <w:rPr>
                <w:rFonts w:hint="eastAsia"/>
                <w:b/>
                <w:bCs/>
                <w:spacing w:val="4"/>
                <w:highlight w:val="none"/>
                <w:lang w:val="en-US" w:eastAsia="zh-CN"/>
              </w:rPr>
              <w:t>4-14</w:t>
            </w:r>
            <w:r>
              <w:rPr>
                <w:b/>
                <w:bCs/>
                <w:spacing w:val="4"/>
                <w:highlight w:val="none"/>
              </w:rPr>
              <w:t xml:space="preserve"> </w:t>
            </w:r>
            <w:r>
              <w:rPr>
                <w:rFonts w:hint="eastAsia"/>
                <w:b/>
                <w:bCs/>
                <w:spacing w:val="4"/>
                <w:highlight w:val="none"/>
              </w:rPr>
              <w:t>项目厂界噪声预测结果与达标分析表</w:t>
            </w:r>
          </w:p>
          <w:tbl>
            <w:tblPr>
              <w:tblStyle w:val="17"/>
              <w:tblW w:w="7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928"/>
              <w:gridCol w:w="2520"/>
              <w:gridCol w:w="1155"/>
              <w:gridCol w:w="825"/>
            </w:tblGrid>
            <w:tr w14:paraId="74708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551308B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序号</w:t>
                  </w:r>
                </w:p>
              </w:tc>
              <w:tc>
                <w:tcPr>
                  <w:tcW w:w="1928" w:type="dxa"/>
                  <w:vAlign w:val="center"/>
                </w:tcPr>
                <w:p w14:paraId="7E3B36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预测方位</w:t>
                  </w:r>
                </w:p>
              </w:tc>
              <w:tc>
                <w:tcPr>
                  <w:tcW w:w="2520" w:type="dxa"/>
                  <w:vAlign w:val="center"/>
                </w:tcPr>
                <w:p w14:paraId="559D89C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噪声贡献值</w:t>
                  </w:r>
                  <w:r>
                    <w:rPr>
                      <w:rFonts w:hint="eastAsia" w:ascii="宋体" w:hAnsi="宋体" w:eastAsia="宋体" w:cs="宋体"/>
                      <w:b/>
                      <w:bCs/>
                      <w:i w:val="0"/>
                      <w:iCs w:val="0"/>
                      <w:color w:val="000000"/>
                      <w:kern w:val="0"/>
                      <w:sz w:val="21"/>
                      <w:szCs w:val="21"/>
                      <w:u w:val="single"/>
                      <w:lang w:val="en-US" w:eastAsia="zh-CN" w:bidi="ar"/>
                    </w:rPr>
                    <w:t>/dB（A）</w:t>
                  </w:r>
                </w:p>
              </w:tc>
              <w:tc>
                <w:tcPr>
                  <w:tcW w:w="1155" w:type="dxa"/>
                  <w:vAlign w:val="center"/>
                </w:tcPr>
                <w:p w14:paraId="35C4BB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标准</w:t>
                  </w:r>
                </w:p>
              </w:tc>
              <w:tc>
                <w:tcPr>
                  <w:tcW w:w="825" w:type="dxa"/>
                  <w:vAlign w:val="center"/>
                </w:tcPr>
                <w:p w14:paraId="132E1DE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达标情况</w:t>
                  </w:r>
                </w:p>
              </w:tc>
            </w:tr>
            <w:tr w14:paraId="36CA7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4F18FD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1</w:t>
                  </w:r>
                </w:p>
              </w:tc>
              <w:tc>
                <w:tcPr>
                  <w:tcW w:w="1928" w:type="dxa"/>
                  <w:vAlign w:val="center"/>
                </w:tcPr>
                <w:p w14:paraId="779252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东厂界</w:t>
                  </w:r>
                </w:p>
              </w:tc>
              <w:tc>
                <w:tcPr>
                  <w:tcW w:w="2520" w:type="dxa"/>
                  <w:vAlign w:val="center"/>
                </w:tcPr>
                <w:p w14:paraId="592620E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43.8</w:t>
                  </w:r>
                </w:p>
              </w:tc>
              <w:tc>
                <w:tcPr>
                  <w:tcW w:w="1155" w:type="dxa"/>
                  <w:vMerge w:val="restart"/>
                  <w:vAlign w:val="center"/>
                </w:tcPr>
                <w:p w14:paraId="71FC746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6</w:t>
                  </w:r>
                  <w:r>
                    <w:rPr>
                      <w:rFonts w:hint="eastAsia" w:cs="Times New Roman"/>
                      <w:b/>
                      <w:bCs/>
                      <w:color w:val="000000"/>
                      <w:kern w:val="2"/>
                      <w:sz w:val="21"/>
                      <w:szCs w:val="21"/>
                      <w:u w:val="single"/>
                      <w:lang w:val="en-US" w:eastAsia="zh-CN" w:bidi="ar-SA"/>
                    </w:rPr>
                    <w:t>5</w:t>
                  </w:r>
                  <w:r>
                    <w:rPr>
                      <w:rFonts w:hint="eastAsia" w:ascii="Times New Roman" w:hAnsi="Times New Roman" w:eastAsia="宋体" w:cs="Times New Roman"/>
                      <w:b/>
                      <w:bCs/>
                      <w:color w:val="000000"/>
                      <w:kern w:val="2"/>
                      <w:sz w:val="21"/>
                      <w:szCs w:val="21"/>
                      <w:u w:val="single"/>
                      <w:lang w:val="en-US" w:eastAsia="zh-CN" w:bidi="ar-SA"/>
                    </w:rPr>
                    <w:t>/5</w:t>
                  </w:r>
                  <w:r>
                    <w:rPr>
                      <w:rFonts w:hint="eastAsia" w:cs="Times New Roman"/>
                      <w:b/>
                      <w:bCs/>
                      <w:color w:val="000000"/>
                      <w:kern w:val="2"/>
                      <w:sz w:val="21"/>
                      <w:szCs w:val="21"/>
                      <w:u w:val="single"/>
                      <w:lang w:val="en-US" w:eastAsia="zh-CN" w:bidi="ar-SA"/>
                    </w:rPr>
                    <w:t>5</w:t>
                  </w:r>
                </w:p>
              </w:tc>
              <w:tc>
                <w:tcPr>
                  <w:tcW w:w="825" w:type="dxa"/>
                  <w:vAlign w:val="center"/>
                </w:tcPr>
                <w:p w14:paraId="224098C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达标</w:t>
                  </w:r>
                </w:p>
              </w:tc>
            </w:tr>
            <w:tr w14:paraId="3A51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7DC12E8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w:t>
                  </w:r>
                </w:p>
              </w:tc>
              <w:tc>
                <w:tcPr>
                  <w:tcW w:w="1928" w:type="dxa"/>
                  <w:vAlign w:val="center"/>
                </w:tcPr>
                <w:p w14:paraId="233AAE3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西厂界</w:t>
                  </w:r>
                </w:p>
              </w:tc>
              <w:tc>
                <w:tcPr>
                  <w:tcW w:w="2520" w:type="dxa"/>
                  <w:vAlign w:val="center"/>
                </w:tcPr>
                <w:p w14:paraId="6BE911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21.1</w:t>
                  </w:r>
                </w:p>
              </w:tc>
              <w:tc>
                <w:tcPr>
                  <w:tcW w:w="1155" w:type="dxa"/>
                  <w:vMerge w:val="continue"/>
                  <w:vAlign w:val="center"/>
                </w:tcPr>
                <w:p w14:paraId="0E2C82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825" w:type="dxa"/>
                  <w:vAlign w:val="center"/>
                </w:tcPr>
                <w:p w14:paraId="79032B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达标</w:t>
                  </w:r>
                </w:p>
              </w:tc>
            </w:tr>
            <w:tr w14:paraId="2B59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6C8F84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3</w:t>
                  </w:r>
                </w:p>
              </w:tc>
              <w:tc>
                <w:tcPr>
                  <w:tcW w:w="1928" w:type="dxa"/>
                  <w:vAlign w:val="center"/>
                </w:tcPr>
                <w:p w14:paraId="008ED86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南厂界</w:t>
                  </w:r>
                </w:p>
              </w:tc>
              <w:tc>
                <w:tcPr>
                  <w:tcW w:w="2520" w:type="dxa"/>
                  <w:vAlign w:val="center"/>
                </w:tcPr>
                <w:p w14:paraId="4618DA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48.3</w:t>
                  </w:r>
                </w:p>
              </w:tc>
              <w:tc>
                <w:tcPr>
                  <w:tcW w:w="1155" w:type="dxa"/>
                  <w:vMerge w:val="continue"/>
                  <w:vAlign w:val="center"/>
                </w:tcPr>
                <w:p w14:paraId="54C2744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825" w:type="dxa"/>
                  <w:vAlign w:val="center"/>
                </w:tcPr>
                <w:p w14:paraId="00F2D8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达标</w:t>
                  </w:r>
                </w:p>
              </w:tc>
            </w:tr>
            <w:tr w14:paraId="1CDF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 w:type="dxa"/>
                  <w:vAlign w:val="center"/>
                </w:tcPr>
                <w:p w14:paraId="5B662D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4</w:t>
                  </w:r>
                </w:p>
              </w:tc>
              <w:tc>
                <w:tcPr>
                  <w:tcW w:w="1928" w:type="dxa"/>
                  <w:vAlign w:val="center"/>
                </w:tcPr>
                <w:p w14:paraId="009F52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北厂界</w:t>
                  </w:r>
                </w:p>
              </w:tc>
              <w:tc>
                <w:tcPr>
                  <w:tcW w:w="2520" w:type="dxa"/>
                  <w:vAlign w:val="center"/>
                </w:tcPr>
                <w:p w14:paraId="1B1F1EF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47.7</w:t>
                  </w:r>
                </w:p>
              </w:tc>
              <w:tc>
                <w:tcPr>
                  <w:tcW w:w="1155" w:type="dxa"/>
                  <w:vMerge w:val="continue"/>
                  <w:vAlign w:val="center"/>
                </w:tcPr>
                <w:p w14:paraId="258E2D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p>
              </w:tc>
              <w:tc>
                <w:tcPr>
                  <w:tcW w:w="825" w:type="dxa"/>
                  <w:vAlign w:val="center"/>
                </w:tcPr>
                <w:p w14:paraId="1E1FE7A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达标</w:t>
                  </w:r>
                </w:p>
              </w:tc>
            </w:tr>
          </w:tbl>
          <w:p w14:paraId="0F6038BF">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 xml:space="preserve">由上表可知，本项目投产后，正常运行过程中厂界噪声满足《工业企业厂界环境噪声排放标准》（GB12348-2008）表1中的 </w:t>
            </w:r>
            <w:r>
              <w:rPr>
                <w:rFonts w:hint="eastAsia"/>
                <w:color w:val="000000"/>
                <w:lang w:val="en-US" w:eastAsia="zh-CN"/>
              </w:rPr>
              <w:t>3</w:t>
            </w:r>
            <w:r>
              <w:rPr>
                <w:rFonts w:hint="eastAsia" w:ascii="Times New Roman" w:hAnsi="Times New Roman" w:eastAsia="宋体"/>
                <w:color w:val="000000"/>
                <w:lang w:val="en-US" w:eastAsia="zh-CN"/>
              </w:rPr>
              <w:t xml:space="preserve"> 类功能区限值要求（昼间 6</w:t>
            </w:r>
            <w:r>
              <w:rPr>
                <w:rFonts w:hint="eastAsia"/>
                <w:color w:val="000000"/>
                <w:lang w:val="en-US" w:eastAsia="zh-CN"/>
              </w:rPr>
              <w:t>5</w:t>
            </w:r>
            <w:r>
              <w:rPr>
                <w:rFonts w:hint="eastAsia" w:ascii="Times New Roman" w:hAnsi="Times New Roman" w:eastAsia="宋体"/>
                <w:color w:val="000000"/>
                <w:lang w:val="en-US" w:eastAsia="zh-CN"/>
              </w:rPr>
              <w:t xml:space="preserve"> dB（A），夜间 </w:t>
            </w:r>
            <w:r>
              <w:rPr>
                <w:rFonts w:hint="eastAsia"/>
                <w:color w:val="000000"/>
                <w:lang w:val="en-US" w:eastAsia="zh-CN"/>
              </w:rPr>
              <w:t>55</w:t>
            </w:r>
            <w:r>
              <w:rPr>
                <w:rFonts w:hint="eastAsia" w:ascii="Times New Roman" w:hAnsi="Times New Roman" w:eastAsia="宋体"/>
                <w:color w:val="000000"/>
                <w:lang w:val="en-US" w:eastAsia="zh-CN"/>
              </w:rPr>
              <w:t>dB（A））。建议企业选用吸声性能好的墙面材料，降低噪声对周围环境的影响。项目周边最近环境敏感点距离为 750m，噪声不会对周围环境产生明显的不利影响。</w:t>
            </w:r>
          </w:p>
          <w:p w14:paraId="08F81508">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eastAsia" w:ascii="Times New Roman" w:hAnsi="Times New Roman" w:eastAsia="宋体" w:cs="Times New Roman"/>
                <w:b/>
                <w:bCs/>
                <w:color w:val="000000"/>
                <w:lang w:val="en-US" w:eastAsia="zh-CN" w:bidi="zh-CN"/>
              </w:rPr>
              <w:t>3.3 噪声监测计划</w:t>
            </w:r>
          </w:p>
          <w:p w14:paraId="5210ABEE">
            <w:pPr>
              <w:pStyle w:val="4"/>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表4-</w:t>
            </w:r>
            <w:r>
              <w:rPr>
                <w:rFonts w:hint="eastAsia" w:eastAsia="宋体" w:cs="Times New Roman"/>
                <w:b/>
                <w:bCs/>
                <w:kern w:val="2"/>
                <w:sz w:val="21"/>
                <w:szCs w:val="21"/>
                <w:lang w:val="en-US" w:eastAsia="zh-CN" w:bidi="ar-SA"/>
              </w:rPr>
              <w:t>15</w:t>
            </w:r>
            <w:r>
              <w:rPr>
                <w:rFonts w:hint="eastAsia" w:ascii="Times New Roman" w:hAnsi="Times New Roman" w:eastAsia="宋体" w:cs="Times New Roman"/>
                <w:b/>
                <w:bCs/>
                <w:kern w:val="2"/>
                <w:sz w:val="21"/>
                <w:szCs w:val="21"/>
                <w:lang w:val="en-US" w:eastAsia="zh-CN" w:bidi="ar-SA"/>
              </w:rPr>
              <w:t xml:space="preserve"> 本项目噪声监测计划一览表</w:t>
            </w:r>
          </w:p>
          <w:tbl>
            <w:tblPr>
              <w:tblStyle w:val="16"/>
              <w:tblW w:w="76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85" w:type="dxa"/>
                <w:left w:w="108" w:type="dxa"/>
                <w:bottom w:w="85" w:type="dxa"/>
                <w:right w:w="108" w:type="dxa"/>
              </w:tblCellMar>
            </w:tblPr>
            <w:tblGrid>
              <w:gridCol w:w="661"/>
              <w:gridCol w:w="1213"/>
              <w:gridCol w:w="1275"/>
              <w:gridCol w:w="1100"/>
              <w:gridCol w:w="1400"/>
              <w:gridCol w:w="1952"/>
            </w:tblGrid>
            <w:tr w14:paraId="0EB40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40" w:hRule="atLeast"/>
              </w:trPr>
              <w:tc>
                <w:tcPr>
                  <w:tcW w:w="661" w:type="dxa"/>
                  <w:noWrap w:val="0"/>
                  <w:vAlign w:val="center"/>
                </w:tcPr>
                <w:p w14:paraId="4D96811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类别</w:t>
                  </w:r>
                </w:p>
              </w:tc>
              <w:tc>
                <w:tcPr>
                  <w:tcW w:w="1213" w:type="dxa"/>
                  <w:noWrap w:val="0"/>
                  <w:vAlign w:val="center"/>
                </w:tcPr>
                <w:p w14:paraId="6F91DF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监测点位</w:t>
                  </w:r>
                </w:p>
              </w:tc>
              <w:tc>
                <w:tcPr>
                  <w:tcW w:w="1275" w:type="dxa"/>
                  <w:noWrap w:val="0"/>
                  <w:vAlign w:val="center"/>
                </w:tcPr>
                <w:p w14:paraId="10491C2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监测指标</w:t>
                  </w:r>
                </w:p>
              </w:tc>
              <w:tc>
                <w:tcPr>
                  <w:tcW w:w="1100" w:type="dxa"/>
                  <w:noWrap w:val="0"/>
                  <w:vAlign w:val="center"/>
                </w:tcPr>
                <w:p w14:paraId="0D39EF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监测频率</w:t>
                  </w:r>
                </w:p>
              </w:tc>
              <w:tc>
                <w:tcPr>
                  <w:tcW w:w="1400" w:type="dxa"/>
                  <w:noWrap w:val="0"/>
                  <w:vAlign w:val="center"/>
                </w:tcPr>
                <w:p w14:paraId="3666281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监测频率</w:t>
                  </w:r>
                </w:p>
              </w:tc>
              <w:tc>
                <w:tcPr>
                  <w:tcW w:w="1952" w:type="dxa"/>
                  <w:noWrap w:val="0"/>
                  <w:vAlign w:val="center"/>
                </w:tcPr>
                <w:p w14:paraId="79E904B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执行标准</w:t>
                  </w:r>
                </w:p>
              </w:tc>
            </w:tr>
            <w:tr w14:paraId="4DED9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85" w:type="dxa"/>
                  <w:left w:w="108" w:type="dxa"/>
                  <w:bottom w:w="85" w:type="dxa"/>
                  <w:right w:w="108" w:type="dxa"/>
                </w:tblCellMar>
              </w:tblPrEx>
              <w:trPr>
                <w:trHeight w:val="340" w:hRule="atLeast"/>
              </w:trPr>
              <w:tc>
                <w:tcPr>
                  <w:tcW w:w="661" w:type="dxa"/>
                  <w:noWrap w:val="0"/>
                  <w:vAlign w:val="center"/>
                </w:tcPr>
                <w:p w14:paraId="212FD5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噪声</w:t>
                  </w:r>
                </w:p>
              </w:tc>
              <w:tc>
                <w:tcPr>
                  <w:tcW w:w="1213" w:type="dxa"/>
                  <w:noWrap w:val="0"/>
                  <w:vAlign w:val="center"/>
                </w:tcPr>
                <w:p w14:paraId="3A61ED7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东、南、西、北厂界</w:t>
                  </w:r>
                </w:p>
              </w:tc>
              <w:tc>
                <w:tcPr>
                  <w:tcW w:w="1275" w:type="dxa"/>
                  <w:noWrap w:val="0"/>
                  <w:vAlign w:val="center"/>
                </w:tcPr>
                <w:p w14:paraId="04DF77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等效连续A声级</w:t>
                  </w:r>
                </w:p>
              </w:tc>
              <w:tc>
                <w:tcPr>
                  <w:tcW w:w="1100" w:type="dxa"/>
                  <w:noWrap w:val="0"/>
                  <w:vAlign w:val="center"/>
                </w:tcPr>
                <w:p w14:paraId="25C8354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每季度一次</w:t>
                  </w:r>
                </w:p>
              </w:tc>
              <w:tc>
                <w:tcPr>
                  <w:tcW w:w="1400" w:type="dxa"/>
                  <w:noWrap w:val="0"/>
                  <w:vAlign w:val="center"/>
                </w:tcPr>
                <w:p w14:paraId="6F5AF82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每季度一次</w:t>
                  </w:r>
                </w:p>
              </w:tc>
              <w:tc>
                <w:tcPr>
                  <w:tcW w:w="1952" w:type="dxa"/>
                  <w:noWrap w:val="0"/>
                  <w:vAlign w:val="center"/>
                </w:tcPr>
                <w:p w14:paraId="0A5AC7C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《工业企业厂界环境噪声排放标准》（GB12348-2008）表1中</w:t>
                  </w:r>
                  <w:r>
                    <w:rPr>
                      <w:rFonts w:hint="eastAsia" w:cs="Times New Roman"/>
                      <w:b/>
                      <w:bCs/>
                      <w:color w:val="000000"/>
                      <w:kern w:val="2"/>
                      <w:sz w:val="21"/>
                      <w:szCs w:val="21"/>
                      <w:u w:val="single"/>
                      <w:lang w:val="en-US" w:eastAsia="zh-CN" w:bidi="ar-SA"/>
                    </w:rPr>
                    <w:t>3</w:t>
                  </w:r>
                  <w:r>
                    <w:rPr>
                      <w:rFonts w:hint="eastAsia" w:ascii="Times New Roman" w:hAnsi="Times New Roman" w:eastAsia="宋体" w:cs="Times New Roman"/>
                      <w:b/>
                      <w:bCs/>
                      <w:color w:val="000000"/>
                      <w:kern w:val="2"/>
                      <w:sz w:val="21"/>
                      <w:szCs w:val="21"/>
                      <w:u w:val="single"/>
                      <w:lang w:val="en-US" w:eastAsia="zh-CN" w:bidi="ar-SA"/>
                    </w:rPr>
                    <w:t>类标准</w:t>
                  </w:r>
                </w:p>
              </w:tc>
            </w:tr>
          </w:tbl>
          <w:p w14:paraId="47417136">
            <w:pPr>
              <w:pStyle w:val="28"/>
              <w:spacing w:line="520" w:lineRule="exact"/>
              <w:ind w:firstLine="482" w:firstLineChars="200"/>
              <w:jc w:val="left"/>
              <w:rPr>
                <w:rFonts w:hint="eastAsia" w:ascii="Times New Roman" w:hAnsi="Times New Roman" w:eastAsia="宋体" w:cs="Times New Roman"/>
                <w:b/>
                <w:bCs/>
                <w:color w:val="000000"/>
                <w:lang w:val="zh-CN" w:eastAsia="zh-CN" w:bidi="zh-CN"/>
              </w:rPr>
            </w:pPr>
            <w:r>
              <w:rPr>
                <w:rFonts w:hint="eastAsia" w:ascii="Times New Roman" w:hAnsi="Times New Roman" w:eastAsia="宋体" w:cs="Times New Roman"/>
                <w:b/>
                <w:bCs/>
                <w:color w:val="000000"/>
                <w:lang w:val="en-US" w:eastAsia="zh-CN" w:bidi="zh-CN"/>
              </w:rPr>
              <w:t>3.4</w:t>
            </w:r>
            <w:r>
              <w:rPr>
                <w:rFonts w:hint="eastAsia" w:ascii="Times New Roman" w:hAnsi="Times New Roman" w:eastAsia="宋体" w:cs="Times New Roman"/>
                <w:b/>
                <w:bCs/>
                <w:color w:val="000000"/>
                <w:lang w:val="zh-CN" w:eastAsia="zh-CN" w:bidi="zh-CN"/>
              </w:rPr>
              <w:t>声环境影响评价小结</w:t>
            </w:r>
          </w:p>
          <w:p w14:paraId="4D0E97C7">
            <w:pPr>
              <w:spacing w:line="520" w:lineRule="exact"/>
              <w:ind w:firstLine="482" w:firstLineChars="200"/>
              <w:rPr>
                <w:rFonts w:hint="eastAsia" w:ascii="Times New Roman" w:hAnsi="Times New Roman" w:eastAsia="宋体"/>
                <w:b/>
                <w:bCs/>
                <w:color w:val="000000"/>
                <w:u w:val="single"/>
                <w:lang w:val="zh-CN"/>
              </w:rPr>
            </w:pPr>
            <w:r>
              <w:rPr>
                <w:rFonts w:hint="eastAsia" w:ascii="Times New Roman" w:hAnsi="Times New Roman" w:eastAsia="宋体"/>
                <w:b/>
                <w:bCs/>
                <w:color w:val="000000"/>
                <w:u w:val="single"/>
                <w:lang w:val="zh-CN"/>
              </w:rPr>
              <w:t xml:space="preserve">项目采取了一系列降噪措施后，本项目投产后各厂界的噪声贡献值均可以满足《工业企业厂界环境噪声排放标准》（GB12348-2008）中 </w:t>
            </w:r>
            <w:r>
              <w:rPr>
                <w:rFonts w:hint="eastAsia"/>
                <w:b/>
                <w:bCs/>
                <w:color w:val="000000"/>
                <w:u w:val="single"/>
                <w:lang w:val="en-US" w:eastAsia="zh-CN"/>
              </w:rPr>
              <w:t>3</w:t>
            </w:r>
            <w:r>
              <w:rPr>
                <w:rFonts w:hint="eastAsia" w:ascii="Times New Roman" w:hAnsi="Times New Roman" w:eastAsia="宋体"/>
                <w:b/>
                <w:bCs/>
                <w:color w:val="000000"/>
                <w:u w:val="single"/>
                <w:lang w:val="zh-CN"/>
              </w:rPr>
              <w:t xml:space="preserve"> 类标准的要求。本项目运营期噪声不会对周围声环境造成明显影响。</w:t>
            </w:r>
          </w:p>
          <w:p w14:paraId="5F7BD59F">
            <w:pPr>
              <w:spacing w:line="520" w:lineRule="exact"/>
              <w:ind w:firstLine="482" w:firstLineChars="200"/>
              <w:rPr>
                <w:rFonts w:hint="eastAsia" w:ascii="Times New Roman" w:hAnsi="Times New Roman" w:eastAsia="宋体"/>
                <w:b/>
                <w:bCs/>
                <w:color w:val="000000"/>
                <w:u w:val="single"/>
                <w:lang w:val="en-US" w:eastAsia="zh-CN"/>
              </w:rPr>
            </w:pPr>
            <w:r>
              <w:rPr>
                <w:rFonts w:hint="eastAsia" w:ascii="Times New Roman" w:hAnsi="Times New Roman" w:eastAsia="宋体"/>
                <w:b/>
                <w:bCs/>
                <w:color w:val="000000"/>
                <w:u w:val="single"/>
                <w:lang w:val="en-US" w:eastAsia="zh-CN"/>
              </w:rPr>
              <w:t>为进一步减轻营运期噪声对周围环境的影响，建议建设单位采用如下措施控制噪声：</w:t>
            </w:r>
          </w:p>
          <w:p w14:paraId="3954B9CC">
            <w:pPr>
              <w:spacing w:line="520" w:lineRule="exact"/>
              <w:ind w:firstLine="482" w:firstLineChars="200"/>
              <w:rPr>
                <w:rFonts w:hint="eastAsia" w:ascii="Times New Roman" w:hAnsi="Times New Roman" w:eastAsia="宋体"/>
                <w:b/>
                <w:bCs/>
                <w:color w:val="000000"/>
                <w:u w:val="single"/>
                <w:lang w:val="en-US" w:eastAsia="zh-CN"/>
              </w:rPr>
            </w:pPr>
            <w:r>
              <w:rPr>
                <w:rFonts w:hint="eastAsia" w:ascii="Times New Roman" w:hAnsi="Times New Roman" w:eastAsia="宋体"/>
                <w:b/>
                <w:bCs/>
                <w:color w:val="000000"/>
                <w:u w:val="single"/>
                <w:lang w:val="en-US" w:eastAsia="zh-CN"/>
              </w:rPr>
              <w:t>（1）加强设备的维修、维护使其正常运转；</w:t>
            </w:r>
          </w:p>
          <w:p w14:paraId="6EE06FEB">
            <w:pPr>
              <w:spacing w:line="520" w:lineRule="exact"/>
              <w:ind w:firstLine="482" w:firstLineChars="200"/>
              <w:rPr>
                <w:rFonts w:hint="eastAsia" w:ascii="Times New Roman" w:hAnsi="Times New Roman" w:eastAsia="宋体"/>
                <w:b/>
                <w:bCs/>
                <w:color w:val="000000"/>
                <w:u w:val="single"/>
                <w:lang w:val="en-US" w:eastAsia="zh-CN"/>
              </w:rPr>
            </w:pPr>
            <w:r>
              <w:rPr>
                <w:rFonts w:hint="eastAsia" w:ascii="Times New Roman" w:hAnsi="Times New Roman" w:eastAsia="宋体"/>
                <w:b/>
                <w:bCs/>
                <w:color w:val="000000"/>
                <w:u w:val="single"/>
                <w:lang w:val="en-US" w:eastAsia="zh-CN"/>
              </w:rPr>
              <w:t>（2）合理布局加工设备，高、低噪声设备间隔布置，将设备布置在车间的中央位置；同时加工时尽量在车间内进行，充分利用墙壁的隔声作用，以减轻各类声源对周围环境敏感点的噪声影响；</w:t>
            </w:r>
          </w:p>
          <w:p w14:paraId="342BBA61">
            <w:pPr>
              <w:spacing w:line="520" w:lineRule="exact"/>
              <w:ind w:firstLine="482" w:firstLineChars="200"/>
              <w:rPr>
                <w:rFonts w:hint="eastAsia" w:ascii="Times New Roman" w:hAnsi="Times New Roman" w:eastAsia="宋体"/>
                <w:b/>
                <w:bCs/>
                <w:color w:val="000000"/>
                <w:u w:val="single"/>
                <w:lang w:val="en-US" w:eastAsia="zh-CN"/>
              </w:rPr>
            </w:pPr>
            <w:r>
              <w:rPr>
                <w:rFonts w:hint="eastAsia" w:ascii="Times New Roman" w:hAnsi="Times New Roman" w:eastAsia="宋体"/>
                <w:b/>
                <w:bCs/>
                <w:color w:val="000000"/>
                <w:u w:val="single"/>
                <w:lang w:val="en-US" w:eastAsia="zh-CN"/>
              </w:rPr>
              <w:t>（3）货物运输车辆进入厂区时应做到不鸣或少鸣笛，以减轻交通噪声对声环境的影响；</w:t>
            </w:r>
          </w:p>
          <w:p w14:paraId="1DDD98E7">
            <w:pPr>
              <w:spacing w:line="520" w:lineRule="exact"/>
              <w:ind w:firstLine="482" w:firstLineChars="200"/>
              <w:rPr>
                <w:rFonts w:hint="eastAsia" w:ascii="Times New Roman" w:hAnsi="Times New Roman" w:eastAsia="宋体"/>
                <w:b/>
                <w:bCs/>
                <w:color w:val="000000"/>
                <w:u w:val="single"/>
                <w:lang w:val="en-US" w:eastAsia="zh-CN"/>
              </w:rPr>
            </w:pPr>
            <w:r>
              <w:rPr>
                <w:rFonts w:hint="eastAsia" w:ascii="Times New Roman" w:hAnsi="Times New Roman" w:eastAsia="宋体"/>
                <w:b/>
                <w:bCs/>
                <w:color w:val="000000"/>
                <w:u w:val="single"/>
                <w:lang w:val="en-US" w:eastAsia="zh-CN"/>
              </w:rPr>
              <w:t>（4）加强生产管理，教育员工文明生产，减少人为因素造成的噪声，合理安排生产，提高工作效率，减少设备运行时间，以减轻对环境的影响。</w:t>
            </w:r>
          </w:p>
          <w:p w14:paraId="63059819">
            <w:pPr>
              <w:spacing w:line="520" w:lineRule="exact"/>
              <w:ind w:firstLine="482" w:firstLineChars="200"/>
              <w:rPr>
                <w:rFonts w:hint="eastAsia" w:ascii="Times New Roman" w:hAnsi="Times New Roman" w:eastAsia="宋体"/>
                <w:b/>
                <w:bCs/>
                <w:color w:val="000000"/>
                <w:u w:val="single"/>
                <w:lang w:val="en-US" w:eastAsia="zh-CN"/>
              </w:rPr>
            </w:pPr>
            <w:r>
              <w:rPr>
                <w:rFonts w:hint="eastAsia" w:ascii="Times New Roman" w:hAnsi="Times New Roman" w:eastAsia="宋体"/>
                <w:b/>
                <w:bCs/>
                <w:color w:val="000000"/>
                <w:u w:val="single"/>
                <w:lang w:val="en-US" w:eastAsia="zh-CN"/>
              </w:rPr>
              <w:t>上述措施在工程上均可实现，且降噪效果较好，噪声治理措施具有经济技术可行性，经预测分析，本项目噪声对周围影响不大。</w:t>
            </w:r>
          </w:p>
          <w:p w14:paraId="1AF9BADF">
            <w:pPr>
              <w:rPr>
                <w:rFonts w:hint="eastAsia" w:ascii="Times New Roman" w:hAnsi="Times New Roman" w:eastAsia="宋体" w:cs="Times New Roman"/>
                <w:b/>
                <w:bCs/>
                <w:color w:val="000000"/>
                <w:kern w:val="2"/>
                <w:sz w:val="24"/>
                <w:szCs w:val="24"/>
                <w:highlight w:val="none"/>
                <w:lang w:val="en-US" w:eastAsia="zh-CN" w:bidi="zh-CN"/>
              </w:rPr>
            </w:pPr>
            <w:r>
              <w:rPr>
                <w:rFonts w:hint="eastAsia" w:ascii="Times New Roman" w:hAnsi="Times New Roman" w:eastAsia="宋体" w:cs="Times New Roman"/>
                <w:b/>
                <w:bCs/>
                <w:color w:val="000000"/>
                <w:kern w:val="2"/>
                <w:sz w:val="24"/>
                <w:szCs w:val="24"/>
                <w:lang w:val="en-US" w:eastAsia="zh-CN" w:bidi="zh-CN"/>
              </w:rPr>
              <w:t>4、</w:t>
            </w:r>
            <w:r>
              <w:rPr>
                <w:rFonts w:hint="eastAsia" w:ascii="Times New Roman" w:hAnsi="Times New Roman" w:eastAsia="宋体" w:cs="Times New Roman"/>
                <w:b/>
                <w:bCs/>
                <w:color w:val="000000"/>
                <w:kern w:val="2"/>
                <w:sz w:val="24"/>
                <w:szCs w:val="24"/>
                <w:highlight w:val="none"/>
                <w:lang w:val="en-US" w:eastAsia="zh-CN" w:bidi="zh-CN"/>
              </w:rPr>
              <w:t>固体废物环境影响和保护措施</w:t>
            </w:r>
          </w:p>
          <w:p w14:paraId="6E9E1634">
            <w:pPr>
              <w:pStyle w:val="28"/>
              <w:spacing w:line="520" w:lineRule="exact"/>
              <w:ind w:firstLine="482" w:firstLineChars="200"/>
              <w:jc w:val="left"/>
              <w:rPr>
                <w:rFonts w:hint="default" w:ascii="Times New Roman" w:hAnsi="Times New Roman" w:eastAsia="宋体"/>
                <w:color w:val="000000"/>
                <w:highlight w:val="yellow"/>
                <w:u w:val="single"/>
                <w:lang w:val="en-US" w:eastAsia="zh-CN"/>
              </w:rPr>
            </w:pPr>
            <w:r>
              <w:rPr>
                <w:rFonts w:hint="eastAsia" w:ascii="Times New Roman" w:hAnsi="Times New Roman" w:eastAsia="宋体" w:cs="Times New Roman"/>
                <w:b/>
                <w:bCs/>
                <w:color w:val="000000"/>
                <w:lang w:val="en-US" w:eastAsia="zh-CN" w:bidi="zh-CN"/>
              </w:rPr>
              <w:t>4.1</w:t>
            </w:r>
            <w:r>
              <w:rPr>
                <w:rFonts w:hint="eastAsia" w:ascii="Times New Roman" w:hAnsi="Times New Roman" w:eastAsia="宋体" w:cs="Times New Roman"/>
                <w:b/>
                <w:bCs/>
                <w:color w:val="000000"/>
                <w:highlight w:val="none"/>
                <w:lang w:val="en-US" w:eastAsia="zh-CN" w:bidi="zh-CN"/>
              </w:rPr>
              <w:t>固体废物污染源源强核算结果及相关参数</w:t>
            </w:r>
          </w:p>
          <w:p w14:paraId="4756422A">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rPr>
              <w:t>生活垃圾：</w:t>
            </w:r>
          </w:p>
          <w:p w14:paraId="75A12CD5">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rPr>
              <w:t>办公生活产生的生活垃圾按每人0.5kg/人·d计，共有</w:t>
            </w:r>
            <w:r>
              <w:rPr>
                <w:rFonts w:hint="eastAsia" w:ascii="Times New Roman" w:hAnsi="Times New Roman" w:eastAsia="宋体"/>
                <w:color w:val="000000"/>
                <w:lang w:val="en-US" w:eastAsia="zh-CN"/>
              </w:rPr>
              <w:t>200</w:t>
            </w:r>
            <w:r>
              <w:rPr>
                <w:rFonts w:hint="eastAsia" w:ascii="Times New Roman" w:hAnsi="Times New Roman" w:eastAsia="宋体"/>
                <w:color w:val="000000"/>
                <w:lang w:val="zh-CN"/>
              </w:rPr>
              <w:t>人，则产生量约为</w:t>
            </w:r>
            <w:r>
              <w:rPr>
                <w:rFonts w:hint="eastAsia" w:ascii="Times New Roman" w:hAnsi="Times New Roman" w:eastAsia="宋体"/>
                <w:color w:val="000000"/>
                <w:lang w:val="en-US" w:eastAsia="zh-CN"/>
              </w:rPr>
              <w:t>30</w:t>
            </w:r>
            <w:r>
              <w:rPr>
                <w:rFonts w:hint="eastAsia" w:ascii="Times New Roman" w:hAnsi="Times New Roman" w:eastAsia="宋体"/>
                <w:color w:val="000000"/>
                <w:lang w:val="zh-CN"/>
              </w:rPr>
              <w:t>t/a，交由环卫部门清运处置。</w:t>
            </w:r>
          </w:p>
          <w:p w14:paraId="22ED99BB">
            <w:pPr>
              <w:tabs>
                <w:tab w:val="left" w:pos="4639"/>
              </w:tabs>
              <w:spacing w:line="520" w:lineRule="exact"/>
              <w:ind w:firstLine="482" w:firstLineChars="200"/>
              <w:rPr>
                <w:rFonts w:hint="default" w:eastAsia="宋体"/>
                <w:b/>
                <w:bCs/>
                <w:color w:val="000000"/>
                <w:u w:val="single"/>
                <w:lang w:val="en-US" w:eastAsia="zh-CN"/>
              </w:rPr>
            </w:pPr>
            <w:r>
              <w:rPr>
                <w:rFonts w:hint="eastAsia" w:ascii="Times New Roman" w:hAnsi="Times New Roman" w:eastAsia="宋体"/>
                <w:b/>
                <w:bCs/>
                <w:color w:val="000000"/>
                <w:u w:val="single"/>
                <w:lang w:val="zh-CN"/>
              </w:rPr>
              <w:t>除尘器收集的颗粒物</w:t>
            </w:r>
            <w:r>
              <w:rPr>
                <w:rFonts w:hint="eastAsia"/>
                <w:b/>
                <w:bCs/>
                <w:color w:val="000000"/>
                <w:u w:val="single"/>
                <w:lang w:val="zh-CN"/>
              </w:rPr>
              <w:t>：</w:t>
            </w:r>
          </w:p>
          <w:p w14:paraId="40975FC0">
            <w:pPr>
              <w:spacing w:line="520" w:lineRule="exact"/>
              <w:ind w:firstLine="482" w:firstLineChars="200"/>
              <w:rPr>
                <w:rFonts w:hint="eastAsia"/>
                <w:color w:val="000000"/>
                <w:lang w:val="zh-CN"/>
              </w:rPr>
            </w:pPr>
            <w:r>
              <w:rPr>
                <w:rFonts w:hint="eastAsia"/>
                <w:b/>
                <w:bCs/>
                <w:color w:val="000000"/>
                <w:u w:val="single"/>
                <w:lang w:val="zh-CN"/>
              </w:rPr>
              <w:t xml:space="preserve">本项目除尘器收集的粉尘量为 </w:t>
            </w:r>
            <w:r>
              <w:rPr>
                <w:rFonts w:hint="eastAsia"/>
                <w:b/>
                <w:bCs/>
                <w:color w:val="000000"/>
                <w:u w:val="single"/>
                <w:lang w:val="en-US" w:eastAsia="zh-CN"/>
              </w:rPr>
              <w:t>2.315t/a</w:t>
            </w:r>
            <w:r>
              <w:rPr>
                <w:rFonts w:hint="eastAsia"/>
                <w:b/>
                <w:bCs/>
                <w:color w:val="000000"/>
                <w:u w:val="single"/>
                <w:lang w:val="zh-CN"/>
              </w:rPr>
              <w:t>，收集后回用于生产线。</w:t>
            </w:r>
          </w:p>
          <w:p w14:paraId="52609857">
            <w:pPr>
              <w:spacing w:line="520" w:lineRule="exact"/>
              <w:ind w:firstLine="482" w:firstLineChars="200"/>
              <w:rPr>
                <w:rFonts w:hint="eastAsia" w:ascii="Times New Roman" w:hAnsi="Times New Roman" w:eastAsia="宋体"/>
                <w:b/>
                <w:bCs/>
                <w:color w:val="000000"/>
                <w:u w:val="single"/>
                <w:lang w:val="en-US" w:eastAsia="zh-CN"/>
              </w:rPr>
            </w:pPr>
            <w:r>
              <w:rPr>
                <w:rFonts w:hint="eastAsia" w:ascii="Times New Roman" w:hAnsi="Times New Roman" w:eastAsia="宋体"/>
                <w:b/>
                <w:bCs/>
                <w:color w:val="000000"/>
                <w:u w:val="single"/>
                <w:lang w:val="en-US" w:eastAsia="zh-CN"/>
              </w:rPr>
              <w:t>危险废物：</w:t>
            </w:r>
          </w:p>
          <w:p w14:paraId="4A4685F8">
            <w:pPr>
              <w:spacing w:line="520" w:lineRule="exact"/>
              <w:ind w:firstLine="482" w:firstLineChars="200"/>
              <w:rPr>
                <w:rFonts w:hint="eastAsia" w:ascii="Times New Roman" w:hAnsi="Times New Roman" w:eastAsia="宋体"/>
                <w:b/>
                <w:bCs/>
                <w:color w:val="000000"/>
                <w:u w:val="single"/>
                <w:lang w:val="en-US" w:eastAsia="zh-CN"/>
              </w:rPr>
            </w:pPr>
            <w:r>
              <w:rPr>
                <w:rFonts w:hint="eastAsia" w:ascii="Times New Roman" w:hAnsi="Times New Roman" w:eastAsia="宋体"/>
                <w:b/>
                <w:bCs/>
                <w:color w:val="000000"/>
                <w:u w:val="single"/>
                <w:lang w:val="en-US" w:eastAsia="zh-CN"/>
              </w:rPr>
              <w:t>因本项目研磨过程中橡胶达不到分解温度，不会产生有机废气，在挤压和研磨摩擦时会产生极少量橡胶本身气味，可忽略不计</w:t>
            </w:r>
            <w:r>
              <w:rPr>
                <w:rFonts w:hint="eastAsia"/>
                <w:b/>
                <w:bCs/>
                <w:color w:val="000000"/>
                <w:u w:val="single"/>
                <w:lang w:val="en-US" w:eastAsia="zh-CN"/>
              </w:rPr>
              <w:t>。</w:t>
            </w:r>
            <w:r>
              <w:rPr>
                <w:rFonts w:hint="eastAsia" w:ascii="Times New Roman" w:hAnsi="Times New Roman" w:eastAsia="宋体"/>
                <w:b/>
                <w:bCs/>
                <w:color w:val="000000"/>
                <w:u w:val="single"/>
                <w:lang w:val="en-US" w:eastAsia="zh-CN"/>
              </w:rPr>
              <w:t>为解决这种气味</w:t>
            </w:r>
            <w:r>
              <w:rPr>
                <w:rFonts w:hint="eastAsia"/>
                <w:b/>
                <w:bCs/>
                <w:color w:val="000000"/>
                <w:u w:val="single"/>
                <w:lang w:val="en-US" w:eastAsia="zh-CN"/>
              </w:rPr>
              <w:t>，</w:t>
            </w:r>
            <w:r>
              <w:rPr>
                <w:rFonts w:hint="eastAsia" w:ascii="Times New Roman" w:hAnsi="Times New Roman" w:eastAsia="宋体"/>
                <w:b/>
                <w:bCs/>
                <w:color w:val="000000"/>
                <w:u w:val="single"/>
                <w:lang w:val="en-US" w:eastAsia="zh-CN"/>
              </w:rPr>
              <w:t>采取循环冷却水及</w:t>
            </w:r>
            <w:r>
              <w:rPr>
                <w:rFonts w:hint="eastAsia"/>
                <w:b/>
                <w:bCs/>
                <w:color w:val="000000"/>
                <w:u w:val="single"/>
                <w:lang w:val="en-US" w:eastAsia="zh-CN"/>
              </w:rPr>
              <w:t>二级</w:t>
            </w:r>
            <w:r>
              <w:rPr>
                <w:rFonts w:hint="eastAsia" w:ascii="Times New Roman" w:hAnsi="Times New Roman" w:eastAsia="宋体"/>
                <w:b/>
                <w:bCs/>
                <w:color w:val="000000"/>
                <w:u w:val="single"/>
                <w:lang w:val="en-US" w:eastAsia="zh-CN"/>
              </w:rPr>
              <w:t>活性炭吸附装置处理，活性炭用量约为 0.</w:t>
            </w:r>
            <w:r>
              <w:rPr>
                <w:rFonts w:hint="eastAsia"/>
                <w:b/>
                <w:bCs/>
                <w:color w:val="000000"/>
                <w:u w:val="single"/>
                <w:lang w:val="en-US" w:eastAsia="zh-CN"/>
              </w:rPr>
              <w:t>35t</w:t>
            </w:r>
            <w:r>
              <w:rPr>
                <w:rFonts w:hint="eastAsia" w:ascii="Times New Roman" w:hAnsi="Times New Roman" w:eastAsia="宋体"/>
                <w:b/>
                <w:bCs/>
                <w:color w:val="000000"/>
                <w:u w:val="single"/>
                <w:lang w:val="en-US" w:eastAsia="zh-CN"/>
              </w:rPr>
              <w:t xml:space="preserve">/a，废活性炭属于危险废物，危废类别为 </w:t>
            </w:r>
            <w:r>
              <w:rPr>
                <w:rFonts w:hint="default" w:ascii="Times New Roman" w:hAnsi="Times New Roman" w:eastAsia="宋体"/>
                <w:b/>
                <w:bCs/>
                <w:color w:val="000000"/>
                <w:u w:val="single"/>
                <w:lang w:val="en-US" w:eastAsia="zh-CN"/>
              </w:rPr>
              <w:t>HW49</w:t>
            </w:r>
            <w:r>
              <w:rPr>
                <w:rFonts w:hint="eastAsia" w:ascii="Times New Roman" w:hAnsi="Times New Roman" w:eastAsia="宋体"/>
                <w:b/>
                <w:bCs/>
                <w:color w:val="000000"/>
                <w:u w:val="single"/>
                <w:lang w:val="en-US" w:eastAsia="zh-CN"/>
              </w:rPr>
              <w:t xml:space="preserve">，危废代码为 </w:t>
            </w:r>
            <w:r>
              <w:rPr>
                <w:rFonts w:hint="default" w:ascii="Times New Roman" w:hAnsi="Times New Roman" w:eastAsia="宋体"/>
                <w:b/>
                <w:bCs/>
                <w:color w:val="000000"/>
                <w:u w:val="single"/>
                <w:lang w:val="en-US" w:eastAsia="zh-CN"/>
              </w:rPr>
              <w:t>900-039-49</w:t>
            </w:r>
            <w:r>
              <w:rPr>
                <w:rFonts w:hint="eastAsia" w:ascii="Times New Roman" w:hAnsi="Times New Roman" w:eastAsia="宋体"/>
                <w:b/>
                <w:bCs/>
                <w:color w:val="000000"/>
                <w:u w:val="single"/>
                <w:lang w:val="en-US" w:eastAsia="zh-CN"/>
              </w:rPr>
              <w:t>。</w:t>
            </w:r>
            <w:r>
              <w:rPr>
                <w:rFonts w:hint="eastAsia"/>
                <w:b/>
                <w:bCs/>
                <w:color w:val="000000"/>
                <w:u w:val="single"/>
                <w:lang w:val="en-US" w:eastAsia="zh-CN"/>
              </w:rPr>
              <w:t>评价要求废活性炭采用密闭容器收集，</w:t>
            </w:r>
            <w:r>
              <w:rPr>
                <w:rFonts w:hint="eastAsia" w:ascii="Times New Roman" w:hAnsi="Times New Roman" w:eastAsia="宋体"/>
                <w:b/>
                <w:bCs/>
                <w:color w:val="000000"/>
                <w:u w:val="single"/>
                <w:lang w:val="en-US" w:eastAsia="zh-CN"/>
              </w:rPr>
              <w:t>危废暂存间</w:t>
            </w:r>
            <w:r>
              <w:rPr>
                <w:rFonts w:hint="eastAsia"/>
                <w:b/>
                <w:bCs/>
                <w:color w:val="000000"/>
                <w:u w:val="single"/>
                <w:lang w:val="en-US" w:eastAsia="zh-CN"/>
              </w:rPr>
              <w:t>暂存</w:t>
            </w:r>
            <w:r>
              <w:rPr>
                <w:rFonts w:hint="eastAsia" w:ascii="Times New Roman" w:hAnsi="Times New Roman" w:eastAsia="宋体"/>
                <w:b/>
                <w:bCs/>
                <w:color w:val="000000"/>
                <w:u w:val="single"/>
                <w:lang w:val="en-US" w:eastAsia="zh-CN"/>
              </w:rPr>
              <w:t>后，</w:t>
            </w:r>
            <w:r>
              <w:rPr>
                <w:rFonts w:hint="eastAsia"/>
                <w:b/>
                <w:bCs/>
                <w:color w:val="000000"/>
                <w:u w:val="single"/>
                <w:lang w:val="en-US" w:eastAsia="zh-CN"/>
              </w:rPr>
              <w:t>定期</w:t>
            </w:r>
            <w:r>
              <w:rPr>
                <w:rFonts w:hint="eastAsia" w:ascii="Times New Roman" w:hAnsi="Times New Roman" w:eastAsia="宋体"/>
                <w:b/>
                <w:bCs/>
                <w:color w:val="000000"/>
                <w:u w:val="single"/>
                <w:lang w:val="en-US" w:eastAsia="zh-CN"/>
              </w:rPr>
              <w:t>委托有资质单位处</w:t>
            </w:r>
            <w:r>
              <w:rPr>
                <w:rFonts w:hint="eastAsia"/>
                <w:b/>
                <w:bCs/>
                <w:color w:val="000000"/>
                <w:u w:val="single"/>
                <w:lang w:val="en-US" w:eastAsia="zh-CN"/>
              </w:rPr>
              <w:t>理</w:t>
            </w:r>
            <w:r>
              <w:rPr>
                <w:rFonts w:hint="eastAsia" w:ascii="Times New Roman" w:hAnsi="Times New Roman" w:eastAsia="宋体"/>
                <w:b/>
                <w:bCs/>
                <w:color w:val="000000"/>
                <w:u w:val="single"/>
                <w:lang w:val="en-US" w:eastAsia="zh-CN"/>
              </w:rPr>
              <w:t xml:space="preserve">。 </w:t>
            </w:r>
          </w:p>
          <w:p w14:paraId="0B10A06B">
            <w:pPr>
              <w:spacing w:line="520" w:lineRule="exact"/>
              <w:ind w:firstLine="482" w:firstLineChars="200"/>
              <w:rPr>
                <w:rFonts w:hint="eastAsia" w:ascii="Times New Roman" w:hAnsi="Times New Roman" w:eastAsia="宋体"/>
                <w:b/>
                <w:bCs/>
                <w:color w:val="000000"/>
                <w:u w:val="single"/>
                <w:lang w:val="en-US" w:eastAsia="zh-CN"/>
              </w:rPr>
            </w:pPr>
            <w:r>
              <w:rPr>
                <w:rFonts w:hint="eastAsia" w:ascii="Times New Roman" w:hAnsi="Times New Roman" w:eastAsia="宋体"/>
                <w:b/>
                <w:bCs/>
                <w:color w:val="000000"/>
                <w:u w:val="single"/>
                <w:lang w:val="en-US" w:eastAsia="zh-CN"/>
              </w:rPr>
              <w:t>固废产生源强及处理措施一览表：</w:t>
            </w:r>
          </w:p>
          <w:p w14:paraId="6B5C8D99">
            <w:pPr>
              <w:pStyle w:val="10"/>
              <w:spacing w:line="520" w:lineRule="exact"/>
              <w:ind w:firstLine="0" w:firstLineChars="0"/>
              <w:jc w:val="center"/>
              <w:rPr>
                <w:rFonts w:hint="eastAsia" w:ascii="Times New Roman" w:hAnsi="Times New Roman" w:eastAsia="宋体" w:cs="Times New Roman"/>
                <w:b/>
                <w:bCs/>
                <w:kern w:val="2"/>
                <w:sz w:val="21"/>
                <w:szCs w:val="21"/>
                <w:u w:val="single"/>
                <w:lang w:val="en-US" w:eastAsia="zh-CN" w:bidi="ar-SA"/>
              </w:rPr>
            </w:pPr>
            <w:r>
              <w:rPr>
                <w:rFonts w:hint="eastAsia" w:ascii="Times New Roman" w:hAnsi="Times New Roman" w:eastAsia="宋体" w:cs="Times New Roman"/>
                <w:b/>
                <w:bCs/>
                <w:kern w:val="2"/>
                <w:sz w:val="21"/>
                <w:szCs w:val="21"/>
                <w:u w:val="single"/>
                <w:lang w:val="en-US" w:eastAsia="zh-CN" w:bidi="ar-SA"/>
              </w:rPr>
              <w:t>表4-</w:t>
            </w:r>
            <w:r>
              <w:rPr>
                <w:rFonts w:hint="eastAsia" w:cs="Times New Roman"/>
                <w:b/>
                <w:bCs/>
                <w:kern w:val="2"/>
                <w:sz w:val="21"/>
                <w:szCs w:val="21"/>
                <w:u w:val="single"/>
                <w:lang w:val="en-US" w:eastAsia="zh-CN" w:bidi="ar-SA"/>
              </w:rPr>
              <w:t>16</w:t>
            </w:r>
            <w:r>
              <w:rPr>
                <w:rFonts w:hint="eastAsia" w:ascii="Times New Roman" w:hAnsi="Times New Roman" w:eastAsia="宋体" w:cs="Times New Roman"/>
                <w:b/>
                <w:bCs/>
                <w:kern w:val="2"/>
                <w:sz w:val="21"/>
                <w:szCs w:val="21"/>
                <w:u w:val="single"/>
                <w:lang w:val="en-US" w:eastAsia="zh-CN" w:bidi="ar-SA"/>
              </w:rPr>
              <w:t xml:space="preserve"> 本项目营运期间固体废物汇总表</w:t>
            </w:r>
          </w:p>
          <w:tbl>
            <w:tblPr>
              <w:tblStyle w:val="17"/>
              <w:tblW w:w="77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1200"/>
              <w:gridCol w:w="750"/>
              <w:gridCol w:w="748"/>
              <w:gridCol w:w="716"/>
              <w:gridCol w:w="1050"/>
              <w:gridCol w:w="913"/>
              <w:gridCol w:w="1300"/>
            </w:tblGrid>
            <w:tr w14:paraId="535E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vAlign w:val="center"/>
                </w:tcPr>
                <w:p w14:paraId="526DC1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固废</w:t>
                  </w:r>
                </w:p>
                <w:p w14:paraId="5FCBD1F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名称</w:t>
                  </w:r>
                </w:p>
              </w:tc>
              <w:tc>
                <w:tcPr>
                  <w:tcW w:w="1200" w:type="dxa"/>
                  <w:vAlign w:val="center"/>
                </w:tcPr>
                <w:p w14:paraId="0A92F1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属性</w:t>
                  </w:r>
                </w:p>
              </w:tc>
              <w:tc>
                <w:tcPr>
                  <w:tcW w:w="750" w:type="dxa"/>
                  <w:vAlign w:val="center"/>
                </w:tcPr>
                <w:p w14:paraId="46F868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形态</w:t>
                  </w:r>
                </w:p>
              </w:tc>
              <w:tc>
                <w:tcPr>
                  <w:tcW w:w="748" w:type="dxa"/>
                  <w:vAlign w:val="center"/>
                </w:tcPr>
                <w:p w14:paraId="5AC5151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危险</w:t>
                  </w:r>
                </w:p>
                <w:p w14:paraId="5C3F8F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特性</w:t>
                  </w:r>
                </w:p>
              </w:tc>
              <w:tc>
                <w:tcPr>
                  <w:tcW w:w="716" w:type="dxa"/>
                  <w:vAlign w:val="center"/>
                </w:tcPr>
                <w:p w14:paraId="6BED335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废物</w:t>
                  </w:r>
                </w:p>
                <w:p w14:paraId="656459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类别</w:t>
                  </w:r>
                </w:p>
              </w:tc>
              <w:tc>
                <w:tcPr>
                  <w:tcW w:w="1050" w:type="dxa"/>
                  <w:vAlign w:val="center"/>
                </w:tcPr>
                <w:p w14:paraId="1D286B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废物代码</w:t>
                  </w:r>
                </w:p>
              </w:tc>
              <w:tc>
                <w:tcPr>
                  <w:tcW w:w="913" w:type="dxa"/>
                  <w:vAlign w:val="center"/>
                </w:tcPr>
                <w:p w14:paraId="7FAEE2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产生量</w:t>
                  </w:r>
                </w:p>
                <w:p w14:paraId="0C79C7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（t/a）</w:t>
                  </w:r>
                </w:p>
              </w:tc>
              <w:tc>
                <w:tcPr>
                  <w:tcW w:w="1300" w:type="dxa"/>
                  <w:vAlign w:val="center"/>
                </w:tcPr>
                <w:p w14:paraId="238BDDD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处置方式</w:t>
                  </w:r>
                </w:p>
              </w:tc>
            </w:tr>
            <w:tr w14:paraId="5DC0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83" w:type="dxa"/>
                  <w:gridSpan w:val="2"/>
                  <w:vAlign w:val="center"/>
                </w:tcPr>
                <w:p w14:paraId="7D64A02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生活垃圾</w:t>
                  </w:r>
                </w:p>
              </w:tc>
              <w:tc>
                <w:tcPr>
                  <w:tcW w:w="750" w:type="dxa"/>
                  <w:vAlign w:val="center"/>
                </w:tcPr>
                <w:p w14:paraId="260FBD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固态</w:t>
                  </w:r>
                </w:p>
              </w:tc>
              <w:tc>
                <w:tcPr>
                  <w:tcW w:w="748" w:type="dxa"/>
                  <w:vAlign w:val="center"/>
                </w:tcPr>
                <w:p w14:paraId="7D8EBA0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p>
              </w:tc>
              <w:tc>
                <w:tcPr>
                  <w:tcW w:w="716" w:type="dxa"/>
                  <w:vAlign w:val="center"/>
                </w:tcPr>
                <w:p w14:paraId="592A671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p>
              </w:tc>
              <w:tc>
                <w:tcPr>
                  <w:tcW w:w="1050" w:type="dxa"/>
                  <w:vAlign w:val="center"/>
                </w:tcPr>
                <w:p w14:paraId="1AFCF7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p>
              </w:tc>
              <w:tc>
                <w:tcPr>
                  <w:tcW w:w="913" w:type="dxa"/>
                  <w:vAlign w:val="center"/>
                </w:tcPr>
                <w:p w14:paraId="14F069B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30</w:t>
                  </w:r>
                </w:p>
              </w:tc>
              <w:tc>
                <w:tcPr>
                  <w:tcW w:w="1300" w:type="dxa"/>
                  <w:vAlign w:val="center"/>
                </w:tcPr>
                <w:p w14:paraId="2A9A6A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环卫清运</w:t>
                  </w:r>
                </w:p>
              </w:tc>
            </w:tr>
            <w:tr w14:paraId="4364E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vAlign w:val="center"/>
                </w:tcPr>
                <w:p w14:paraId="41A6D36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布袋收集的胶粉</w:t>
                  </w:r>
                </w:p>
              </w:tc>
              <w:tc>
                <w:tcPr>
                  <w:tcW w:w="1200" w:type="dxa"/>
                  <w:vAlign w:val="center"/>
                </w:tcPr>
                <w:p w14:paraId="6A2FC74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一般工业</w:t>
                  </w:r>
                </w:p>
                <w:p w14:paraId="5D1CE7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固体废物</w:t>
                  </w:r>
                </w:p>
              </w:tc>
              <w:tc>
                <w:tcPr>
                  <w:tcW w:w="750" w:type="dxa"/>
                  <w:vAlign w:val="center"/>
                </w:tcPr>
                <w:p w14:paraId="6CE3E1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固态</w:t>
                  </w:r>
                </w:p>
              </w:tc>
              <w:tc>
                <w:tcPr>
                  <w:tcW w:w="748" w:type="dxa"/>
                  <w:vAlign w:val="center"/>
                </w:tcPr>
                <w:p w14:paraId="6B481AB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w:t>
                  </w:r>
                </w:p>
              </w:tc>
              <w:tc>
                <w:tcPr>
                  <w:tcW w:w="716" w:type="dxa"/>
                  <w:vAlign w:val="center"/>
                </w:tcPr>
                <w:p w14:paraId="5949C4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05</w:t>
                  </w:r>
                </w:p>
              </w:tc>
              <w:tc>
                <w:tcPr>
                  <w:tcW w:w="1050" w:type="dxa"/>
                  <w:vAlign w:val="center"/>
                </w:tcPr>
                <w:p w14:paraId="30A986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422-001-05</w:t>
                  </w:r>
                </w:p>
              </w:tc>
              <w:tc>
                <w:tcPr>
                  <w:tcW w:w="913" w:type="dxa"/>
                  <w:vAlign w:val="center"/>
                </w:tcPr>
                <w:p w14:paraId="4A52AD0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20.42</w:t>
                  </w:r>
                </w:p>
              </w:tc>
              <w:tc>
                <w:tcPr>
                  <w:tcW w:w="1300" w:type="dxa"/>
                  <w:vAlign w:val="center"/>
                </w:tcPr>
                <w:p w14:paraId="6FF25F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收集后回用于生产</w:t>
                  </w:r>
                </w:p>
              </w:tc>
            </w:tr>
            <w:tr w14:paraId="043F8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3" w:type="dxa"/>
                  <w:vAlign w:val="center"/>
                </w:tcPr>
                <w:p w14:paraId="6F1E0E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废活性炭</w:t>
                  </w:r>
                </w:p>
              </w:tc>
              <w:tc>
                <w:tcPr>
                  <w:tcW w:w="1200" w:type="dxa"/>
                  <w:vAlign w:val="center"/>
                </w:tcPr>
                <w:p w14:paraId="653F81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危险固废</w:t>
                  </w:r>
                </w:p>
              </w:tc>
              <w:tc>
                <w:tcPr>
                  <w:tcW w:w="750" w:type="dxa"/>
                  <w:vAlign w:val="center"/>
                </w:tcPr>
                <w:p w14:paraId="663140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固态</w:t>
                  </w:r>
                </w:p>
              </w:tc>
              <w:tc>
                <w:tcPr>
                  <w:tcW w:w="748" w:type="dxa"/>
                  <w:vAlign w:val="center"/>
                </w:tcPr>
                <w:p w14:paraId="42DCED7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T</w:t>
                  </w:r>
                </w:p>
              </w:tc>
              <w:tc>
                <w:tcPr>
                  <w:tcW w:w="716" w:type="dxa"/>
                  <w:vAlign w:val="center"/>
                </w:tcPr>
                <w:p w14:paraId="37ED326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HW49</w:t>
                  </w:r>
                </w:p>
              </w:tc>
              <w:tc>
                <w:tcPr>
                  <w:tcW w:w="1050" w:type="dxa"/>
                  <w:vAlign w:val="center"/>
                </w:tcPr>
                <w:p w14:paraId="1133B2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default" w:ascii="Times New Roman" w:hAnsi="Times New Roman" w:eastAsia="宋体" w:cs="Times New Roman"/>
                      <w:b/>
                      <w:bCs/>
                      <w:color w:val="000000"/>
                      <w:kern w:val="2"/>
                      <w:sz w:val="21"/>
                      <w:szCs w:val="21"/>
                      <w:u w:val="single"/>
                      <w:lang w:val="en-US" w:eastAsia="zh-CN" w:bidi="ar-SA"/>
                    </w:rPr>
                    <w:t>900-039-49</w:t>
                  </w:r>
                </w:p>
              </w:tc>
              <w:tc>
                <w:tcPr>
                  <w:tcW w:w="913" w:type="dxa"/>
                  <w:vAlign w:val="center"/>
                </w:tcPr>
                <w:p w14:paraId="43082E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b/>
                      <w:bCs/>
                      <w:color w:val="000000"/>
                      <w:kern w:val="2"/>
                      <w:sz w:val="21"/>
                      <w:szCs w:val="21"/>
                      <w:u w:val="single"/>
                      <w:lang w:val="en-US" w:eastAsia="zh-CN" w:bidi="ar-SA"/>
                    </w:rPr>
                  </w:pPr>
                  <w:r>
                    <w:rPr>
                      <w:rFonts w:hint="eastAsia" w:cs="Times New Roman"/>
                      <w:b/>
                      <w:bCs/>
                      <w:color w:val="000000"/>
                      <w:kern w:val="2"/>
                      <w:sz w:val="21"/>
                      <w:szCs w:val="21"/>
                      <w:u w:val="single"/>
                      <w:lang w:val="en-US" w:eastAsia="zh-CN" w:bidi="ar-SA"/>
                    </w:rPr>
                    <w:t>0.35</w:t>
                  </w:r>
                </w:p>
              </w:tc>
              <w:tc>
                <w:tcPr>
                  <w:tcW w:w="1300" w:type="dxa"/>
                  <w:vAlign w:val="center"/>
                </w:tcPr>
                <w:p w14:paraId="20ED49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b/>
                      <w:bCs/>
                      <w:color w:val="000000"/>
                      <w:kern w:val="2"/>
                      <w:sz w:val="21"/>
                      <w:szCs w:val="21"/>
                      <w:u w:val="single"/>
                      <w:lang w:val="en-US" w:eastAsia="zh-CN" w:bidi="ar-SA"/>
                    </w:rPr>
                  </w:pPr>
                  <w:r>
                    <w:rPr>
                      <w:rFonts w:hint="eastAsia" w:ascii="Times New Roman" w:hAnsi="Times New Roman" w:eastAsia="宋体" w:cs="Times New Roman"/>
                      <w:b/>
                      <w:bCs/>
                      <w:color w:val="000000"/>
                      <w:kern w:val="2"/>
                      <w:sz w:val="21"/>
                      <w:szCs w:val="21"/>
                      <w:u w:val="single"/>
                      <w:lang w:val="en-US" w:eastAsia="zh-CN" w:bidi="ar-SA"/>
                    </w:rPr>
                    <w:t>委托资质单位处理</w:t>
                  </w:r>
                </w:p>
              </w:tc>
            </w:tr>
          </w:tbl>
          <w:p w14:paraId="403BF5F4">
            <w:pPr>
              <w:keepNext w:val="0"/>
              <w:keepLines w:val="0"/>
              <w:widowControl/>
              <w:suppressLineNumbers w:val="0"/>
              <w:ind w:firstLine="482" w:firstLineChars="200"/>
              <w:jc w:val="left"/>
              <w:rPr>
                <w:rFonts w:hint="eastAsia" w:ascii="Times New Roman" w:hAnsi="Times New Roman" w:eastAsia="宋体" w:cs="Times New Roman"/>
                <w:b/>
                <w:bCs/>
                <w:color w:val="000000"/>
                <w:kern w:val="2"/>
                <w:sz w:val="24"/>
                <w:szCs w:val="24"/>
                <w:u w:val="single"/>
                <w:lang w:val="en-US" w:eastAsia="zh-CN" w:bidi="zh-CN"/>
              </w:rPr>
            </w:pPr>
            <w:r>
              <w:rPr>
                <w:rFonts w:hint="eastAsia" w:ascii="Times New Roman" w:hAnsi="Times New Roman" w:eastAsia="宋体"/>
                <w:b/>
                <w:bCs/>
                <w:color w:val="000000"/>
                <w:u w:val="single"/>
                <w:lang w:val="zh-CN" w:eastAsia="zh-CN"/>
              </w:rPr>
              <w:t>经采取上述措施后，项目产生的固废均能得到综合利用或者有效处置，不会再厂内长期堆存，不会对周围环境造成影响。</w:t>
            </w:r>
          </w:p>
          <w:p w14:paraId="0AAE70D7">
            <w:pPr>
              <w:keepNext w:val="0"/>
              <w:keepLines w:val="0"/>
              <w:widowControl/>
              <w:suppressLineNumbers w:val="0"/>
              <w:ind w:firstLine="482" w:firstLineChars="200"/>
              <w:jc w:val="left"/>
              <w:rPr>
                <w:rFonts w:hint="eastAsia" w:ascii="Times New Roman" w:hAnsi="Times New Roman" w:eastAsia="宋体" w:cs="Times New Roman"/>
                <w:b/>
                <w:bCs/>
                <w:color w:val="000000"/>
                <w:kern w:val="2"/>
                <w:sz w:val="24"/>
                <w:szCs w:val="24"/>
                <w:lang w:val="en-US" w:eastAsia="zh-CN" w:bidi="zh-CN"/>
              </w:rPr>
            </w:pPr>
            <w:r>
              <w:rPr>
                <w:rFonts w:hint="eastAsia" w:ascii="Times New Roman" w:hAnsi="Times New Roman" w:eastAsia="宋体" w:cs="Times New Roman"/>
                <w:b/>
                <w:bCs/>
                <w:color w:val="000000"/>
                <w:kern w:val="2"/>
                <w:sz w:val="24"/>
                <w:szCs w:val="24"/>
                <w:lang w:val="en-US" w:eastAsia="zh-CN" w:bidi="zh-CN"/>
              </w:rPr>
              <w:t>4.2环境管理要求</w:t>
            </w:r>
          </w:p>
          <w:p w14:paraId="1E5BB283">
            <w:pPr>
              <w:spacing w:line="520" w:lineRule="exact"/>
              <w:ind w:firstLine="482" w:firstLineChars="200"/>
              <w:rPr>
                <w:rFonts w:hint="eastAsia" w:ascii="Times New Roman" w:hAnsi="Times New Roman" w:eastAsia="宋体"/>
                <w:b/>
                <w:bCs/>
                <w:color w:val="000000"/>
                <w:lang w:val="en-US" w:eastAsia="zh-CN"/>
              </w:rPr>
            </w:pPr>
            <w:r>
              <w:rPr>
                <w:rFonts w:hint="eastAsia" w:ascii="Times New Roman" w:hAnsi="Times New Roman" w:eastAsia="宋体"/>
                <w:b/>
                <w:bCs/>
                <w:color w:val="000000"/>
                <w:lang w:val="en-US" w:eastAsia="zh-CN"/>
              </w:rPr>
              <w:t>（1）一般固废</w:t>
            </w:r>
          </w:p>
          <w:p w14:paraId="1835610D">
            <w:pPr>
              <w:spacing w:line="520" w:lineRule="exact"/>
              <w:ind w:firstLine="480" w:firstLineChars="200"/>
              <w:rPr>
                <w:rFonts w:hint="default" w:ascii="Times New Roman" w:hAnsi="Times New Roman" w:eastAsia="宋体"/>
                <w:color w:val="000000"/>
                <w:lang w:val="en-US" w:eastAsia="zh-CN"/>
              </w:rPr>
            </w:pPr>
            <w:r>
              <w:rPr>
                <w:rFonts w:hint="eastAsia" w:ascii="Times New Roman" w:hAnsi="Times New Roman" w:eastAsia="宋体"/>
                <w:color w:val="000000"/>
                <w:lang w:val="en-US" w:eastAsia="zh-CN"/>
              </w:rPr>
              <w:t>本项目新建 1 间 10</w:t>
            </w:r>
            <w:r>
              <w:rPr>
                <w:rFonts w:hint="eastAsia" w:ascii="宋体" w:hAnsi="宋体" w:eastAsia="宋体" w:cs="宋体"/>
                <w:color w:val="000000"/>
                <w:lang w:val="en-US" w:eastAsia="zh-CN"/>
              </w:rPr>
              <w:t>㎡</w:t>
            </w:r>
            <w:r>
              <w:rPr>
                <w:rFonts w:hint="eastAsia" w:ascii="Times New Roman" w:hAnsi="Times New Roman" w:eastAsia="宋体"/>
                <w:color w:val="000000"/>
                <w:lang w:val="en-US" w:eastAsia="zh-CN"/>
              </w:rPr>
              <w:t>一般固废暂存库，用于暂存布袋除尘器收集的胶粉，收集后回用于生产。</w:t>
            </w:r>
          </w:p>
          <w:p w14:paraId="6754BF14">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en-US" w:eastAsia="zh-CN"/>
              </w:rPr>
              <w:t>一般固废库所需按照《一般工业固体废物贮存和填埋场污染控制标准》</w:t>
            </w:r>
            <w:r>
              <w:rPr>
                <w:rFonts w:hint="default" w:ascii="Times New Roman" w:hAnsi="Times New Roman" w:eastAsia="宋体"/>
                <w:color w:val="000000"/>
                <w:lang w:val="en-US" w:eastAsia="zh-CN"/>
              </w:rPr>
              <w:t xml:space="preserve">(GB18599-2020) </w:t>
            </w:r>
            <w:r>
              <w:rPr>
                <w:rFonts w:hint="eastAsia" w:ascii="Times New Roman" w:hAnsi="Times New Roman" w:eastAsia="宋体"/>
                <w:color w:val="000000"/>
                <w:lang w:val="en-US" w:eastAsia="zh-CN"/>
              </w:rPr>
              <w:t xml:space="preserve">要求建设。 </w:t>
            </w:r>
          </w:p>
          <w:p w14:paraId="7BC34FEE">
            <w:pPr>
              <w:spacing w:line="520" w:lineRule="exact"/>
              <w:ind w:firstLine="482" w:firstLineChars="200"/>
              <w:rPr>
                <w:rFonts w:hint="eastAsia" w:ascii="Times New Roman" w:hAnsi="Times New Roman" w:eastAsia="宋体"/>
                <w:color w:val="000000"/>
                <w:lang w:val="zh-CN"/>
              </w:rPr>
            </w:pPr>
            <w:r>
              <w:rPr>
                <w:rFonts w:hint="eastAsia" w:ascii="Times New Roman" w:hAnsi="Times New Roman" w:eastAsia="宋体"/>
                <w:b/>
                <w:bCs/>
                <w:color w:val="000000"/>
                <w:lang w:val="en-US" w:eastAsia="zh-CN"/>
              </w:rPr>
              <w:t>一般固废库具体建设要求如下：</w:t>
            </w:r>
            <w:r>
              <w:rPr>
                <w:rFonts w:hint="eastAsia" w:ascii="Times New Roman" w:hAnsi="Times New Roman" w:eastAsia="宋体"/>
                <w:color w:val="000000"/>
                <w:lang w:val="en-US" w:eastAsia="zh-CN"/>
              </w:rPr>
              <w:t xml:space="preserve"> </w:t>
            </w:r>
          </w:p>
          <w:p w14:paraId="4C0BDD85">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en-US" w:eastAsia="zh-CN"/>
              </w:rPr>
              <w:t xml:space="preserve">①贮存、处置场地建设类型，必须与将要堆放的一般工业固体废物的类别相一致。 </w:t>
            </w:r>
          </w:p>
          <w:p w14:paraId="7579D6CC">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en-US" w:eastAsia="zh-CN"/>
              </w:rPr>
              <w:t xml:space="preserve">②贮存、处置场应采取防止粉尘污染的措施。 </w:t>
            </w:r>
          </w:p>
          <w:p w14:paraId="2F9F1E34">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en-US" w:eastAsia="zh-CN"/>
              </w:rPr>
              <w:t xml:space="preserve">③为防止雨水径流进入贮存、处置场内。 </w:t>
            </w:r>
          </w:p>
          <w:p w14:paraId="2E295796">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en-US" w:eastAsia="zh-CN"/>
              </w:rPr>
              <w:t xml:space="preserve">④为保障设施、设备正常运行，必要时应采取措施防止地基下沉，尤其是防止不均匀或局部下沉。 </w:t>
            </w:r>
          </w:p>
          <w:p w14:paraId="611179E1">
            <w:pPr>
              <w:spacing w:line="520" w:lineRule="exact"/>
              <w:ind w:firstLine="482" w:firstLineChars="200"/>
              <w:rPr>
                <w:rFonts w:hint="eastAsia" w:ascii="Times New Roman" w:hAnsi="Times New Roman" w:eastAsia="宋体"/>
                <w:b/>
                <w:bCs/>
                <w:color w:val="000000"/>
                <w:lang w:val="zh-CN"/>
              </w:rPr>
            </w:pPr>
            <w:r>
              <w:rPr>
                <w:rFonts w:hint="eastAsia" w:ascii="Times New Roman" w:hAnsi="Times New Roman" w:eastAsia="宋体"/>
                <w:b/>
                <w:bCs/>
                <w:color w:val="000000"/>
                <w:lang w:val="en-US" w:eastAsia="zh-CN"/>
              </w:rPr>
              <w:t>（</w:t>
            </w:r>
            <w:r>
              <w:rPr>
                <w:rFonts w:hint="default" w:ascii="Times New Roman" w:hAnsi="Times New Roman" w:eastAsia="宋体"/>
                <w:b/>
                <w:bCs/>
                <w:color w:val="000000"/>
                <w:lang w:val="en-US" w:eastAsia="zh-CN"/>
              </w:rPr>
              <w:t>2</w:t>
            </w:r>
            <w:r>
              <w:rPr>
                <w:rFonts w:hint="eastAsia" w:ascii="Times New Roman" w:hAnsi="Times New Roman" w:eastAsia="宋体"/>
                <w:b/>
                <w:bCs/>
                <w:color w:val="000000"/>
                <w:lang w:val="en-US" w:eastAsia="zh-CN"/>
              </w:rPr>
              <w:t>）危险废物</w:t>
            </w:r>
          </w:p>
          <w:p w14:paraId="1DF31B34">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rPr>
              <w:t>本项目拟建一</w:t>
            </w:r>
            <w:r>
              <w:rPr>
                <w:rFonts w:hint="eastAsia"/>
                <w:color w:val="000000"/>
                <w:lang w:val="zh-CN"/>
              </w:rPr>
              <w:t>座</w:t>
            </w:r>
            <w:r>
              <w:rPr>
                <w:rFonts w:hint="eastAsia" w:ascii="Times New Roman" w:hAnsi="Times New Roman" w:eastAsia="宋体"/>
                <w:color w:val="000000"/>
                <w:lang w:val="zh-CN"/>
              </w:rPr>
              <w:t xml:space="preserve">面积为 </w:t>
            </w:r>
            <w:r>
              <w:rPr>
                <w:rFonts w:hint="eastAsia" w:ascii="Times New Roman" w:hAnsi="Times New Roman" w:eastAsia="宋体"/>
                <w:color w:val="000000"/>
                <w:lang w:val="en-US" w:eastAsia="zh-CN"/>
              </w:rPr>
              <w:t>10</w:t>
            </w:r>
            <w:r>
              <w:rPr>
                <w:rFonts w:hint="eastAsia" w:ascii="宋体" w:hAnsi="宋体" w:eastAsia="宋体" w:cs="宋体"/>
                <w:color w:val="000000"/>
                <w:lang w:val="en-US" w:eastAsia="zh-CN"/>
              </w:rPr>
              <w:t>㎡</w:t>
            </w:r>
            <w:r>
              <w:rPr>
                <w:rFonts w:hint="eastAsia" w:ascii="Times New Roman" w:hAnsi="Times New Roman" w:eastAsia="宋体"/>
                <w:color w:val="000000"/>
                <w:lang w:val="zh-CN"/>
              </w:rPr>
              <w:t>的危废暂存间，可以满足全厂危废暂存的需求。</w:t>
            </w:r>
          </w:p>
          <w:p w14:paraId="62B86746">
            <w:pPr>
              <w:spacing w:line="520" w:lineRule="exact"/>
              <w:ind w:firstLine="482" w:firstLineChars="200"/>
              <w:rPr>
                <w:rFonts w:hint="eastAsia" w:ascii="Times New Roman" w:hAnsi="Times New Roman" w:eastAsia="宋体"/>
                <w:color w:val="000000"/>
                <w:lang w:val="zh-CN"/>
              </w:rPr>
            </w:pPr>
            <w:r>
              <w:rPr>
                <w:rFonts w:hint="eastAsia" w:ascii="Times New Roman" w:hAnsi="Times New Roman" w:eastAsia="宋体"/>
                <w:b/>
                <w:bCs/>
                <w:color w:val="000000"/>
                <w:lang w:val="en-US" w:eastAsia="zh-CN"/>
              </w:rPr>
              <w:t>危险废物收集污染防治措施分析</w:t>
            </w:r>
            <w:r>
              <w:rPr>
                <w:rFonts w:hint="eastAsia" w:ascii="Times New Roman" w:hAnsi="Times New Roman" w:eastAsia="宋体"/>
                <w:color w:val="000000"/>
                <w:lang w:val="en-US" w:eastAsia="zh-CN"/>
              </w:rPr>
              <w:t xml:space="preserve"> </w:t>
            </w:r>
          </w:p>
          <w:p w14:paraId="0011EE9C">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危险废物在收集时，应清楚废物的类别及主要成分，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p w14:paraId="6312D7BA">
            <w:pPr>
              <w:spacing w:line="520" w:lineRule="exact"/>
              <w:ind w:firstLine="482" w:firstLineChars="200"/>
              <w:rPr>
                <w:rFonts w:hint="eastAsia" w:ascii="Times New Roman" w:hAnsi="Times New Roman" w:eastAsia="宋体"/>
                <w:color w:val="000000"/>
                <w:lang w:val="zh-CN"/>
              </w:rPr>
            </w:pPr>
            <w:r>
              <w:rPr>
                <w:rFonts w:hint="eastAsia" w:ascii="Times New Roman" w:hAnsi="Times New Roman" w:eastAsia="宋体"/>
                <w:b/>
                <w:bCs/>
                <w:color w:val="000000"/>
                <w:lang w:val="en-US" w:eastAsia="zh-CN"/>
              </w:rPr>
              <w:t>危险废物厂区贮存污染防治措施分析</w:t>
            </w:r>
            <w:r>
              <w:rPr>
                <w:rFonts w:hint="eastAsia" w:ascii="Times New Roman" w:hAnsi="Times New Roman" w:eastAsia="宋体"/>
                <w:color w:val="000000"/>
                <w:lang w:val="en-US" w:eastAsia="zh-CN"/>
              </w:rPr>
              <w:t xml:space="preserve"> </w:t>
            </w:r>
          </w:p>
          <w:p w14:paraId="7F0E6553">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en-US" w:eastAsia="zh-CN"/>
              </w:rPr>
              <w:t xml:space="preserve">危险废物应尽快送往委托资质单位处理，不宜存放过长时间，确需暂存的，应做到以下几点： </w:t>
            </w:r>
          </w:p>
          <w:p w14:paraId="1D3AD8F1">
            <w:pPr>
              <w:spacing w:line="520" w:lineRule="exact"/>
              <w:ind w:firstLine="480" w:firstLineChars="200"/>
              <w:rPr>
                <w:rFonts w:hint="eastAsia" w:ascii="Times New Roman" w:hAnsi="Times New Roman" w:eastAsia="宋体"/>
                <w:color w:val="000000"/>
                <w:lang w:val="zh-CN"/>
              </w:rPr>
            </w:pPr>
            <w:r>
              <w:rPr>
                <w:rFonts w:hint="default" w:ascii="Times New Roman" w:hAnsi="Times New Roman" w:eastAsia="宋体"/>
                <w:color w:val="000000"/>
                <w:lang w:val="en-US" w:eastAsia="zh-CN"/>
              </w:rPr>
              <w:t xml:space="preserve">a. </w:t>
            </w:r>
            <w:r>
              <w:rPr>
                <w:rFonts w:hint="eastAsia" w:ascii="Times New Roman" w:hAnsi="Times New Roman" w:eastAsia="宋体"/>
                <w:color w:val="000000"/>
                <w:lang w:val="en-US" w:eastAsia="zh-CN"/>
              </w:rPr>
              <w:t>贮存场所应符合《危险废物贮存污染控制标准》（</w:t>
            </w:r>
            <w:r>
              <w:rPr>
                <w:rFonts w:hint="default" w:ascii="Times New Roman" w:hAnsi="Times New Roman" w:eastAsia="宋体"/>
                <w:color w:val="000000"/>
                <w:lang w:val="en-US" w:eastAsia="zh-CN"/>
              </w:rPr>
              <w:t>GB18597-2023</w:t>
            </w:r>
            <w:r>
              <w:rPr>
                <w:rFonts w:hint="eastAsia" w:ascii="Times New Roman" w:hAnsi="Times New Roman" w:eastAsia="宋体"/>
                <w:color w:val="000000"/>
                <w:lang w:val="en-US" w:eastAsia="zh-CN"/>
              </w:rPr>
              <w:t xml:space="preserve">）中相关要求，有符合要求的专用标志。 </w:t>
            </w:r>
          </w:p>
          <w:p w14:paraId="24FBC560">
            <w:pPr>
              <w:spacing w:line="520" w:lineRule="exact"/>
              <w:ind w:firstLine="480" w:firstLineChars="200"/>
              <w:rPr>
                <w:rFonts w:hint="eastAsia" w:ascii="Times New Roman" w:hAnsi="Times New Roman" w:eastAsia="宋体"/>
                <w:color w:val="000000"/>
                <w:lang w:val="en-US" w:eastAsia="zh-CN"/>
              </w:rPr>
            </w:pPr>
            <w:r>
              <w:rPr>
                <w:rFonts w:hint="default" w:ascii="Times New Roman" w:hAnsi="Times New Roman" w:eastAsia="宋体"/>
                <w:color w:val="000000"/>
                <w:lang w:val="en-US" w:eastAsia="zh-CN"/>
              </w:rPr>
              <w:t xml:space="preserve">b. </w:t>
            </w:r>
            <w:r>
              <w:rPr>
                <w:rFonts w:hint="eastAsia" w:ascii="Times New Roman" w:hAnsi="Times New Roman" w:eastAsia="宋体"/>
                <w:color w:val="000000"/>
                <w:lang w:val="en-US" w:eastAsia="zh-CN"/>
              </w:rPr>
              <w:t>贮存设施应根据危险废物的形态、物理化学性质、包装形式和污染物迁移途径，采取必要的防风、防晒、防雨、防漏、防渗、防腐以及其他环境污染防治措施，不应露天堆放危险废物。</w:t>
            </w:r>
          </w:p>
          <w:p w14:paraId="0A958B74">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c. 贮存设施应根据危险废物的类别、数量、形态、物理化学性质和污染防治等要求设置必要的贮存分区，避免不相容的危险废物接触、混合。</w:t>
            </w:r>
          </w:p>
          <w:p w14:paraId="3FC27DEE">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d. 贮存设施或贮存分区内地面、墙面裙脚、堵截泄漏的围堰、接触危险废物的隔板和墙体等应采用坚固的材料建造，表面无裂缝。</w:t>
            </w:r>
          </w:p>
          <w:p w14:paraId="58B5FC2B">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e. 危险废物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 m 厚黏土层（渗透系数不大于 10-7cm/s），或至少 2 mm 厚高密度聚乙烯膜等人工防渗材料（渗透系数不大于 10-10cm/s），或其他防渗性能等效的材料。</w:t>
            </w:r>
          </w:p>
          <w:p w14:paraId="34C2E336">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f. 同一贮存设施宜采用相同的防渗、防腐工艺（包括防渗、防腐结构或材料），防渗、防腐材料应覆盖所有可能与废物及其渗滤液、渗漏液等接触的构筑物表面；采用不同防渗、防腐工艺应分别建设贮存分区。</w:t>
            </w:r>
          </w:p>
          <w:p w14:paraId="095C1E3B">
            <w:pPr>
              <w:spacing w:line="520" w:lineRule="exact"/>
              <w:ind w:firstLine="480" w:firstLineChars="200"/>
            </w:pPr>
            <w:r>
              <w:rPr>
                <w:rFonts w:hint="eastAsia" w:ascii="Times New Roman" w:hAnsi="Times New Roman" w:eastAsia="宋体"/>
                <w:color w:val="000000"/>
                <w:lang w:val="en-US" w:eastAsia="zh-CN"/>
              </w:rPr>
              <w:t>g. 贮存设施应采取技术和管理措施防止无关人员进入。</w:t>
            </w:r>
          </w:p>
          <w:p w14:paraId="1D85CEF5">
            <w:pPr>
              <w:spacing w:line="520" w:lineRule="exact"/>
              <w:ind w:firstLine="482" w:firstLineChars="200"/>
              <w:rPr>
                <w:rFonts w:hint="eastAsia" w:ascii="Times New Roman" w:hAnsi="Times New Roman" w:eastAsia="宋体"/>
                <w:b/>
                <w:bCs/>
                <w:color w:val="000000"/>
                <w:lang w:val="zh-CN"/>
              </w:rPr>
            </w:pPr>
            <w:r>
              <w:rPr>
                <w:rFonts w:hint="eastAsia" w:ascii="Times New Roman" w:hAnsi="Times New Roman" w:eastAsia="宋体"/>
                <w:b/>
                <w:bCs/>
                <w:color w:val="000000"/>
                <w:lang w:val="en-US" w:eastAsia="zh-CN"/>
              </w:rPr>
              <w:t>危险废物运输污染防治措施分析</w:t>
            </w:r>
          </w:p>
          <w:p w14:paraId="71362169">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en-US" w:eastAsia="zh-CN"/>
              </w:rPr>
              <w:t xml:space="preserve">针对危险废物储运的方式，本报告提出以下相应的要求： </w:t>
            </w:r>
          </w:p>
          <w:p w14:paraId="28E1D286">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en-US" w:eastAsia="zh-CN"/>
              </w:rPr>
              <w:t>在采取处理废弃物的措施同时，加强对废弃物的管理，特别是对危险废物的管理。为防止废弃物逸散、流失，采取有害废物分类集中堆放、专人负责等措施，可有效地防止废弃物的二次污染。</w:t>
            </w:r>
          </w:p>
          <w:p w14:paraId="793A4F9A">
            <w:pPr>
              <w:spacing w:line="520" w:lineRule="exact"/>
              <w:ind w:firstLine="480" w:firstLineChars="200"/>
              <w:rPr>
                <w:rFonts w:hint="default" w:ascii="Times New Roman" w:hAnsi="Times New Roman" w:eastAsia="宋体"/>
                <w:color w:val="000000"/>
                <w:lang w:val="en-US" w:eastAsia="zh-CN"/>
              </w:rPr>
            </w:pPr>
            <w:r>
              <w:rPr>
                <w:rFonts w:hint="default" w:ascii="Times New Roman" w:hAnsi="Times New Roman" w:eastAsia="宋体"/>
                <w:color w:val="000000"/>
                <w:lang w:val="en-US" w:eastAsia="zh-CN"/>
              </w:rPr>
              <w:t>根据中华人民共和国国务院令第 344 号《危险化学品安全管理条例》的有关规定，在危险废弃物外运至处置单位时必须严格遵守以下要求：</w:t>
            </w:r>
          </w:p>
          <w:p w14:paraId="384DF1AE">
            <w:pPr>
              <w:spacing w:line="520" w:lineRule="exact"/>
              <w:ind w:firstLine="480" w:firstLineChars="200"/>
              <w:rPr>
                <w:rFonts w:hint="default" w:ascii="Times New Roman" w:hAnsi="Times New Roman" w:eastAsia="宋体"/>
                <w:color w:val="000000"/>
                <w:lang w:val="en-US" w:eastAsia="zh-CN"/>
              </w:rPr>
            </w:pPr>
            <w:r>
              <w:rPr>
                <w:rFonts w:hint="default" w:ascii="Times New Roman" w:hAnsi="Times New Roman" w:eastAsia="宋体"/>
                <w:color w:val="000000"/>
                <w:lang w:val="en-US" w:eastAsia="zh-CN"/>
              </w:rPr>
              <w:t>①危险废物的转移和运输应按照《危险废物转移联单管理办法》的规定报批危险废物转移计划，填写好危险废物转移电子联单，并必须交由有资质的单位承运。做好每次外运处置废弃物的运输登记，认真填写危险废物转移电子联单。</w:t>
            </w:r>
          </w:p>
          <w:p w14:paraId="44A723FF">
            <w:pPr>
              <w:spacing w:line="520" w:lineRule="exact"/>
              <w:ind w:firstLine="480" w:firstLineChars="200"/>
              <w:rPr>
                <w:rFonts w:hint="default" w:ascii="Times New Roman" w:hAnsi="Times New Roman" w:eastAsia="宋体"/>
                <w:color w:val="000000"/>
                <w:lang w:val="en-US" w:eastAsia="zh-CN"/>
              </w:rPr>
            </w:pPr>
            <w:r>
              <w:rPr>
                <w:rFonts w:hint="default" w:ascii="Times New Roman" w:hAnsi="Times New Roman" w:eastAsia="宋体"/>
                <w:color w:val="000000"/>
                <w:lang w:val="en-US" w:eastAsia="zh-CN"/>
              </w:rPr>
              <w:t>②危险废物的运输车辆须经主管单位检查，并持有有关单位签发的许可证。运输人员必须掌握危险化学品运输的安全知识，了解所运载的危险物质的性质、危害特性、包装容器的使用特性和发生意外时的应急措施。</w:t>
            </w:r>
          </w:p>
          <w:p w14:paraId="08D3E3B9">
            <w:pPr>
              <w:spacing w:line="520" w:lineRule="exact"/>
              <w:ind w:firstLine="480" w:firstLineChars="200"/>
              <w:rPr>
                <w:rFonts w:hint="default" w:ascii="Times New Roman" w:hAnsi="Times New Roman" w:eastAsia="宋体"/>
                <w:color w:val="000000"/>
                <w:lang w:val="en-US" w:eastAsia="zh-CN"/>
              </w:rPr>
            </w:pPr>
            <w:r>
              <w:rPr>
                <w:rFonts w:hint="default" w:ascii="Times New Roman" w:hAnsi="Times New Roman" w:eastAsia="宋体"/>
                <w:color w:val="000000"/>
                <w:lang w:val="en-US" w:eastAsia="zh-CN"/>
              </w:rPr>
              <w:t>③承载危险废物的车辆须有明显的标志或适当的危险符号，以引起注意。载有危险废物车辆在公路上行驶时，需持有运输许可证，其上应注明废物来源、性质和运往地点。</w:t>
            </w:r>
          </w:p>
          <w:p w14:paraId="3B82ABBD">
            <w:pPr>
              <w:spacing w:line="520" w:lineRule="exact"/>
              <w:ind w:firstLine="480" w:firstLineChars="200"/>
              <w:rPr>
                <w:rFonts w:hint="default" w:ascii="Times New Roman" w:hAnsi="Times New Roman" w:eastAsia="宋体"/>
                <w:color w:val="000000"/>
                <w:lang w:val="en-US" w:eastAsia="zh-CN"/>
              </w:rPr>
            </w:pPr>
            <w:r>
              <w:rPr>
                <w:rFonts w:hint="default" w:ascii="Times New Roman" w:hAnsi="Times New Roman" w:eastAsia="宋体"/>
                <w:color w:val="000000"/>
                <w:lang w:val="en-US" w:eastAsia="zh-CN"/>
              </w:rPr>
              <w:t>④组织危险废物的运输单位，在事先需作出周密的运输计划和行驶路线，其中包括有效的废物泄漏情况下的应急措施。运输车辆不得超装、不得超载，必须严格按照指定的路线进行运输，不得进入危化品运输车辆严禁通行的区域。</w:t>
            </w:r>
          </w:p>
          <w:p w14:paraId="095F62EC">
            <w:pPr>
              <w:spacing w:line="520" w:lineRule="exact"/>
              <w:ind w:firstLine="480" w:firstLineChars="200"/>
              <w:rPr>
                <w:rFonts w:hint="default" w:ascii="Times New Roman" w:hAnsi="Times New Roman" w:eastAsia="宋体"/>
                <w:color w:val="000000"/>
                <w:lang w:val="en-US" w:eastAsia="zh-CN"/>
              </w:rPr>
            </w:pPr>
            <w:r>
              <w:rPr>
                <w:rFonts w:hint="default" w:ascii="Times New Roman" w:hAnsi="Times New Roman" w:eastAsia="宋体"/>
                <w:color w:val="000000"/>
                <w:lang w:val="en-US" w:eastAsia="zh-CN"/>
              </w:rPr>
              <w:t>⑤危险废物在运输途中若发生被盗、丢失、流散、泄漏等情况时，公司及押运人员必须立即向当地公安部门报告，并采取一切可能的警示措施。</w:t>
            </w:r>
          </w:p>
          <w:p w14:paraId="619964EE">
            <w:pPr>
              <w:spacing w:line="520" w:lineRule="exact"/>
              <w:ind w:firstLine="480" w:firstLineChars="200"/>
              <w:rPr>
                <w:rFonts w:hint="default" w:ascii="Times New Roman" w:hAnsi="Times New Roman" w:eastAsia="宋体"/>
                <w:color w:val="000000"/>
                <w:lang w:val="en-US" w:eastAsia="zh-CN"/>
              </w:rPr>
            </w:pPr>
            <w:r>
              <w:rPr>
                <w:rFonts w:hint="default" w:ascii="Times New Roman" w:hAnsi="Times New Roman" w:eastAsia="宋体"/>
                <w:color w:val="000000"/>
                <w:lang w:val="en-US" w:eastAsia="zh-CN"/>
              </w:rPr>
              <w:t>⑥一旦发生危险废物泄漏事故，公司各危废处置单位都应积极协助有关部门采取必要的安全措施，减少事故损失，防止事故蔓延、扩大；针对事故对人体、动植物、土壤、水源、空气造成的现实危害进行监测、处置。直至符合国家环境保护标准。</w:t>
            </w:r>
          </w:p>
          <w:p w14:paraId="53CCA393">
            <w:pPr>
              <w:pStyle w:val="28"/>
              <w:spacing w:line="520" w:lineRule="exact"/>
              <w:ind w:firstLine="482" w:firstLineChars="200"/>
              <w:jc w:val="left"/>
              <w:rPr>
                <w:rFonts w:hint="eastAsia" w:ascii="Times New Roman" w:hAnsi="Times New Roman" w:eastAsia="宋体" w:cs="Times New Roman"/>
                <w:b/>
                <w:bCs/>
                <w:color w:val="000000"/>
                <w:lang w:val="en-US" w:eastAsia="zh-CN" w:bidi="zh-CN"/>
              </w:rPr>
            </w:pPr>
            <w:r>
              <w:rPr>
                <w:rFonts w:hint="default" w:ascii="Times New Roman" w:hAnsi="Times New Roman" w:eastAsia="宋体" w:cs="Times New Roman"/>
                <w:b/>
                <w:bCs/>
                <w:color w:val="000000"/>
                <w:lang w:val="en-US" w:eastAsia="zh-CN" w:bidi="zh-CN"/>
              </w:rPr>
              <w:t>4</w:t>
            </w:r>
            <w:r>
              <w:rPr>
                <w:rFonts w:hint="eastAsia" w:ascii="Times New Roman" w:hAnsi="Times New Roman" w:eastAsia="宋体" w:cs="Times New Roman"/>
                <w:b/>
                <w:bCs/>
                <w:color w:val="000000"/>
                <w:lang w:val="en-US" w:eastAsia="zh-CN" w:bidi="zh-CN"/>
              </w:rPr>
              <w:t>.3、固体废物影响结论</w:t>
            </w:r>
          </w:p>
          <w:p w14:paraId="523E0F30">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en-US" w:eastAsia="zh-CN"/>
              </w:rPr>
              <w:t>本项目产生的固废主要为生活垃圾、危险废物和一般固废，一般固废主要为布袋除尘器收集的粉尘，统一收集后</w:t>
            </w:r>
            <w:r>
              <w:rPr>
                <w:rFonts w:hint="eastAsia"/>
                <w:color w:val="000000"/>
                <w:lang w:val="en-US" w:eastAsia="zh-CN"/>
              </w:rPr>
              <w:t>回用于生产</w:t>
            </w:r>
            <w:r>
              <w:rPr>
                <w:rFonts w:hint="eastAsia" w:ascii="Times New Roman" w:hAnsi="Times New Roman" w:eastAsia="宋体"/>
                <w:color w:val="000000"/>
                <w:lang w:val="en-US" w:eastAsia="zh-CN"/>
              </w:rPr>
              <w:t>。危险废物主要是废活性炭，定期委托有资质的公司处理。项目产生的固废均能得到有效处置，不会产生二次污染，对周边环境影响较小。</w:t>
            </w:r>
          </w:p>
          <w:p w14:paraId="0F4DF260">
            <w:pPr>
              <w:pStyle w:val="30"/>
              <w:spacing w:line="520" w:lineRule="exact"/>
              <w:ind w:left="0" w:leftChars="0" w:firstLine="0" w:firstLineChars="0"/>
              <w:rPr>
                <w:rFonts w:hint="eastAsia" w:ascii="Times New Roman" w:hAnsi="Times New Roman" w:eastAsia="宋体" w:cs="Times New Roman"/>
                <w:b/>
                <w:bCs/>
                <w:color w:val="000000"/>
                <w:kern w:val="2"/>
                <w:sz w:val="24"/>
                <w:szCs w:val="24"/>
                <w:lang w:val="en-US" w:eastAsia="zh-CN" w:bidi="zh-CN"/>
              </w:rPr>
            </w:pPr>
            <w:r>
              <w:rPr>
                <w:rFonts w:hint="eastAsia" w:ascii="Times New Roman" w:hAnsi="Times New Roman" w:eastAsia="宋体" w:cs="Times New Roman"/>
                <w:b/>
                <w:bCs/>
                <w:color w:val="000000"/>
                <w:kern w:val="2"/>
                <w:sz w:val="24"/>
                <w:szCs w:val="24"/>
                <w:lang w:val="en-US" w:eastAsia="zh-CN" w:bidi="zh-CN"/>
              </w:rPr>
              <w:t>5、土壤环境影响分析</w:t>
            </w:r>
          </w:p>
          <w:p w14:paraId="24D8B333">
            <w:pPr>
              <w:spacing w:line="520" w:lineRule="exact"/>
              <w:ind w:firstLine="480" w:firstLineChars="200"/>
              <w:rPr>
                <w:rFonts w:hint="eastAsia" w:ascii="Times New Roman" w:hAnsi="Times New Roman" w:eastAsia="宋体"/>
                <w:color w:val="000000"/>
                <w:lang w:val="en-US" w:eastAsia="zh-CN"/>
              </w:rPr>
            </w:pPr>
            <w:r>
              <w:rPr>
                <w:rFonts w:hint="eastAsia" w:ascii="Times New Roman" w:hAnsi="Times New Roman" w:eastAsia="宋体"/>
                <w:color w:val="000000"/>
                <w:lang w:val="en-US" w:eastAsia="zh-CN"/>
              </w:rPr>
              <w:t>依据《环境影响评价技术导则土壤环境》（HJ964-2018），本项目属于非金属矿物制品中的其他，土壤环境影响评价项目类别为三类项目，因此本项目不进行土壤环境现状评价。</w:t>
            </w:r>
          </w:p>
          <w:p w14:paraId="63AA58C2">
            <w:pPr>
              <w:spacing w:line="520" w:lineRule="exact"/>
              <w:rPr>
                <w:rFonts w:hint="eastAsia" w:ascii="Times New Roman" w:hAnsi="Times New Roman" w:eastAsia="宋体" w:cs="Times New Roman"/>
                <w:b/>
                <w:bCs/>
                <w:color w:val="000000"/>
                <w:kern w:val="2"/>
                <w:sz w:val="24"/>
                <w:szCs w:val="24"/>
                <w:lang w:val="en-US" w:eastAsia="zh-CN" w:bidi="zh-CN"/>
              </w:rPr>
            </w:pPr>
            <w:r>
              <w:rPr>
                <w:rFonts w:hint="eastAsia" w:ascii="Times New Roman" w:hAnsi="Times New Roman" w:eastAsia="宋体" w:cs="Times New Roman"/>
                <w:b/>
                <w:bCs/>
                <w:color w:val="000000"/>
                <w:kern w:val="2"/>
                <w:sz w:val="24"/>
                <w:szCs w:val="24"/>
                <w:lang w:val="en-US" w:eastAsia="zh-CN" w:bidi="zh-CN"/>
              </w:rPr>
              <w:t>6、与排污许可的衔接</w:t>
            </w:r>
          </w:p>
          <w:p w14:paraId="02B6EFAB">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rPr>
              <w:t>根据《排污许可管理办法（</w:t>
            </w:r>
            <w:r>
              <w:rPr>
                <w:rFonts w:hint="eastAsia" w:ascii="Times New Roman" w:hAnsi="Times New Roman" w:eastAsia="宋体"/>
                <w:color w:val="000000"/>
                <w:lang w:val="en-US" w:eastAsia="zh-CN"/>
              </w:rPr>
              <w:t>试行）》（环境保护部部令第48号）和《关于做好环境影响评价制度与排污许可制衔接相</w:t>
            </w:r>
            <w:r>
              <w:rPr>
                <w:rFonts w:hint="eastAsia" w:ascii="Times New Roman" w:hAnsi="Times New Roman" w:eastAsia="宋体"/>
                <w:color w:val="000000"/>
                <w:lang w:val="zh-CN"/>
              </w:rPr>
              <w:t>关工作的通知》（环办环评[2017]84号），本项目应按照规定的时限申请并取得排污许可证。</w:t>
            </w:r>
            <w:r>
              <w:rPr>
                <w:rFonts w:hint="eastAsia" w:ascii="Times New Roman" w:hAnsi="Times New Roman" w:eastAsia="宋体"/>
                <w:color w:val="000000"/>
                <w:highlight w:val="none"/>
                <w:lang w:val="zh-CN"/>
              </w:rPr>
              <w:t>根据《固定污染源排污许可分类管理名录》（2019年版），“</w:t>
            </w:r>
            <w:r>
              <w:rPr>
                <w:rFonts w:hint="eastAsia"/>
                <w:color w:val="000000"/>
                <w:highlight w:val="none"/>
                <w:lang w:val="en-US" w:eastAsia="zh-CN"/>
              </w:rPr>
              <w:t>三十七</w:t>
            </w:r>
            <w:r>
              <w:rPr>
                <w:rFonts w:hint="eastAsia" w:ascii="Times New Roman" w:hAnsi="Times New Roman" w:eastAsia="宋体"/>
                <w:color w:val="000000"/>
                <w:highlight w:val="none"/>
                <w:lang w:val="zh-CN"/>
              </w:rPr>
              <w:t>、</w:t>
            </w:r>
            <w:r>
              <w:rPr>
                <w:rFonts w:hint="eastAsia"/>
                <w:color w:val="000000"/>
                <w:highlight w:val="none"/>
                <w:lang w:val="en-US" w:eastAsia="zh-CN"/>
              </w:rPr>
              <w:t>废弃资源综合利用业42</w:t>
            </w:r>
            <w:r>
              <w:rPr>
                <w:rFonts w:hint="eastAsia" w:ascii="Times New Roman" w:hAnsi="Times New Roman" w:eastAsia="宋体"/>
                <w:color w:val="000000"/>
                <w:highlight w:val="none"/>
                <w:lang w:val="zh-CN"/>
              </w:rPr>
              <w:t>、</w:t>
            </w:r>
            <w:r>
              <w:rPr>
                <w:rFonts w:hint="eastAsia"/>
                <w:color w:val="000000"/>
                <w:highlight w:val="none"/>
                <w:lang w:val="en-US" w:eastAsia="zh-CN"/>
              </w:rPr>
              <w:t>非金属废料和碎屑加工处理</w:t>
            </w:r>
            <w:r>
              <w:rPr>
                <w:rFonts w:hint="eastAsia" w:ascii="Times New Roman" w:hAnsi="Times New Roman" w:eastAsia="宋体"/>
                <w:color w:val="000000"/>
                <w:highlight w:val="none"/>
                <w:lang w:val="zh-CN"/>
              </w:rPr>
              <w:t>中</w:t>
            </w:r>
            <w:r>
              <w:rPr>
                <w:rFonts w:hint="eastAsia"/>
                <w:color w:val="000000"/>
                <w:highlight w:val="none"/>
                <w:lang w:val="en-US" w:eastAsia="zh-CN"/>
              </w:rPr>
              <w:t>废轮胎加工处理</w:t>
            </w:r>
            <w:r>
              <w:rPr>
                <w:rFonts w:hint="eastAsia" w:ascii="Times New Roman" w:hAnsi="Times New Roman" w:eastAsia="宋体"/>
                <w:color w:val="000000" w:themeColor="text1"/>
                <w:highlight w:val="none"/>
                <w:lang w:val="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重点</w:t>
            </w:r>
            <w:r>
              <w:rPr>
                <w:rFonts w:hint="eastAsia" w:ascii="Times New Roman" w:hAnsi="Times New Roman" w:eastAsia="宋体"/>
                <w:color w:val="000000" w:themeColor="text1"/>
                <w:highlight w:val="none"/>
                <w:lang w:val="zh-CN"/>
                <w14:textFill>
                  <w14:solidFill>
                    <w14:schemeClr w14:val="tx1"/>
                  </w14:solidFill>
                </w14:textFill>
              </w:rPr>
              <w:t>管理</w:t>
            </w:r>
            <w:r>
              <w:rPr>
                <w:rFonts w:hint="eastAsia"/>
                <w:color w:val="000000" w:themeColor="text1"/>
                <w:highlight w:val="none"/>
                <w:lang w:val="zh-CN"/>
                <w14:textFill>
                  <w14:solidFill>
                    <w14:schemeClr w14:val="tx1"/>
                  </w14:solidFill>
                </w14:textFill>
              </w:rPr>
              <w:t>。</w:t>
            </w:r>
            <w:r>
              <w:rPr>
                <w:rFonts w:hint="eastAsia" w:ascii="Times New Roman" w:hAnsi="Times New Roman" w:eastAsia="宋体"/>
                <w:color w:val="000000"/>
                <w:highlight w:val="none"/>
                <w:lang w:val="zh-CN"/>
              </w:rPr>
              <w:t>实行重点管理的排污单位在提交排污许可申请材料前，应当将承诺书、基本信息以及拟申请的许可事项向社会公开。公开途径应当选择包括全国排污许可证管理信息平台等便于公众知晓的方式，公开时间不得少于五个工作日。</w:t>
            </w:r>
          </w:p>
          <w:p w14:paraId="2159AE8B">
            <w:pPr>
              <w:numPr>
                <w:ilvl w:val="0"/>
                <w:numId w:val="0"/>
              </w:numPr>
              <w:spacing w:line="520" w:lineRule="exact"/>
              <w:ind w:leftChars="0"/>
              <w:rPr>
                <w:rFonts w:hint="eastAsia" w:cs="Times New Roman"/>
                <w:b/>
                <w:bCs/>
                <w:color w:val="000000"/>
                <w:kern w:val="2"/>
                <w:sz w:val="24"/>
                <w:szCs w:val="24"/>
                <w:u w:val="single"/>
                <w:lang w:val="en-US" w:eastAsia="zh-CN" w:bidi="zh-CN"/>
              </w:rPr>
            </w:pPr>
            <w:r>
              <w:rPr>
                <w:rFonts w:hint="eastAsia" w:cs="Times New Roman"/>
                <w:b/>
                <w:bCs/>
                <w:color w:val="000000"/>
                <w:kern w:val="2"/>
                <w:sz w:val="24"/>
                <w:szCs w:val="24"/>
                <w:u w:val="single"/>
                <w:lang w:val="en-US" w:eastAsia="zh-CN" w:bidi="zh-CN"/>
              </w:rPr>
              <w:t>7、环境风险分析</w:t>
            </w:r>
          </w:p>
          <w:p w14:paraId="6FF10FFC">
            <w:pPr>
              <w:keepNext w:val="0"/>
              <w:keepLines w:val="0"/>
              <w:widowControl/>
              <w:suppressLineNumbers w:val="0"/>
              <w:ind w:firstLine="482" w:firstLineChars="200"/>
              <w:jc w:val="left"/>
              <w:rPr>
                <w:rFonts w:hint="default" w:ascii="Times New Roman" w:hAnsi="Times New Roman" w:eastAsia="宋体" w:cs="Times New Roman"/>
                <w:b/>
                <w:bCs/>
                <w:color w:val="000000"/>
                <w:kern w:val="2"/>
                <w:sz w:val="24"/>
                <w:szCs w:val="24"/>
                <w:u w:val="single"/>
                <w:lang w:val="en-US" w:eastAsia="zh-CN" w:bidi="zh-CN"/>
              </w:rPr>
            </w:pPr>
            <w:r>
              <w:rPr>
                <w:rFonts w:hint="eastAsia" w:ascii="Times New Roman" w:hAnsi="Times New Roman" w:eastAsia="宋体" w:cs="Times New Roman"/>
                <w:b/>
                <w:bCs/>
                <w:color w:val="000000"/>
                <w:kern w:val="2"/>
                <w:sz w:val="24"/>
                <w:szCs w:val="24"/>
                <w:u w:val="single"/>
                <w:lang w:val="en-US" w:eastAsia="zh-CN" w:bidi="zh-CN"/>
              </w:rPr>
              <w:t>7</w:t>
            </w:r>
            <w:r>
              <w:rPr>
                <w:rFonts w:hint="default" w:ascii="Times New Roman" w:hAnsi="Times New Roman" w:eastAsia="宋体" w:cs="Times New Roman"/>
                <w:b/>
                <w:bCs/>
                <w:color w:val="000000"/>
                <w:kern w:val="2"/>
                <w:sz w:val="24"/>
                <w:szCs w:val="24"/>
                <w:u w:val="single"/>
                <w:lang w:val="en-US" w:eastAsia="zh-CN" w:bidi="zh-CN"/>
              </w:rPr>
              <w:t>.</w:t>
            </w:r>
            <w:r>
              <w:rPr>
                <w:rFonts w:hint="eastAsia" w:ascii="Times New Roman" w:hAnsi="Times New Roman" w:eastAsia="宋体" w:cs="Times New Roman"/>
                <w:b/>
                <w:bCs/>
                <w:color w:val="000000"/>
                <w:kern w:val="2"/>
                <w:sz w:val="24"/>
                <w:szCs w:val="24"/>
                <w:u w:val="single"/>
                <w:lang w:val="en-US" w:eastAsia="zh-CN" w:bidi="zh-CN"/>
              </w:rPr>
              <w:t>1</w:t>
            </w:r>
            <w:r>
              <w:rPr>
                <w:rFonts w:hint="default" w:ascii="Times New Roman" w:hAnsi="Times New Roman" w:eastAsia="宋体" w:cs="Times New Roman"/>
                <w:b/>
                <w:bCs/>
                <w:color w:val="000000"/>
                <w:kern w:val="2"/>
                <w:sz w:val="24"/>
                <w:szCs w:val="24"/>
                <w:u w:val="single"/>
                <w:lang w:val="en-US" w:eastAsia="zh-CN" w:bidi="zh-CN"/>
              </w:rPr>
              <w:t>大气环境风险事故分析</w:t>
            </w:r>
          </w:p>
          <w:p w14:paraId="7F774E1E">
            <w:pPr>
              <w:spacing w:line="520" w:lineRule="exact"/>
              <w:ind w:firstLine="482" w:firstLineChars="200"/>
              <w:rPr>
                <w:rFonts w:hint="default" w:ascii="Times New Roman" w:hAnsi="Times New Roman" w:eastAsia="宋体"/>
                <w:b/>
                <w:bCs/>
                <w:color w:val="000000"/>
                <w:u w:val="single"/>
                <w:lang w:val="en-US" w:eastAsia="zh-CN"/>
              </w:rPr>
            </w:pPr>
            <w:r>
              <w:rPr>
                <w:rFonts w:hint="default" w:ascii="Times New Roman" w:hAnsi="Times New Roman" w:eastAsia="宋体"/>
                <w:b/>
                <w:bCs/>
                <w:color w:val="000000"/>
                <w:u w:val="single"/>
                <w:lang w:val="en-US" w:eastAsia="zh-CN"/>
              </w:rPr>
              <w:t>本项目废气主要为粉尘等，毒性较低接排放量较小，只要加强管理并及时采取事故风险防范措施，此类事故对周围大气环境产生的影响较小。</w:t>
            </w:r>
          </w:p>
          <w:p w14:paraId="65903EB1">
            <w:pPr>
              <w:keepNext w:val="0"/>
              <w:keepLines w:val="0"/>
              <w:widowControl/>
              <w:suppressLineNumbers w:val="0"/>
              <w:ind w:firstLine="482" w:firstLineChars="200"/>
              <w:jc w:val="left"/>
              <w:rPr>
                <w:rFonts w:hint="default" w:ascii="Times New Roman" w:hAnsi="Times New Roman" w:eastAsia="宋体" w:cs="Times New Roman"/>
                <w:b/>
                <w:bCs/>
                <w:color w:val="000000"/>
                <w:kern w:val="2"/>
                <w:sz w:val="24"/>
                <w:szCs w:val="24"/>
                <w:u w:val="single"/>
                <w:lang w:val="en-US" w:eastAsia="zh-CN" w:bidi="zh-CN"/>
              </w:rPr>
            </w:pPr>
            <w:r>
              <w:rPr>
                <w:rFonts w:hint="eastAsia" w:ascii="Times New Roman" w:hAnsi="Times New Roman" w:eastAsia="宋体" w:cs="Times New Roman"/>
                <w:b/>
                <w:bCs/>
                <w:color w:val="000000"/>
                <w:kern w:val="2"/>
                <w:sz w:val="24"/>
                <w:szCs w:val="24"/>
                <w:u w:val="single"/>
                <w:lang w:val="en-US" w:eastAsia="zh-CN" w:bidi="zh-CN"/>
              </w:rPr>
              <w:t xml:space="preserve">7.2 </w:t>
            </w:r>
            <w:r>
              <w:rPr>
                <w:rFonts w:hint="default" w:ascii="Times New Roman" w:hAnsi="Times New Roman" w:eastAsia="宋体" w:cs="Times New Roman"/>
                <w:b/>
                <w:bCs/>
                <w:color w:val="000000"/>
                <w:kern w:val="2"/>
                <w:sz w:val="24"/>
                <w:szCs w:val="24"/>
                <w:u w:val="single"/>
                <w:lang w:val="en-US" w:eastAsia="zh-CN" w:bidi="zh-CN"/>
              </w:rPr>
              <w:t>地表水环境风险事故分析</w:t>
            </w:r>
          </w:p>
          <w:p w14:paraId="20189716">
            <w:pPr>
              <w:spacing w:line="520" w:lineRule="exact"/>
              <w:ind w:firstLine="482" w:firstLineChars="200"/>
              <w:rPr>
                <w:rFonts w:hint="eastAsia"/>
                <w:b/>
                <w:bCs/>
                <w:color w:val="000000"/>
                <w:u w:val="single"/>
                <w:lang w:val="en-US" w:eastAsia="zh-CN"/>
              </w:rPr>
            </w:pPr>
            <w:r>
              <w:rPr>
                <w:rFonts w:hint="default" w:ascii="Times New Roman" w:hAnsi="Times New Roman" w:eastAsia="宋体"/>
                <w:b/>
                <w:bCs/>
                <w:color w:val="000000"/>
                <w:u w:val="single"/>
                <w:lang w:val="en-US" w:eastAsia="zh-CN"/>
              </w:rPr>
              <w:t>项目生活污水经隔油池+化粪池处理，废水排入</w:t>
            </w:r>
            <w:r>
              <w:rPr>
                <w:rFonts w:hint="eastAsia"/>
                <w:b/>
                <w:bCs/>
                <w:color w:val="000000"/>
                <w:u w:val="single"/>
                <w:lang w:val="en-US" w:eastAsia="zh-CN"/>
              </w:rPr>
              <w:t>南乐县城污水处理厂；冷却水循环使用不外排，本项目废水排放对环境的影响较小。</w:t>
            </w:r>
          </w:p>
          <w:p w14:paraId="0ED5A83D">
            <w:pPr>
              <w:keepNext w:val="0"/>
              <w:keepLines w:val="0"/>
              <w:widowControl/>
              <w:suppressLineNumbers w:val="0"/>
              <w:ind w:firstLine="482" w:firstLineChars="200"/>
              <w:jc w:val="left"/>
              <w:rPr>
                <w:rFonts w:hint="default" w:ascii="Times New Roman" w:hAnsi="Times New Roman" w:eastAsia="宋体" w:cs="Times New Roman"/>
                <w:b/>
                <w:bCs/>
                <w:color w:val="000000"/>
                <w:kern w:val="2"/>
                <w:sz w:val="24"/>
                <w:szCs w:val="24"/>
                <w:u w:val="single"/>
                <w:lang w:val="en-US" w:eastAsia="zh-CN" w:bidi="zh-CN"/>
              </w:rPr>
            </w:pPr>
            <w:r>
              <w:rPr>
                <w:rFonts w:hint="eastAsia" w:ascii="Times New Roman" w:hAnsi="Times New Roman" w:eastAsia="宋体" w:cs="Times New Roman"/>
                <w:b/>
                <w:bCs/>
                <w:color w:val="000000"/>
                <w:kern w:val="2"/>
                <w:sz w:val="24"/>
                <w:szCs w:val="24"/>
                <w:u w:val="single"/>
                <w:lang w:val="en-US" w:eastAsia="zh-CN" w:bidi="zh-CN"/>
              </w:rPr>
              <w:t xml:space="preserve">7.3 </w:t>
            </w:r>
            <w:r>
              <w:rPr>
                <w:rFonts w:hint="default" w:ascii="Times New Roman" w:hAnsi="Times New Roman" w:eastAsia="宋体" w:cs="Times New Roman"/>
                <w:b/>
                <w:bCs/>
                <w:color w:val="000000"/>
                <w:kern w:val="2"/>
                <w:sz w:val="24"/>
                <w:szCs w:val="24"/>
                <w:u w:val="single"/>
                <w:lang w:val="en-US" w:eastAsia="zh-CN" w:bidi="zh-CN"/>
              </w:rPr>
              <w:t>环境风险防范措施</w:t>
            </w:r>
          </w:p>
          <w:p w14:paraId="14633CB5">
            <w:pPr>
              <w:spacing w:line="520" w:lineRule="exact"/>
              <w:ind w:firstLine="482" w:firstLineChars="200"/>
              <w:rPr>
                <w:rFonts w:hint="default" w:ascii="Times New Roman" w:hAnsi="Times New Roman" w:eastAsia="宋体"/>
                <w:b/>
                <w:bCs/>
                <w:color w:val="000000"/>
                <w:u w:val="single"/>
                <w:lang w:val="en-US" w:eastAsia="zh-CN"/>
              </w:rPr>
            </w:pPr>
            <w:r>
              <w:rPr>
                <w:rFonts w:hint="default" w:ascii="Times New Roman" w:hAnsi="Times New Roman" w:eastAsia="宋体"/>
                <w:b/>
                <w:bCs/>
                <w:color w:val="000000"/>
                <w:u w:val="single"/>
                <w:lang w:val="en-US" w:eastAsia="zh-CN"/>
              </w:rPr>
              <w:t>企业的设计内容将直接影响在生产中发生事故的概率，设计上的失误可能导致一些不可预见事故的发生。为减小生产过程中事故的发生概率，工程在设计过程中应采取以下措施：</w:t>
            </w:r>
          </w:p>
          <w:p w14:paraId="27EC17C4">
            <w:pPr>
              <w:spacing w:line="520" w:lineRule="exact"/>
              <w:ind w:firstLine="482" w:firstLineChars="200"/>
              <w:rPr>
                <w:rFonts w:hint="default" w:ascii="Times New Roman" w:hAnsi="Times New Roman" w:eastAsia="宋体"/>
                <w:b/>
                <w:bCs/>
                <w:color w:val="000000"/>
                <w:u w:val="single"/>
                <w:lang w:val="en-US" w:eastAsia="zh-CN"/>
              </w:rPr>
            </w:pPr>
            <w:r>
              <w:rPr>
                <w:rFonts w:hint="default" w:ascii="Times New Roman" w:hAnsi="Times New Roman" w:eastAsia="宋体"/>
                <w:b/>
                <w:bCs/>
                <w:color w:val="000000"/>
                <w:u w:val="single"/>
                <w:lang w:val="en-US" w:eastAsia="zh-CN"/>
              </w:rPr>
              <w:t>严格执行国家及有关部门颁布的标准、规范和规定。设计中认真贯彻执行“安全第</w:t>
            </w:r>
            <w:r>
              <w:rPr>
                <w:rFonts w:hint="eastAsia"/>
                <w:b/>
                <w:bCs/>
                <w:color w:val="000000"/>
                <w:u w:val="single"/>
                <w:lang w:val="en-US" w:eastAsia="zh-CN"/>
              </w:rPr>
              <w:t>一</w:t>
            </w:r>
            <w:r>
              <w:rPr>
                <w:rFonts w:hint="default" w:ascii="Times New Roman" w:hAnsi="Times New Roman" w:eastAsia="宋体"/>
                <w:b/>
                <w:bCs/>
                <w:color w:val="000000"/>
                <w:u w:val="single"/>
                <w:lang w:val="en-US" w:eastAsia="zh-CN"/>
              </w:rPr>
              <w:t>预防为主”规定。在容易引起火灾的场所，设置灭火器，用于扑救小型初始火灾。厂区道路旁设置消火栓，24h 不间断供水。</w:t>
            </w:r>
          </w:p>
          <w:p w14:paraId="3CAF06CE">
            <w:pPr>
              <w:spacing w:line="520" w:lineRule="exact"/>
              <w:ind w:firstLine="482" w:firstLineChars="200"/>
              <w:rPr>
                <w:rFonts w:hint="default" w:ascii="Times New Roman" w:hAnsi="Times New Roman" w:eastAsia="宋体"/>
                <w:b/>
                <w:bCs/>
                <w:color w:val="000000"/>
                <w:u w:val="single"/>
                <w:lang w:val="en-US" w:eastAsia="zh-CN"/>
              </w:rPr>
            </w:pPr>
            <w:r>
              <w:rPr>
                <w:rFonts w:hint="default" w:ascii="Times New Roman" w:hAnsi="Times New Roman" w:eastAsia="宋体"/>
                <w:b/>
                <w:bCs/>
                <w:color w:val="000000"/>
                <w:u w:val="single"/>
                <w:lang w:val="en-US" w:eastAsia="zh-CN"/>
              </w:rPr>
              <w:t>废旧轮胎属可燃物，在贮存过程中如管理不善，有可能发生火灾事故。废旧轮胎燃烧时产生的高温、烟尘和有毒有害气体，对人畜和环境均有较大的危害。储存过程必严格遵守安全防火规定、仓库和堆场配备防火器材，严禁与易燃易爆品混存。如突发火灾，应立即采取急救措施并及时向当地环保等有关部门报告。</w:t>
            </w:r>
          </w:p>
          <w:p w14:paraId="40F2FF19">
            <w:pPr>
              <w:keepNext w:val="0"/>
              <w:keepLines w:val="0"/>
              <w:widowControl/>
              <w:suppressLineNumbers w:val="0"/>
              <w:ind w:firstLine="482" w:firstLineChars="200"/>
              <w:jc w:val="left"/>
              <w:rPr>
                <w:rFonts w:hint="default" w:ascii="Times New Roman" w:hAnsi="Times New Roman" w:eastAsia="宋体"/>
                <w:color w:val="000000"/>
                <w:u w:val="single"/>
                <w:lang w:val="en-US" w:eastAsia="zh-CN"/>
              </w:rPr>
            </w:pPr>
            <w:r>
              <w:rPr>
                <w:rFonts w:hint="eastAsia" w:ascii="Times New Roman" w:hAnsi="Times New Roman" w:eastAsia="宋体" w:cs="Times New Roman"/>
                <w:b/>
                <w:bCs/>
                <w:color w:val="000000"/>
                <w:kern w:val="2"/>
                <w:sz w:val="24"/>
                <w:szCs w:val="24"/>
                <w:u w:val="single"/>
                <w:lang w:val="en-US" w:eastAsia="zh-CN" w:bidi="zh-CN"/>
              </w:rPr>
              <w:t xml:space="preserve">7.4 </w:t>
            </w:r>
            <w:r>
              <w:rPr>
                <w:rFonts w:hint="default" w:ascii="Times New Roman" w:hAnsi="Times New Roman" w:eastAsia="宋体" w:cs="Times New Roman"/>
                <w:b/>
                <w:bCs/>
                <w:color w:val="000000"/>
                <w:kern w:val="2"/>
                <w:sz w:val="24"/>
                <w:szCs w:val="24"/>
                <w:u w:val="single"/>
                <w:lang w:val="en-US" w:eastAsia="zh-CN" w:bidi="zh-CN"/>
              </w:rPr>
              <w:t>管理对策措施</w:t>
            </w:r>
          </w:p>
          <w:p w14:paraId="6C8BD6A4">
            <w:pPr>
              <w:spacing w:line="520" w:lineRule="exact"/>
              <w:ind w:firstLine="482" w:firstLineChars="200"/>
              <w:rPr>
                <w:rFonts w:hint="eastAsia" w:ascii="Times New Roman" w:hAnsi="Times New Roman" w:eastAsia="宋体"/>
                <w:b/>
                <w:bCs/>
                <w:color w:val="000000"/>
                <w:u w:val="single"/>
                <w:lang w:val="en-US" w:eastAsia="zh-CN"/>
              </w:rPr>
            </w:pPr>
            <w:r>
              <w:rPr>
                <w:rFonts w:hint="eastAsia" w:ascii="Times New Roman" w:hAnsi="Times New Roman" w:eastAsia="宋体"/>
                <w:b/>
                <w:bCs/>
                <w:color w:val="000000"/>
                <w:u w:val="single"/>
                <w:lang w:val="en-US" w:eastAsia="zh-CN"/>
              </w:rPr>
              <w:t>加强员工的安全、环保知识和风险事故安全教育，提高职工的风险意识，减少风险发生的概率。所有从业人员应当掌握本职工作所需的危险化学品安全知识和技能，严格遵守危险化学品安全规章制度和操作规程，了解其作业场所和工作存在的危险有害因素以及企业所采取的防范措施和环境突发事故应急措施。</w:t>
            </w:r>
          </w:p>
          <w:p w14:paraId="4D044172">
            <w:pPr>
              <w:keepNext w:val="0"/>
              <w:keepLines w:val="0"/>
              <w:widowControl/>
              <w:suppressLineNumbers w:val="0"/>
              <w:ind w:firstLine="482" w:firstLineChars="200"/>
              <w:jc w:val="left"/>
              <w:rPr>
                <w:rFonts w:hint="default" w:ascii="Times New Roman" w:hAnsi="Times New Roman" w:eastAsia="宋体" w:cs="Times New Roman"/>
                <w:b/>
                <w:bCs/>
                <w:color w:val="000000"/>
                <w:kern w:val="2"/>
                <w:sz w:val="24"/>
                <w:szCs w:val="24"/>
                <w:u w:val="single"/>
                <w:lang w:val="en-US" w:eastAsia="zh-CN" w:bidi="zh-CN"/>
              </w:rPr>
            </w:pPr>
            <w:r>
              <w:rPr>
                <w:rFonts w:hint="eastAsia" w:ascii="Times New Roman" w:hAnsi="Times New Roman" w:eastAsia="宋体" w:cs="Times New Roman"/>
                <w:b/>
                <w:bCs/>
                <w:color w:val="000000"/>
                <w:kern w:val="2"/>
                <w:sz w:val="24"/>
                <w:szCs w:val="24"/>
                <w:u w:val="single"/>
                <w:lang w:val="en-US" w:eastAsia="zh-CN" w:bidi="zh-CN"/>
              </w:rPr>
              <w:t>7.</w:t>
            </w:r>
            <w:r>
              <w:rPr>
                <w:rFonts w:hint="eastAsia" w:cs="Times New Roman"/>
                <w:b/>
                <w:bCs/>
                <w:color w:val="000000"/>
                <w:kern w:val="2"/>
                <w:sz w:val="24"/>
                <w:szCs w:val="24"/>
                <w:u w:val="single"/>
                <w:lang w:val="en-US" w:eastAsia="zh-CN" w:bidi="zh-CN"/>
              </w:rPr>
              <w:t>5</w:t>
            </w:r>
            <w:r>
              <w:rPr>
                <w:rFonts w:hint="eastAsia" w:ascii="Times New Roman" w:hAnsi="Times New Roman" w:eastAsia="宋体" w:cs="Times New Roman"/>
                <w:b/>
                <w:bCs/>
                <w:color w:val="000000"/>
                <w:kern w:val="2"/>
                <w:sz w:val="24"/>
                <w:szCs w:val="24"/>
                <w:u w:val="single"/>
                <w:lang w:val="en-US" w:eastAsia="zh-CN" w:bidi="zh-CN"/>
              </w:rPr>
              <w:t xml:space="preserve"> </w:t>
            </w:r>
            <w:r>
              <w:rPr>
                <w:rFonts w:hint="default" w:ascii="Times New Roman" w:hAnsi="Times New Roman" w:eastAsia="宋体" w:cs="Times New Roman"/>
                <w:b/>
                <w:bCs/>
                <w:color w:val="000000"/>
                <w:kern w:val="2"/>
                <w:sz w:val="24"/>
                <w:szCs w:val="24"/>
                <w:u w:val="single"/>
                <w:lang w:val="en-US" w:eastAsia="zh-CN" w:bidi="zh-CN"/>
              </w:rPr>
              <w:t>环境风险评价结论</w:t>
            </w:r>
          </w:p>
          <w:p w14:paraId="3DFB8623">
            <w:pPr>
              <w:spacing w:line="520" w:lineRule="exact"/>
              <w:ind w:firstLine="482" w:firstLineChars="200"/>
              <w:rPr>
                <w:rFonts w:hint="default" w:ascii="Times New Roman" w:hAnsi="Times New Roman" w:eastAsia="宋体"/>
                <w:b/>
                <w:bCs/>
                <w:color w:val="000000"/>
                <w:lang w:val="en-US" w:eastAsia="zh-CN"/>
              </w:rPr>
            </w:pPr>
            <w:r>
              <w:rPr>
                <w:rFonts w:hint="default" w:ascii="Times New Roman" w:hAnsi="Times New Roman" w:eastAsia="宋体"/>
                <w:b/>
                <w:bCs/>
                <w:color w:val="000000"/>
                <w:u w:val="single"/>
                <w:lang w:val="en-US" w:eastAsia="zh-CN"/>
              </w:rPr>
              <w:t>本项目潜在环境危害程度较低。 企业拟设置专门的安全环保部门，负责全厂的安全环保工作，并制订了各项环保规章制度及编制了突发环境事故应急预案，通过日常演练及加强巡检能够较好地控制厂区环境风险及完善各类风险防范措施。本次项目实施后，企业应按照本环评报告的要求落实各项风险防范措施和安全预评价的安全防范措施，同时及时完善现有的突发环境事故应急预案，并纳入“三同时”验收管理，将项目可能产生的环境风险降到最低。在具体落实本环评报告提出的事故应急防范措施后，可以使风险事故对环境的危害得到有效控制，事故风险可以控制在可接受的范围内。</w:t>
            </w:r>
          </w:p>
          <w:p w14:paraId="4FD0DA86">
            <w:pPr>
              <w:spacing w:line="520" w:lineRule="exact"/>
              <w:rPr>
                <w:rFonts w:hint="default" w:ascii="Times New Roman" w:hAnsi="Times New Roman" w:eastAsia="宋体" w:cs="Times New Roman"/>
                <w:b/>
                <w:bCs/>
                <w:color w:val="000000"/>
                <w:kern w:val="2"/>
                <w:sz w:val="24"/>
                <w:szCs w:val="24"/>
                <w:lang w:val="en-US" w:eastAsia="zh-CN" w:bidi="zh-CN"/>
              </w:rPr>
            </w:pPr>
            <w:r>
              <w:rPr>
                <w:rFonts w:hint="eastAsia" w:cs="Times New Roman"/>
                <w:b/>
                <w:bCs/>
                <w:color w:val="000000"/>
                <w:kern w:val="2"/>
                <w:sz w:val="24"/>
                <w:szCs w:val="24"/>
                <w:lang w:val="en-US" w:eastAsia="zh-CN" w:bidi="zh-CN"/>
              </w:rPr>
              <w:t>8</w:t>
            </w:r>
            <w:r>
              <w:rPr>
                <w:rFonts w:hint="eastAsia" w:ascii="Times New Roman" w:hAnsi="Times New Roman" w:eastAsia="宋体" w:cs="Times New Roman"/>
                <w:b/>
                <w:bCs/>
                <w:color w:val="000000"/>
                <w:kern w:val="2"/>
                <w:sz w:val="24"/>
                <w:szCs w:val="24"/>
                <w:lang w:val="en-US" w:eastAsia="zh-CN" w:bidi="zh-CN"/>
              </w:rPr>
              <w:t>、</w:t>
            </w:r>
            <w:r>
              <w:rPr>
                <w:rFonts w:hint="default" w:ascii="Times New Roman" w:hAnsi="Times New Roman" w:eastAsia="宋体" w:cs="Times New Roman"/>
                <w:b/>
                <w:bCs/>
                <w:color w:val="000000"/>
                <w:kern w:val="2"/>
                <w:sz w:val="24"/>
                <w:szCs w:val="24"/>
                <w:lang w:val="en-US" w:eastAsia="zh-CN" w:bidi="zh-CN"/>
              </w:rPr>
              <w:t>环保</w:t>
            </w:r>
            <w:r>
              <w:rPr>
                <w:rFonts w:hint="eastAsia" w:ascii="Times New Roman" w:hAnsi="Times New Roman" w:eastAsia="宋体" w:cs="Times New Roman"/>
                <w:b/>
                <w:bCs/>
                <w:color w:val="000000"/>
                <w:kern w:val="2"/>
                <w:sz w:val="24"/>
                <w:szCs w:val="24"/>
                <w:lang w:val="en-US" w:eastAsia="zh-CN" w:bidi="zh-CN"/>
              </w:rPr>
              <w:t>投资及</w:t>
            </w:r>
            <w:r>
              <w:rPr>
                <w:rFonts w:hint="default" w:ascii="Times New Roman" w:hAnsi="Times New Roman" w:eastAsia="宋体" w:cs="Times New Roman"/>
                <w:b/>
                <w:bCs/>
                <w:color w:val="000000"/>
                <w:kern w:val="2"/>
                <w:sz w:val="24"/>
                <w:szCs w:val="24"/>
                <w:lang w:val="en-US" w:eastAsia="zh-CN" w:bidi="zh-CN"/>
              </w:rPr>
              <w:t>“三同时”验收内容</w:t>
            </w:r>
          </w:p>
          <w:p w14:paraId="4C7B9034">
            <w:pPr>
              <w:spacing w:line="520" w:lineRule="exact"/>
              <w:ind w:firstLine="480" w:firstLineChars="200"/>
              <w:rPr>
                <w:rFonts w:hint="eastAsia" w:ascii="Times New Roman" w:hAnsi="Times New Roman" w:eastAsia="宋体"/>
                <w:color w:val="000000"/>
                <w:lang w:val="zh-CN"/>
              </w:rPr>
            </w:pPr>
            <w:r>
              <w:rPr>
                <w:rFonts w:hint="eastAsia" w:ascii="Times New Roman" w:hAnsi="Times New Roman" w:eastAsia="宋体"/>
                <w:color w:val="000000"/>
                <w:lang w:val="zh-CN"/>
              </w:rPr>
              <w:t>本项目总投资</w:t>
            </w:r>
            <w:r>
              <w:rPr>
                <w:rFonts w:hint="eastAsia" w:ascii="Times New Roman" w:hAnsi="Times New Roman" w:eastAsia="宋体"/>
                <w:color w:val="000000"/>
                <w:lang w:val="en-US" w:eastAsia="zh-CN"/>
              </w:rPr>
              <w:t>63000</w:t>
            </w:r>
            <w:r>
              <w:rPr>
                <w:rFonts w:hint="eastAsia" w:ascii="Times New Roman" w:hAnsi="Times New Roman" w:eastAsia="宋体"/>
                <w:color w:val="000000"/>
                <w:lang w:val="zh-CN"/>
              </w:rPr>
              <w:t>万元，项目环保投资为</w:t>
            </w:r>
            <w:r>
              <w:rPr>
                <w:rFonts w:hint="eastAsia" w:ascii="Times New Roman" w:hAnsi="Times New Roman" w:eastAsia="宋体"/>
                <w:color w:val="000000"/>
                <w:lang w:val="en-US" w:eastAsia="zh-CN"/>
              </w:rPr>
              <w:t>99</w:t>
            </w:r>
            <w:r>
              <w:rPr>
                <w:rFonts w:hint="eastAsia" w:ascii="Times New Roman" w:hAnsi="Times New Roman" w:eastAsia="宋体"/>
                <w:color w:val="000000"/>
                <w:lang w:val="zh-CN"/>
              </w:rPr>
              <w:t>万元，项目环保投资占总投资的</w:t>
            </w:r>
            <w:bookmarkStart w:id="2" w:name="OLE_LINK24"/>
            <w:r>
              <w:rPr>
                <w:rFonts w:hint="eastAsia" w:ascii="Times New Roman" w:hAnsi="Times New Roman" w:eastAsia="宋体"/>
                <w:color w:val="000000"/>
                <w:lang w:val="en-US" w:eastAsia="zh-CN"/>
              </w:rPr>
              <w:t>0.16</w:t>
            </w:r>
            <w:r>
              <w:rPr>
                <w:rFonts w:hint="eastAsia" w:ascii="Times New Roman" w:hAnsi="Times New Roman" w:eastAsia="宋体"/>
                <w:color w:val="000000"/>
                <w:lang w:val="zh-CN"/>
              </w:rPr>
              <w:t>%</w:t>
            </w:r>
            <w:bookmarkEnd w:id="2"/>
            <w:r>
              <w:rPr>
                <w:rFonts w:hint="eastAsia" w:ascii="Times New Roman" w:hAnsi="Times New Roman" w:eastAsia="宋体"/>
                <w:color w:val="000000"/>
                <w:lang w:val="zh-CN"/>
              </w:rPr>
              <w:t>。环保投资一览表见表</w:t>
            </w:r>
            <w:r>
              <w:rPr>
                <w:rFonts w:hint="eastAsia" w:ascii="Times New Roman" w:hAnsi="Times New Roman" w:eastAsia="宋体"/>
                <w:color w:val="000000"/>
                <w:lang w:val="en-US" w:eastAsia="zh-CN"/>
              </w:rPr>
              <w:t>4-1</w:t>
            </w:r>
            <w:r>
              <w:rPr>
                <w:rFonts w:hint="eastAsia"/>
                <w:color w:val="000000"/>
                <w:lang w:val="en-US" w:eastAsia="zh-CN"/>
              </w:rPr>
              <w:t>7</w:t>
            </w:r>
            <w:r>
              <w:rPr>
                <w:rFonts w:hint="eastAsia" w:ascii="Times New Roman" w:hAnsi="Times New Roman" w:eastAsia="宋体"/>
                <w:color w:val="000000"/>
                <w:lang w:val="zh-CN"/>
              </w:rPr>
              <w:t>。</w:t>
            </w:r>
          </w:p>
          <w:p w14:paraId="542730F9">
            <w:pPr>
              <w:spacing w:line="520" w:lineRule="exact"/>
              <w:jc w:val="center"/>
              <w:rPr>
                <w:rFonts w:hint="default"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表4-</w:t>
            </w:r>
            <w:r>
              <w:rPr>
                <w:rFonts w:hint="eastAsia" w:cs="Times New Roman"/>
                <w:b/>
                <w:bCs/>
                <w:kern w:val="2"/>
                <w:sz w:val="21"/>
                <w:szCs w:val="21"/>
                <w:lang w:val="en-US" w:eastAsia="zh-CN" w:bidi="ar-SA"/>
              </w:rPr>
              <w:t>17</w:t>
            </w:r>
            <w:r>
              <w:rPr>
                <w:rFonts w:hint="eastAsia" w:ascii="Times New Roman" w:hAnsi="Times New Roman" w:eastAsia="宋体" w:cs="Times New Roman"/>
                <w:b/>
                <w:bCs/>
                <w:kern w:val="2"/>
                <w:sz w:val="21"/>
                <w:szCs w:val="21"/>
                <w:lang w:val="en-US" w:eastAsia="zh-CN" w:bidi="ar-SA"/>
              </w:rPr>
              <w:t xml:space="preserve"> 本项目环保投资一览表</w:t>
            </w:r>
          </w:p>
          <w:tbl>
            <w:tblPr>
              <w:tblStyle w:val="17"/>
              <w:tblW w:w="77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200"/>
              <w:gridCol w:w="2387"/>
              <w:gridCol w:w="1488"/>
              <w:gridCol w:w="1996"/>
            </w:tblGrid>
            <w:tr w14:paraId="20422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25E14F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编号</w:t>
                  </w:r>
                </w:p>
              </w:tc>
              <w:tc>
                <w:tcPr>
                  <w:tcW w:w="1200" w:type="dxa"/>
                  <w:vAlign w:val="center"/>
                </w:tcPr>
                <w:p w14:paraId="2B5D8C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类别</w:t>
                  </w:r>
                </w:p>
              </w:tc>
              <w:tc>
                <w:tcPr>
                  <w:tcW w:w="2387" w:type="dxa"/>
                  <w:vAlign w:val="center"/>
                </w:tcPr>
                <w:p w14:paraId="1AEDF9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环保设备名称</w:t>
                  </w:r>
                </w:p>
              </w:tc>
              <w:tc>
                <w:tcPr>
                  <w:tcW w:w="1488" w:type="dxa"/>
                  <w:vAlign w:val="center"/>
                </w:tcPr>
                <w:p w14:paraId="371813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数量</w:t>
                  </w:r>
                </w:p>
              </w:tc>
              <w:tc>
                <w:tcPr>
                  <w:tcW w:w="1996" w:type="dxa"/>
                  <w:vAlign w:val="center"/>
                </w:tcPr>
                <w:p w14:paraId="1350C5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投资金额（万元）</w:t>
                  </w:r>
                </w:p>
              </w:tc>
            </w:tr>
            <w:tr w14:paraId="7CED2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55866C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c>
                <w:tcPr>
                  <w:tcW w:w="1200" w:type="dxa"/>
                  <w:vMerge w:val="restart"/>
                  <w:vAlign w:val="center"/>
                </w:tcPr>
                <w:p w14:paraId="5DC38EF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废气</w:t>
                  </w:r>
                </w:p>
              </w:tc>
              <w:tc>
                <w:tcPr>
                  <w:tcW w:w="2387" w:type="dxa"/>
                  <w:vAlign w:val="center"/>
                </w:tcPr>
                <w:p w14:paraId="35CA21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破碎、磨粉、筛分产生的废气经集气罩收集后引至布袋除尘器、二级活性炭进行处理，处理后通过1 根 15m 高排气筒排放；</w:t>
                  </w:r>
                </w:p>
              </w:tc>
              <w:tc>
                <w:tcPr>
                  <w:tcW w:w="1488" w:type="dxa"/>
                  <w:vAlign w:val="center"/>
                </w:tcPr>
                <w:p w14:paraId="71C596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3套</w:t>
                  </w:r>
                </w:p>
              </w:tc>
              <w:tc>
                <w:tcPr>
                  <w:tcW w:w="1996" w:type="dxa"/>
                  <w:vAlign w:val="center"/>
                </w:tcPr>
                <w:p w14:paraId="5280CEE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42</w:t>
                  </w:r>
                </w:p>
              </w:tc>
            </w:tr>
            <w:tr w14:paraId="0F591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3EB299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200" w:type="dxa"/>
                  <w:vMerge w:val="continue"/>
                  <w:vAlign w:val="center"/>
                </w:tcPr>
                <w:p w14:paraId="0D387E9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2387" w:type="dxa"/>
                  <w:vAlign w:val="center"/>
                </w:tcPr>
                <w:p w14:paraId="45190E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高效油烟净化器</w:t>
                  </w:r>
                </w:p>
              </w:tc>
              <w:tc>
                <w:tcPr>
                  <w:tcW w:w="1488" w:type="dxa"/>
                  <w:vAlign w:val="center"/>
                </w:tcPr>
                <w:p w14:paraId="069E5D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1套</w:t>
                  </w:r>
                </w:p>
              </w:tc>
              <w:tc>
                <w:tcPr>
                  <w:tcW w:w="1996" w:type="dxa"/>
                  <w:vAlign w:val="center"/>
                </w:tcPr>
                <w:p w14:paraId="7727DBB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14:paraId="2D75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0E09BB5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3</w:t>
                  </w:r>
                </w:p>
              </w:tc>
              <w:tc>
                <w:tcPr>
                  <w:tcW w:w="1200" w:type="dxa"/>
                  <w:vMerge w:val="restart"/>
                  <w:vAlign w:val="center"/>
                </w:tcPr>
                <w:p w14:paraId="37659DA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废水治理</w:t>
                  </w:r>
                </w:p>
              </w:tc>
              <w:tc>
                <w:tcPr>
                  <w:tcW w:w="2387" w:type="dxa"/>
                  <w:vAlign w:val="center"/>
                </w:tcPr>
                <w:p w14:paraId="39738BC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冷却水池</w:t>
                  </w:r>
                </w:p>
              </w:tc>
              <w:tc>
                <w:tcPr>
                  <w:tcW w:w="1488" w:type="dxa"/>
                  <w:vAlign w:val="center"/>
                </w:tcPr>
                <w:p w14:paraId="6332A39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2座</w:t>
                  </w:r>
                </w:p>
              </w:tc>
              <w:tc>
                <w:tcPr>
                  <w:tcW w:w="1996" w:type="dxa"/>
                  <w:vAlign w:val="center"/>
                </w:tcPr>
                <w:p w14:paraId="6C312C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8</w:t>
                  </w:r>
                </w:p>
              </w:tc>
            </w:tr>
            <w:tr w14:paraId="48801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5F345E2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4</w:t>
                  </w:r>
                </w:p>
              </w:tc>
              <w:tc>
                <w:tcPr>
                  <w:tcW w:w="1200" w:type="dxa"/>
                  <w:vMerge w:val="continue"/>
                  <w:vAlign w:val="center"/>
                </w:tcPr>
                <w:p w14:paraId="349CABA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2387" w:type="dxa"/>
                  <w:vAlign w:val="center"/>
                </w:tcPr>
                <w:p w14:paraId="4674B9F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隔油池</w:t>
                  </w:r>
                </w:p>
              </w:tc>
              <w:tc>
                <w:tcPr>
                  <w:tcW w:w="1488" w:type="dxa"/>
                  <w:vAlign w:val="center"/>
                </w:tcPr>
                <w:p w14:paraId="17DAD47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1座</w:t>
                  </w:r>
                </w:p>
              </w:tc>
              <w:tc>
                <w:tcPr>
                  <w:tcW w:w="1996" w:type="dxa"/>
                  <w:vAlign w:val="center"/>
                </w:tcPr>
                <w:p w14:paraId="6610A83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0.5</w:t>
                  </w:r>
                </w:p>
              </w:tc>
            </w:tr>
            <w:tr w14:paraId="74EA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01951F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5</w:t>
                  </w:r>
                </w:p>
              </w:tc>
              <w:tc>
                <w:tcPr>
                  <w:tcW w:w="1200" w:type="dxa"/>
                  <w:vMerge w:val="continue"/>
                  <w:vAlign w:val="center"/>
                </w:tcPr>
                <w:p w14:paraId="623959C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2387" w:type="dxa"/>
                  <w:vAlign w:val="center"/>
                </w:tcPr>
                <w:p w14:paraId="6BBB54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化粪池</w:t>
                  </w:r>
                </w:p>
              </w:tc>
              <w:tc>
                <w:tcPr>
                  <w:tcW w:w="1488" w:type="dxa"/>
                  <w:vAlign w:val="center"/>
                </w:tcPr>
                <w:p w14:paraId="4A333A7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1座</w:t>
                  </w:r>
                </w:p>
              </w:tc>
              <w:tc>
                <w:tcPr>
                  <w:tcW w:w="1996" w:type="dxa"/>
                  <w:vAlign w:val="center"/>
                </w:tcPr>
                <w:p w14:paraId="4D2D432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1.5</w:t>
                  </w:r>
                </w:p>
              </w:tc>
            </w:tr>
            <w:tr w14:paraId="63B8A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397A78D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6</w:t>
                  </w:r>
                </w:p>
              </w:tc>
              <w:tc>
                <w:tcPr>
                  <w:tcW w:w="1200" w:type="dxa"/>
                  <w:vMerge w:val="restart"/>
                  <w:vAlign w:val="center"/>
                </w:tcPr>
                <w:p w14:paraId="2522C2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固体废物</w:t>
                  </w:r>
                </w:p>
              </w:tc>
              <w:tc>
                <w:tcPr>
                  <w:tcW w:w="2387" w:type="dxa"/>
                  <w:vAlign w:val="center"/>
                </w:tcPr>
                <w:p w14:paraId="05539D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固废暂存间</w:t>
                  </w:r>
                </w:p>
              </w:tc>
              <w:tc>
                <w:tcPr>
                  <w:tcW w:w="1488" w:type="dxa"/>
                  <w:vAlign w:val="center"/>
                </w:tcPr>
                <w:p w14:paraId="38F2B8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1×10</w:t>
                  </w:r>
                  <w:r>
                    <w:rPr>
                      <w:rFonts w:hint="eastAsia" w:ascii="宋体" w:hAnsi="宋体" w:eastAsia="宋体" w:cs="宋体"/>
                      <w:color w:val="000000"/>
                      <w:kern w:val="2"/>
                      <w:sz w:val="21"/>
                      <w:szCs w:val="21"/>
                      <w:lang w:val="en-US" w:eastAsia="zh-CN" w:bidi="ar-SA"/>
                    </w:rPr>
                    <w:t>㎡</w:t>
                  </w:r>
                </w:p>
              </w:tc>
              <w:tc>
                <w:tcPr>
                  <w:tcW w:w="1996" w:type="dxa"/>
                  <w:vAlign w:val="center"/>
                </w:tcPr>
                <w:p w14:paraId="64B00A7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14:paraId="3C4A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4CBD29F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7</w:t>
                  </w:r>
                </w:p>
              </w:tc>
              <w:tc>
                <w:tcPr>
                  <w:tcW w:w="1200" w:type="dxa"/>
                  <w:vMerge w:val="continue"/>
                  <w:vAlign w:val="center"/>
                </w:tcPr>
                <w:p w14:paraId="5796EAB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2387" w:type="dxa"/>
                  <w:vAlign w:val="center"/>
                </w:tcPr>
                <w:p w14:paraId="77357D3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危废暂存间</w:t>
                  </w:r>
                </w:p>
              </w:tc>
              <w:tc>
                <w:tcPr>
                  <w:tcW w:w="1488" w:type="dxa"/>
                  <w:vAlign w:val="center"/>
                </w:tcPr>
                <w:p w14:paraId="46A88C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1×10</w:t>
                  </w:r>
                  <w:r>
                    <w:rPr>
                      <w:rFonts w:hint="eastAsia" w:ascii="宋体" w:hAnsi="宋体" w:eastAsia="宋体" w:cs="宋体"/>
                      <w:color w:val="000000"/>
                      <w:kern w:val="2"/>
                      <w:sz w:val="21"/>
                      <w:szCs w:val="21"/>
                      <w:lang w:val="en-US" w:eastAsia="zh-CN" w:bidi="ar-SA"/>
                    </w:rPr>
                    <w:t>㎡</w:t>
                  </w:r>
                </w:p>
              </w:tc>
              <w:tc>
                <w:tcPr>
                  <w:tcW w:w="1996" w:type="dxa"/>
                  <w:vAlign w:val="center"/>
                </w:tcPr>
                <w:p w14:paraId="3E7090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14:paraId="22AC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7B7AA64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8</w:t>
                  </w:r>
                </w:p>
              </w:tc>
              <w:tc>
                <w:tcPr>
                  <w:tcW w:w="1200" w:type="dxa"/>
                  <w:vMerge w:val="continue"/>
                  <w:vAlign w:val="center"/>
                </w:tcPr>
                <w:p w14:paraId="6950028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2387" w:type="dxa"/>
                  <w:vAlign w:val="center"/>
                </w:tcPr>
                <w:p w14:paraId="641267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生活垃圾桶</w:t>
                  </w:r>
                </w:p>
              </w:tc>
              <w:tc>
                <w:tcPr>
                  <w:tcW w:w="1488" w:type="dxa"/>
                  <w:vAlign w:val="center"/>
                </w:tcPr>
                <w:p w14:paraId="5091E8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若干</w:t>
                  </w:r>
                </w:p>
              </w:tc>
              <w:tc>
                <w:tcPr>
                  <w:tcW w:w="1996" w:type="dxa"/>
                  <w:vAlign w:val="center"/>
                </w:tcPr>
                <w:p w14:paraId="26C400F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r w14:paraId="3F57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2" w:type="dxa"/>
                  <w:vAlign w:val="center"/>
                </w:tcPr>
                <w:p w14:paraId="4708E1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9</w:t>
                  </w:r>
                </w:p>
              </w:tc>
              <w:tc>
                <w:tcPr>
                  <w:tcW w:w="1200" w:type="dxa"/>
                  <w:vAlign w:val="center"/>
                </w:tcPr>
                <w:p w14:paraId="38A2509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噪声</w:t>
                  </w:r>
                </w:p>
              </w:tc>
              <w:tc>
                <w:tcPr>
                  <w:tcW w:w="2387" w:type="dxa"/>
                  <w:vAlign w:val="center"/>
                </w:tcPr>
                <w:p w14:paraId="11B1336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基础减震、厂房隔声</w:t>
                  </w:r>
                </w:p>
              </w:tc>
              <w:tc>
                <w:tcPr>
                  <w:tcW w:w="1488" w:type="dxa"/>
                  <w:vAlign w:val="center"/>
                </w:tcPr>
                <w:p w14:paraId="0EC7CE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若干</w:t>
                  </w:r>
                </w:p>
              </w:tc>
              <w:tc>
                <w:tcPr>
                  <w:tcW w:w="1996" w:type="dxa"/>
                  <w:vAlign w:val="center"/>
                </w:tcPr>
                <w:p w14:paraId="69E661F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40</w:t>
                  </w:r>
                </w:p>
              </w:tc>
            </w:tr>
            <w:tr w14:paraId="3C139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77" w:type="dxa"/>
                  <w:gridSpan w:val="4"/>
                  <w:vAlign w:val="center"/>
                </w:tcPr>
                <w:p w14:paraId="3B3D990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 xml:space="preserve">总计  </w:t>
                  </w:r>
                </w:p>
              </w:tc>
              <w:tc>
                <w:tcPr>
                  <w:tcW w:w="1996" w:type="dxa"/>
                  <w:vAlign w:val="center"/>
                </w:tcPr>
                <w:p w14:paraId="537146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99</w:t>
                  </w:r>
                </w:p>
              </w:tc>
            </w:tr>
          </w:tbl>
          <w:p w14:paraId="2E720313">
            <w:pPr>
              <w:spacing w:line="520" w:lineRule="exact"/>
              <w:ind w:firstLine="480" w:firstLineChars="200"/>
            </w:pPr>
            <w:r>
              <w:rPr>
                <w:rFonts w:hint="eastAsia" w:ascii="Times New Roman" w:hAnsi="Times New Roman" w:eastAsia="宋体"/>
                <w:color w:val="000000"/>
                <w:lang w:val="zh-CN"/>
              </w:rPr>
              <w:t>本项目污染防治措施及环保验收内容汇总见表</w:t>
            </w:r>
            <w:r>
              <w:rPr>
                <w:rFonts w:hint="eastAsia" w:ascii="Times New Roman" w:hAnsi="Times New Roman" w:eastAsia="宋体"/>
                <w:color w:val="000000"/>
                <w:lang w:val="en-US" w:eastAsia="zh-CN"/>
              </w:rPr>
              <w:t>4-1</w:t>
            </w:r>
            <w:r>
              <w:rPr>
                <w:rFonts w:hint="eastAsia"/>
                <w:color w:val="000000"/>
                <w:lang w:val="en-US" w:eastAsia="zh-CN"/>
              </w:rPr>
              <w:t>8</w:t>
            </w:r>
            <w:r>
              <w:rPr>
                <w:rFonts w:hint="eastAsia" w:ascii="Times New Roman" w:hAnsi="Times New Roman" w:eastAsia="宋体"/>
                <w:color w:val="000000"/>
                <w:lang w:val="zh-CN"/>
              </w:rPr>
              <w:t>。</w:t>
            </w:r>
          </w:p>
          <w:p w14:paraId="00AD1E4B">
            <w:pPr>
              <w:spacing w:line="520" w:lineRule="exact"/>
              <w:ind w:firstLine="496"/>
              <w:jc w:val="center"/>
              <w:rPr>
                <w:rFonts w:hint="eastAsia" w:ascii="Times New Roman" w:hAnsi="Times New Roman" w:eastAsia="宋体" w:cs="Times New Roman"/>
                <w:b/>
                <w:bCs/>
                <w:kern w:val="2"/>
                <w:sz w:val="21"/>
                <w:szCs w:val="21"/>
                <w:lang w:val="en-US" w:eastAsia="zh-CN" w:bidi="ar-SA"/>
              </w:rPr>
            </w:pPr>
            <w:r>
              <w:rPr>
                <w:rFonts w:hint="eastAsia" w:ascii="Times New Roman" w:hAnsi="Times New Roman" w:eastAsia="宋体" w:cs="Times New Roman"/>
                <w:b/>
                <w:bCs/>
                <w:kern w:val="2"/>
                <w:sz w:val="21"/>
                <w:szCs w:val="21"/>
                <w:lang w:val="en-US" w:eastAsia="zh-CN" w:bidi="ar-SA"/>
              </w:rPr>
              <w:t>表4-1</w:t>
            </w:r>
            <w:r>
              <w:rPr>
                <w:rFonts w:hint="eastAsia" w:cs="Times New Roman"/>
                <w:b/>
                <w:bCs/>
                <w:kern w:val="2"/>
                <w:sz w:val="21"/>
                <w:szCs w:val="21"/>
                <w:lang w:val="en-US" w:eastAsia="zh-CN" w:bidi="ar-SA"/>
              </w:rPr>
              <w:t>8</w:t>
            </w:r>
            <w:r>
              <w:rPr>
                <w:rFonts w:hint="eastAsia" w:ascii="Times New Roman" w:hAnsi="Times New Roman" w:eastAsia="宋体" w:cs="Times New Roman"/>
                <w:b/>
                <w:bCs/>
                <w:kern w:val="2"/>
                <w:sz w:val="21"/>
                <w:szCs w:val="21"/>
                <w:lang w:val="en-US" w:eastAsia="zh-CN" w:bidi="ar-SA"/>
              </w:rPr>
              <w:t xml:space="preserve"> 本项目环保“三同时”验收内容一览表</w:t>
            </w:r>
          </w:p>
          <w:tbl>
            <w:tblPr>
              <w:tblStyle w:val="17"/>
              <w:tblW w:w="77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1"/>
              <w:gridCol w:w="1216"/>
              <w:gridCol w:w="2552"/>
              <w:gridCol w:w="1104"/>
              <w:gridCol w:w="891"/>
              <w:gridCol w:w="1484"/>
            </w:tblGrid>
            <w:tr w14:paraId="7B1E3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0083CE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项目</w:t>
                  </w:r>
                </w:p>
              </w:tc>
              <w:tc>
                <w:tcPr>
                  <w:tcW w:w="1216" w:type="dxa"/>
                  <w:vAlign w:val="center"/>
                </w:tcPr>
                <w:p w14:paraId="53FCEDC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污染源</w:t>
                  </w:r>
                </w:p>
              </w:tc>
              <w:tc>
                <w:tcPr>
                  <w:tcW w:w="2552" w:type="dxa"/>
                  <w:vAlign w:val="center"/>
                </w:tcPr>
                <w:p w14:paraId="30ED148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治理措施</w:t>
                  </w:r>
                </w:p>
              </w:tc>
              <w:tc>
                <w:tcPr>
                  <w:tcW w:w="1104" w:type="dxa"/>
                  <w:vAlign w:val="center"/>
                </w:tcPr>
                <w:p w14:paraId="1873BA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监测点位</w:t>
                  </w:r>
                </w:p>
              </w:tc>
              <w:tc>
                <w:tcPr>
                  <w:tcW w:w="891" w:type="dxa"/>
                  <w:vAlign w:val="center"/>
                </w:tcPr>
                <w:p w14:paraId="45AE5AA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验收</w:t>
                  </w:r>
                </w:p>
                <w:p w14:paraId="46932C1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内容</w:t>
                  </w:r>
                </w:p>
              </w:tc>
              <w:tc>
                <w:tcPr>
                  <w:tcW w:w="1484" w:type="dxa"/>
                  <w:vAlign w:val="center"/>
                </w:tcPr>
                <w:p w14:paraId="3582D23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验收标准</w:t>
                  </w:r>
                </w:p>
              </w:tc>
            </w:tr>
            <w:tr w14:paraId="56593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vAlign w:val="center"/>
                </w:tcPr>
                <w:p w14:paraId="25616C1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废气</w:t>
                  </w:r>
                </w:p>
              </w:tc>
              <w:tc>
                <w:tcPr>
                  <w:tcW w:w="1216" w:type="dxa"/>
                  <w:vAlign w:val="center"/>
                </w:tcPr>
                <w:p w14:paraId="610D06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破碎、磨粉、筛分工序产生的废气</w:t>
                  </w:r>
                  <w:r>
                    <w:rPr>
                      <w:rFonts w:hint="eastAsia" w:cs="Times New Roman"/>
                      <w:color w:val="000000"/>
                      <w:kern w:val="2"/>
                      <w:sz w:val="21"/>
                      <w:szCs w:val="21"/>
                      <w:highlight w:val="none"/>
                      <w:lang w:val="en-US" w:eastAsia="zh-CN" w:bidi="ar-SA"/>
                    </w:rPr>
                    <w:t>（</w:t>
                  </w:r>
                  <w:r>
                    <w:rPr>
                      <w:rFonts w:hint="default" w:ascii="Times New Roman" w:hAnsi="Times New Roman" w:eastAsia="宋体" w:cs="Times New Roman"/>
                      <w:color w:val="000000"/>
                      <w:kern w:val="2"/>
                      <w:sz w:val="21"/>
                      <w:szCs w:val="21"/>
                      <w:highlight w:val="none"/>
                      <w:lang w:val="en-US" w:eastAsia="zh-CN" w:bidi="ar-SA"/>
                    </w:rPr>
                    <w:t>DA001</w:t>
                  </w:r>
                  <w:r>
                    <w:rPr>
                      <w:rFonts w:hint="eastAsia" w:cs="Times New Roman"/>
                      <w:color w:val="000000"/>
                      <w:kern w:val="2"/>
                      <w:sz w:val="21"/>
                      <w:szCs w:val="21"/>
                      <w:highlight w:val="none"/>
                      <w:lang w:val="en-US" w:eastAsia="zh-CN" w:bidi="ar-SA"/>
                    </w:rPr>
                    <w:t>）</w:t>
                  </w:r>
                </w:p>
              </w:tc>
              <w:tc>
                <w:tcPr>
                  <w:tcW w:w="2552" w:type="dxa"/>
                  <w:vAlign w:val="center"/>
                </w:tcPr>
                <w:p w14:paraId="0799D2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车间全密闭，</w:t>
                  </w:r>
                  <w:r>
                    <w:rPr>
                      <w:rFonts w:hint="eastAsia" w:cs="Times New Roman"/>
                      <w:color w:val="000000"/>
                      <w:kern w:val="2"/>
                      <w:sz w:val="21"/>
                      <w:szCs w:val="21"/>
                      <w:highlight w:val="none"/>
                      <w:lang w:val="en-US" w:eastAsia="zh-CN" w:bidi="ar-SA"/>
                    </w:rPr>
                    <w:t>各工序废气经集气罩收集后通过“</w:t>
                  </w:r>
                  <w:r>
                    <w:rPr>
                      <w:rFonts w:hint="eastAsia" w:ascii="Times New Roman" w:hAnsi="Times New Roman" w:eastAsia="宋体" w:cs="Times New Roman"/>
                      <w:color w:val="000000"/>
                      <w:kern w:val="2"/>
                      <w:sz w:val="21"/>
                      <w:szCs w:val="21"/>
                      <w:highlight w:val="none"/>
                      <w:lang w:val="en-US" w:eastAsia="zh-CN" w:bidi="ar-SA"/>
                    </w:rPr>
                    <w:t>布袋除尘器+二级活性炭吸附装置</w:t>
                  </w:r>
                  <w:r>
                    <w:rPr>
                      <w:rFonts w:hint="eastAsia" w:cs="Times New Roman"/>
                      <w:color w:val="000000"/>
                      <w:kern w:val="2"/>
                      <w:sz w:val="21"/>
                      <w:szCs w:val="21"/>
                      <w:highlight w:val="none"/>
                      <w:lang w:val="en-US" w:eastAsia="zh-CN" w:bidi="ar-SA"/>
                    </w:rPr>
                    <w:t>”处理后由15m高排气筒排放。</w:t>
                  </w:r>
                </w:p>
              </w:tc>
              <w:tc>
                <w:tcPr>
                  <w:tcW w:w="1104" w:type="dxa"/>
                  <w:vAlign w:val="center"/>
                </w:tcPr>
                <w:p w14:paraId="59C1643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eastAsia="宋体" w:cs="Times New Roman"/>
                      <w:color w:val="auto"/>
                      <w:highlight w:val="none"/>
                    </w:rPr>
                  </w:pPr>
                  <w:r>
                    <w:rPr>
                      <w:rFonts w:hint="default" w:ascii="Times New Roman" w:hAnsi="Times New Roman" w:eastAsia="宋体" w:cs="Times New Roman"/>
                      <w:color w:val="auto"/>
                      <w:kern w:val="2"/>
                      <w:sz w:val="21"/>
                      <w:szCs w:val="24"/>
                      <w:highlight w:val="none"/>
                      <w:lang w:val="en-US" w:eastAsia="zh-CN" w:bidi="ar"/>
                    </w:rPr>
                    <w:t>废气处理</w:t>
                  </w:r>
                </w:p>
                <w:p w14:paraId="53E242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
                    </w:rPr>
                    <w:t>设施进、出口</w:t>
                  </w:r>
                </w:p>
              </w:tc>
              <w:tc>
                <w:tcPr>
                  <w:tcW w:w="891" w:type="dxa"/>
                  <w:vAlign w:val="center"/>
                </w:tcPr>
                <w:p w14:paraId="6AD572D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颗粒物</w:t>
                  </w:r>
                </w:p>
              </w:tc>
              <w:tc>
                <w:tcPr>
                  <w:tcW w:w="1484" w:type="dxa"/>
                  <w:vMerge w:val="restart"/>
                  <w:vAlign w:val="center"/>
                </w:tcPr>
                <w:p w14:paraId="0F6B703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《大气污染物综合排放标准》（GB16297－1996）</w:t>
                  </w:r>
                </w:p>
                <w:p w14:paraId="41DBC3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表 2 二级排放标准</w:t>
                  </w:r>
                </w:p>
              </w:tc>
            </w:tr>
            <w:tr w14:paraId="6BFB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vAlign w:val="center"/>
                </w:tcPr>
                <w:p w14:paraId="5FCB0F1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216" w:type="dxa"/>
                  <w:vAlign w:val="center"/>
                </w:tcPr>
                <w:p w14:paraId="67A36B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破碎、磨粉、筛分工序产生的废气</w:t>
                  </w:r>
                  <w:r>
                    <w:rPr>
                      <w:rFonts w:hint="eastAsia" w:cs="Times New Roman"/>
                      <w:color w:val="000000"/>
                      <w:kern w:val="2"/>
                      <w:sz w:val="21"/>
                      <w:szCs w:val="21"/>
                      <w:highlight w:val="none"/>
                      <w:lang w:val="en-US" w:eastAsia="zh-CN" w:bidi="ar-SA"/>
                    </w:rPr>
                    <w:t>（</w:t>
                  </w:r>
                  <w:r>
                    <w:rPr>
                      <w:rFonts w:hint="default" w:ascii="Times New Roman" w:hAnsi="Times New Roman" w:eastAsia="宋体" w:cs="Times New Roman"/>
                      <w:color w:val="000000"/>
                      <w:kern w:val="2"/>
                      <w:sz w:val="21"/>
                      <w:szCs w:val="21"/>
                      <w:highlight w:val="none"/>
                      <w:lang w:val="en-US" w:eastAsia="zh-CN" w:bidi="ar-SA"/>
                    </w:rPr>
                    <w:t>DA00</w:t>
                  </w:r>
                  <w:r>
                    <w:rPr>
                      <w:rFonts w:hint="eastAsia" w:cs="Times New Roman"/>
                      <w:color w:val="000000"/>
                      <w:kern w:val="2"/>
                      <w:sz w:val="21"/>
                      <w:szCs w:val="21"/>
                      <w:highlight w:val="none"/>
                      <w:lang w:val="en-US" w:eastAsia="zh-CN" w:bidi="ar-SA"/>
                    </w:rPr>
                    <w:t>2）</w:t>
                  </w:r>
                </w:p>
              </w:tc>
              <w:tc>
                <w:tcPr>
                  <w:tcW w:w="2552" w:type="dxa"/>
                  <w:vAlign w:val="center"/>
                </w:tcPr>
                <w:p w14:paraId="283E177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车间全密闭，</w:t>
                  </w:r>
                  <w:r>
                    <w:rPr>
                      <w:rFonts w:hint="eastAsia" w:cs="Times New Roman"/>
                      <w:color w:val="000000"/>
                      <w:kern w:val="2"/>
                      <w:sz w:val="21"/>
                      <w:szCs w:val="21"/>
                      <w:highlight w:val="none"/>
                      <w:lang w:val="en-US" w:eastAsia="zh-CN" w:bidi="ar-SA"/>
                    </w:rPr>
                    <w:t>各工序废气经集气罩收集后通过“</w:t>
                  </w:r>
                  <w:r>
                    <w:rPr>
                      <w:rFonts w:hint="eastAsia" w:ascii="Times New Roman" w:hAnsi="Times New Roman" w:eastAsia="宋体" w:cs="Times New Roman"/>
                      <w:color w:val="000000"/>
                      <w:kern w:val="2"/>
                      <w:sz w:val="21"/>
                      <w:szCs w:val="21"/>
                      <w:highlight w:val="none"/>
                      <w:lang w:val="en-US" w:eastAsia="zh-CN" w:bidi="ar-SA"/>
                    </w:rPr>
                    <w:t>布袋除尘器+二级活性炭吸附装置</w:t>
                  </w:r>
                  <w:r>
                    <w:rPr>
                      <w:rFonts w:hint="eastAsia" w:cs="Times New Roman"/>
                      <w:color w:val="000000"/>
                      <w:kern w:val="2"/>
                      <w:sz w:val="21"/>
                      <w:szCs w:val="21"/>
                      <w:highlight w:val="none"/>
                      <w:lang w:val="en-US" w:eastAsia="zh-CN" w:bidi="ar-SA"/>
                    </w:rPr>
                    <w:t>”处理后由15m高排气筒排放。</w:t>
                  </w:r>
                </w:p>
              </w:tc>
              <w:tc>
                <w:tcPr>
                  <w:tcW w:w="1104" w:type="dxa"/>
                  <w:vAlign w:val="center"/>
                </w:tcPr>
                <w:p w14:paraId="173136A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eastAsia="宋体" w:cs="Times New Roman"/>
                      <w:color w:val="auto"/>
                      <w:highlight w:val="none"/>
                    </w:rPr>
                  </w:pPr>
                  <w:r>
                    <w:rPr>
                      <w:rFonts w:hint="default" w:ascii="Times New Roman" w:hAnsi="Times New Roman" w:eastAsia="宋体" w:cs="Times New Roman"/>
                      <w:color w:val="auto"/>
                      <w:kern w:val="2"/>
                      <w:sz w:val="21"/>
                      <w:szCs w:val="24"/>
                      <w:highlight w:val="none"/>
                      <w:lang w:val="en-US" w:eastAsia="zh-CN" w:bidi="ar"/>
                    </w:rPr>
                    <w:t>废气处理</w:t>
                  </w:r>
                </w:p>
                <w:p w14:paraId="350229D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
                    </w:rPr>
                    <w:t>设施进、出口</w:t>
                  </w:r>
                </w:p>
              </w:tc>
              <w:tc>
                <w:tcPr>
                  <w:tcW w:w="891" w:type="dxa"/>
                  <w:vAlign w:val="center"/>
                </w:tcPr>
                <w:p w14:paraId="0B6A1E0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颗粒物</w:t>
                  </w:r>
                </w:p>
              </w:tc>
              <w:tc>
                <w:tcPr>
                  <w:tcW w:w="1484" w:type="dxa"/>
                  <w:vMerge w:val="continue"/>
                  <w:vAlign w:val="center"/>
                </w:tcPr>
                <w:p w14:paraId="7F410B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p>
              </w:tc>
            </w:tr>
            <w:tr w14:paraId="23B29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vAlign w:val="center"/>
                </w:tcPr>
                <w:p w14:paraId="617257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216" w:type="dxa"/>
                  <w:vAlign w:val="center"/>
                </w:tcPr>
                <w:p w14:paraId="002DC2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破碎、磨粉、筛分工序产生的废气</w:t>
                  </w:r>
                  <w:r>
                    <w:rPr>
                      <w:rFonts w:hint="eastAsia" w:cs="Times New Roman"/>
                      <w:color w:val="000000"/>
                      <w:kern w:val="2"/>
                      <w:sz w:val="21"/>
                      <w:szCs w:val="21"/>
                      <w:highlight w:val="none"/>
                      <w:lang w:val="en-US" w:eastAsia="zh-CN" w:bidi="ar-SA"/>
                    </w:rPr>
                    <w:t>（</w:t>
                  </w:r>
                  <w:r>
                    <w:rPr>
                      <w:rFonts w:hint="default" w:ascii="Times New Roman" w:hAnsi="Times New Roman" w:eastAsia="宋体" w:cs="Times New Roman"/>
                      <w:color w:val="000000"/>
                      <w:kern w:val="2"/>
                      <w:sz w:val="21"/>
                      <w:szCs w:val="21"/>
                      <w:highlight w:val="none"/>
                      <w:lang w:val="en-US" w:eastAsia="zh-CN" w:bidi="ar-SA"/>
                    </w:rPr>
                    <w:t>DA00</w:t>
                  </w:r>
                  <w:r>
                    <w:rPr>
                      <w:rFonts w:hint="eastAsia" w:cs="Times New Roman"/>
                      <w:color w:val="000000"/>
                      <w:kern w:val="2"/>
                      <w:sz w:val="21"/>
                      <w:szCs w:val="21"/>
                      <w:highlight w:val="none"/>
                      <w:lang w:val="en-US" w:eastAsia="zh-CN" w:bidi="ar-SA"/>
                    </w:rPr>
                    <w:t>3）</w:t>
                  </w:r>
                </w:p>
              </w:tc>
              <w:tc>
                <w:tcPr>
                  <w:tcW w:w="2552" w:type="dxa"/>
                  <w:vAlign w:val="center"/>
                </w:tcPr>
                <w:p w14:paraId="259D5D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车间全密闭，</w:t>
                  </w:r>
                  <w:r>
                    <w:rPr>
                      <w:rFonts w:hint="eastAsia" w:cs="Times New Roman"/>
                      <w:color w:val="000000"/>
                      <w:kern w:val="2"/>
                      <w:sz w:val="21"/>
                      <w:szCs w:val="21"/>
                      <w:highlight w:val="none"/>
                      <w:lang w:val="en-US" w:eastAsia="zh-CN" w:bidi="ar-SA"/>
                    </w:rPr>
                    <w:t>各工序废气经集气罩收集后通过“</w:t>
                  </w:r>
                  <w:r>
                    <w:rPr>
                      <w:rFonts w:hint="eastAsia" w:ascii="Times New Roman" w:hAnsi="Times New Roman" w:eastAsia="宋体" w:cs="Times New Roman"/>
                      <w:color w:val="000000"/>
                      <w:kern w:val="2"/>
                      <w:sz w:val="21"/>
                      <w:szCs w:val="21"/>
                      <w:highlight w:val="none"/>
                      <w:lang w:val="en-US" w:eastAsia="zh-CN" w:bidi="ar-SA"/>
                    </w:rPr>
                    <w:t>布袋除尘器+二级活性炭吸附装置</w:t>
                  </w:r>
                  <w:r>
                    <w:rPr>
                      <w:rFonts w:hint="eastAsia" w:cs="Times New Roman"/>
                      <w:color w:val="000000"/>
                      <w:kern w:val="2"/>
                      <w:sz w:val="21"/>
                      <w:szCs w:val="21"/>
                      <w:highlight w:val="none"/>
                      <w:lang w:val="en-US" w:eastAsia="zh-CN" w:bidi="ar-SA"/>
                    </w:rPr>
                    <w:t>”处理后由15m高排气筒排放。</w:t>
                  </w:r>
                </w:p>
              </w:tc>
              <w:tc>
                <w:tcPr>
                  <w:tcW w:w="1104" w:type="dxa"/>
                  <w:vAlign w:val="center"/>
                </w:tcPr>
                <w:p w14:paraId="71EEF3E9">
                  <w:pPr>
                    <w:keepNext w:val="0"/>
                    <w:keepLines w:val="0"/>
                    <w:pageBreakBefore w:val="0"/>
                    <w:widowControl w:val="0"/>
                    <w:suppressLineNumbers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eastAsia="宋体" w:cs="Times New Roman"/>
                      <w:color w:val="auto"/>
                      <w:highlight w:val="none"/>
                    </w:rPr>
                  </w:pPr>
                  <w:r>
                    <w:rPr>
                      <w:rFonts w:hint="default" w:ascii="Times New Roman" w:hAnsi="Times New Roman" w:eastAsia="宋体" w:cs="Times New Roman"/>
                      <w:color w:val="auto"/>
                      <w:kern w:val="2"/>
                      <w:sz w:val="21"/>
                      <w:szCs w:val="24"/>
                      <w:highlight w:val="none"/>
                      <w:lang w:val="en-US" w:eastAsia="zh-CN" w:bidi="ar"/>
                    </w:rPr>
                    <w:t>废气处理</w:t>
                  </w:r>
                </w:p>
                <w:p w14:paraId="5F83601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highlight w:val="none"/>
                      <w:lang w:val="en-US" w:eastAsia="zh-CN" w:bidi="ar-SA"/>
                    </w:rPr>
                  </w:pPr>
                  <w:r>
                    <w:rPr>
                      <w:rFonts w:hint="default" w:ascii="Times New Roman" w:hAnsi="Times New Roman" w:eastAsia="宋体" w:cs="Times New Roman"/>
                      <w:color w:val="auto"/>
                      <w:kern w:val="2"/>
                      <w:sz w:val="21"/>
                      <w:szCs w:val="24"/>
                      <w:highlight w:val="none"/>
                      <w:lang w:val="en-US" w:eastAsia="zh-CN" w:bidi="ar"/>
                    </w:rPr>
                    <w:t>设施进、出口</w:t>
                  </w:r>
                </w:p>
              </w:tc>
              <w:tc>
                <w:tcPr>
                  <w:tcW w:w="891" w:type="dxa"/>
                  <w:vAlign w:val="center"/>
                </w:tcPr>
                <w:p w14:paraId="37C9AB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颗粒物</w:t>
                  </w:r>
                </w:p>
              </w:tc>
              <w:tc>
                <w:tcPr>
                  <w:tcW w:w="1484" w:type="dxa"/>
                  <w:vMerge w:val="continue"/>
                  <w:vAlign w:val="center"/>
                </w:tcPr>
                <w:p w14:paraId="31A3D5D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p>
              </w:tc>
            </w:tr>
            <w:tr w14:paraId="4DB2A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vAlign w:val="center"/>
                </w:tcPr>
                <w:p w14:paraId="3B1EB2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216" w:type="dxa"/>
                  <w:vAlign w:val="center"/>
                </w:tcPr>
                <w:p w14:paraId="74137C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食堂油烟</w:t>
                  </w:r>
                </w:p>
              </w:tc>
              <w:tc>
                <w:tcPr>
                  <w:tcW w:w="2552" w:type="dxa"/>
                  <w:vAlign w:val="center"/>
                </w:tcPr>
                <w:p w14:paraId="142C963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 xml:space="preserve">高效油烟净化器（1 </w:t>
                  </w:r>
                  <w:r>
                    <w:rPr>
                      <w:rFonts w:hint="eastAsia" w:cs="Times New Roman"/>
                      <w:color w:val="000000"/>
                      <w:kern w:val="2"/>
                      <w:sz w:val="21"/>
                      <w:szCs w:val="21"/>
                      <w:lang w:val="en-US" w:eastAsia="zh-CN" w:bidi="ar-SA"/>
                    </w:rPr>
                    <w:t>套</w:t>
                  </w:r>
                  <w:r>
                    <w:rPr>
                      <w:rFonts w:hint="eastAsia" w:ascii="Times New Roman" w:hAnsi="Times New Roman" w:eastAsia="宋体" w:cs="Times New Roman"/>
                      <w:color w:val="000000"/>
                      <w:kern w:val="2"/>
                      <w:sz w:val="21"/>
                      <w:szCs w:val="21"/>
                      <w:lang w:val="en-US" w:eastAsia="zh-CN" w:bidi="ar-SA"/>
                    </w:rPr>
                    <w:t>）</w:t>
                  </w:r>
                </w:p>
              </w:tc>
              <w:tc>
                <w:tcPr>
                  <w:tcW w:w="1104" w:type="dxa"/>
                  <w:vAlign w:val="center"/>
                </w:tcPr>
                <w:p w14:paraId="63BAEC6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油烟</w:t>
                  </w:r>
                  <w:r>
                    <w:rPr>
                      <w:rFonts w:hint="eastAsia" w:ascii="Times New Roman" w:hAnsi="Times New Roman" w:eastAsia="宋体" w:cs="Times New Roman"/>
                      <w:color w:val="000000"/>
                      <w:kern w:val="2"/>
                      <w:sz w:val="21"/>
                      <w:szCs w:val="21"/>
                      <w:lang w:val="en-US" w:eastAsia="zh-CN" w:bidi="ar-SA"/>
                    </w:rPr>
                    <w:t>排</w:t>
                  </w:r>
                </w:p>
                <w:p w14:paraId="0E200D0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气筒</w:t>
                  </w:r>
                </w:p>
              </w:tc>
              <w:tc>
                <w:tcPr>
                  <w:tcW w:w="891" w:type="dxa"/>
                  <w:vAlign w:val="center"/>
                </w:tcPr>
                <w:p w14:paraId="5D04E35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油烟</w:t>
                  </w:r>
                </w:p>
              </w:tc>
              <w:tc>
                <w:tcPr>
                  <w:tcW w:w="1484" w:type="dxa"/>
                  <w:vAlign w:val="center"/>
                </w:tcPr>
                <w:p w14:paraId="2BF712A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执行《餐饮业油烟污染物排放标准</w:t>
                  </w:r>
                </w:p>
                <w:p w14:paraId="656337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》（DB41/1</w:t>
                  </w:r>
                </w:p>
                <w:p w14:paraId="6C1222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604-2018）表 1标准限制</w:t>
                  </w:r>
                </w:p>
              </w:tc>
            </w:tr>
            <w:tr w14:paraId="4C428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restart"/>
                  <w:vAlign w:val="center"/>
                </w:tcPr>
                <w:p w14:paraId="0831197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废水</w:t>
                  </w:r>
                </w:p>
              </w:tc>
              <w:tc>
                <w:tcPr>
                  <w:tcW w:w="1216" w:type="dxa"/>
                  <w:vAlign w:val="center"/>
                </w:tcPr>
                <w:p w14:paraId="15FF9F3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生产废水</w:t>
                  </w:r>
                </w:p>
              </w:tc>
              <w:tc>
                <w:tcPr>
                  <w:tcW w:w="2552" w:type="dxa"/>
                  <w:vAlign w:val="center"/>
                </w:tcPr>
                <w:p w14:paraId="1F17052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冷却水循环使用</w:t>
                  </w:r>
                </w:p>
              </w:tc>
              <w:tc>
                <w:tcPr>
                  <w:tcW w:w="1104" w:type="dxa"/>
                  <w:vAlign w:val="center"/>
                </w:tcPr>
                <w:p w14:paraId="0A1AC3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891" w:type="dxa"/>
                  <w:vAlign w:val="center"/>
                </w:tcPr>
                <w:p w14:paraId="05E401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484" w:type="dxa"/>
                  <w:vAlign w:val="center"/>
                </w:tcPr>
                <w:p w14:paraId="6C8847A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不外排</w:t>
                  </w:r>
                </w:p>
              </w:tc>
            </w:tr>
            <w:tr w14:paraId="31BD1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Merge w:val="continue"/>
                  <w:vAlign w:val="center"/>
                </w:tcPr>
                <w:p w14:paraId="2F4C63E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216" w:type="dxa"/>
                  <w:vAlign w:val="center"/>
                </w:tcPr>
                <w:p w14:paraId="43CF21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生活污水</w:t>
                  </w:r>
                </w:p>
              </w:tc>
              <w:tc>
                <w:tcPr>
                  <w:tcW w:w="2552" w:type="dxa"/>
                  <w:vAlign w:val="center"/>
                </w:tcPr>
                <w:p w14:paraId="00CDA7A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项目生活污水经隔油池+化粪池处理，废水排入南乐县城污水处理厂</w:t>
                  </w:r>
                </w:p>
              </w:tc>
              <w:tc>
                <w:tcPr>
                  <w:tcW w:w="1104" w:type="dxa"/>
                  <w:vAlign w:val="center"/>
                </w:tcPr>
                <w:p w14:paraId="02842B9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891" w:type="dxa"/>
                  <w:vAlign w:val="center"/>
                </w:tcPr>
                <w:p w14:paraId="628BC2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484" w:type="dxa"/>
                  <w:vAlign w:val="center"/>
                </w:tcPr>
                <w:p w14:paraId="0E83A55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《污水综合排放标准》（GB8978-1996）表 4 三级及</w:t>
                  </w:r>
                  <w:r>
                    <w:rPr>
                      <w:rFonts w:hint="eastAsia" w:cs="Times New Roman"/>
                      <w:color w:val="000000"/>
                      <w:kern w:val="2"/>
                      <w:sz w:val="21"/>
                      <w:szCs w:val="21"/>
                      <w:lang w:val="en-US" w:eastAsia="zh-CN" w:bidi="ar-SA"/>
                    </w:rPr>
                    <w:t>南乐县城污水处理厂</w:t>
                  </w:r>
                  <w:r>
                    <w:rPr>
                      <w:rFonts w:hint="eastAsia" w:ascii="Times New Roman" w:hAnsi="Times New Roman" w:eastAsia="宋体" w:cs="Times New Roman"/>
                      <w:color w:val="000000"/>
                      <w:kern w:val="2"/>
                      <w:sz w:val="21"/>
                      <w:szCs w:val="21"/>
                      <w:lang w:val="en-US" w:eastAsia="zh-CN" w:bidi="ar-SA"/>
                    </w:rPr>
                    <w:t>收水标准</w:t>
                  </w:r>
                </w:p>
              </w:tc>
            </w:tr>
            <w:tr w14:paraId="486C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0DF059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噪声</w:t>
                  </w:r>
                </w:p>
              </w:tc>
              <w:tc>
                <w:tcPr>
                  <w:tcW w:w="1216" w:type="dxa"/>
                  <w:vAlign w:val="center"/>
                </w:tcPr>
                <w:p w14:paraId="37EC35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机械设备在运行过程中产生的噪声</w:t>
                  </w:r>
                </w:p>
                <w:p w14:paraId="16B991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2552" w:type="dxa"/>
                  <w:vAlign w:val="center"/>
                </w:tcPr>
                <w:p w14:paraId="000E5C7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半地下基础、软材料</w:t>
                  </w:r>
                  <w:r>
                    <w:rPr>
                      <w:rFonts w:hint="eastAsia" w:cs="Times New Roman"/>
                      <w:color w:val="000000"/>
                      <w:kern w:val="2"/>
                      <w:sz w:val="21"/>
                      <w:szCs w:val="21"/>
                      <w:lang w:val="en-US" w:eastAsia="zh-CN" w:bidi="ar-SA"/>
                    </w:rPr>
                    <w:t>包</w:t>
                  </w:r>
                  <w:r>
                    <w:rPr>
                      <w:rFonts w:hint="eastAsia" w:ascii="Times New Roman" w:hAnsi="Times New Roman" w:eastAsia="宋体" w:cs="Times New Roman"/>
                      <w:color w:val="000000"/>
                      <w:kern w:val="2"/>
                      <w:sz w:val="21"/>
                      <w:szCs w:val="21"/>
                      <w:lang w:val="en-US" w:eastAsia="zh-CN" w:bidi="ar-SA"/>
                    </w:rPr>
                    <w:t>装、</w:t>
                  </w:r>
                </w:p>
                <w:p w14:paraId="7E13D5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减震垫、厂房隔声、隔声罩、 绿化、加强管理</w:t>
                  </w:r>
                </w:p>
                <w:p w14:paraId="674293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104" w:type="dxa"/>
                  <w:vAlign w:val="center"/>
                </w:tcPr>
                <w:p w14:paraId="2D70C08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厂界</w:t>
                  </w:r>
                </w:p>
              </w:tc>
              <w:tc>
                <w:tcPr>
                  <w:tcW w:w="891" w:type="dxa"/>
                  <w:vAlign w:val="center"/>
                </w:tcPr>
                <w:p w14:paraId="4F3DAE4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484" w:type="dxa"/>
                  <w:vAlign w:val="center"/>
                </w:tcPr>
                <w:p w14:paraId="0D50F5F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《工业企业厂界环境噪</w:t>
                  </w:r>
                </w:p>
                <w:p w14:paraId="171F5C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声排放标准》</w:t>
                  </w:r>
                </w:p>
                <w:p w14:paraId="4A79179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（GB12348-2008）2 类标准</w:t>
                  </w:r>
                </w:p>
              </w:tc>
            </w:tr>
            <w:tr w14:paraId="157F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780B6A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固</w:t>
                  </w:r>
                </w:p>
                <w:p w14:paraId="2272D7E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w:t>
                  </w:r>
                </w:p>
              </w:tc>
              <w:tc>
                <w:tcPr>
                  <w:tcW w:w="1216" w:type="dxa"/>
                  <w:vAlign w:val="center"/>
                </w:tcPr>
                <w:p w14:paraId="2B025E2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布袋除尘器收集的粉尘</w:t>
                  </w:r>
                </w:p>
              </w:tc>
              <w:tc>
                <w:tcPr>
                  <w:tcW w:w="2552" w:type="dxa"/>
                  <w:vAlign w:val="center"/>
                </w:tcPr>
                <w:p w14:paraId="411E1E3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收集后暂存固废间回用于生产</w:t>
                  </w:r>
                </w:p>
              </w:tc>
              <w:tc>
                <w:tcPr>
                  <w:tcW w:w="1104" w:type="dxa"/>
                  <w:vAlign w:val="center"/>
                </w:tcPr>
                <w:p w14:paraId="506A231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891" w:type="dxa"/>
                  <w:vAlign w:val="center"/>
                </w:tcPr>
                <w:p w14:paraId="6DC3A1D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1×30</w:t>
                  </w:r>
                  <w:r>
                    <w:rPr>
                      <w:rFonts w:hint="eastAsia" w:ascii="宋体" w:hAnsi="宋体" w:eastAsia="宋体" w:cs="宋体"/>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 xml:space="preserve"> 固废间</w:t>
                  </w:r>
                </w:p>
                <w:p w14:paraId="4153DE6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484" w:type="dxa"/>
                  <w:vAlign w:val="center"/>
                </w:tcPr>
                <w:p w14:paraId="52E0D8D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《一般工业固体废物贮存和填埋污染控制标准》</w:t>
                  </w:r>
                </w:p>
                <w:p w14:paraId="281A2A0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（GB18599-2020）</w:t>
                  </w:r>
                </w:p>
                <w:p w14:paraId="251729F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r w14:paraId="0FFF5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 w:type="dxa"/>
                  <w:vAlign w:val="center"/>
                </w:tcPr>
                <w:p w14:paraId="228AEB2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危</w:t>
                  </w:r>
                </w:p>
                <w:p w14:paraId="07662DB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w:t>
                  </w:r>
                </w:p>
              </w:tc>
              <w:tc>
                <w:tcPr>
                  <w:tcW w:w="1216" w:type="dxa"/>
                  <w:vAlign w:val="center"/>
                </w:tcPr>
                <w:p w14:paraId="16B6275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废气处理产生的废活性炭</w:t>
                  </w:r>
                </w:p>
                <w:p w14:paraId="2BF02C7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2552" w:type="dxa"/>
                  <w:vAlign w:val="center"/>
                </w:tcPr>
                <w:p w14:paraId="1B42BF0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集中收集后暂存危废间，交由有资质单位进行处理</w:t>
                  </w:r>
                </w:p>
                <w:p w14:paraId="7401D20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104" w:type="dxa"/>
                  <w:vAlign w:val="center"/>
                </w:tcPr>
                <w:p w14:paraId="323854B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891" w:type="dxa"/>
                  <w:vAlign w:val="center"/>
                </w:tcPr>
                <w:p w14:paraId="630CB27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1×30</w:t>
                  </w:r>
                  <w:r>
                    <w:rPr>
                      <w:rFonts w:hint="eastAsia" w:ascii="宋体" w:hAnsi="宋体" w:eastAsia="宋体" w:cs="宋体"/>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固废间</w:t>
                  </w:r>
                </w:p>
                <w:p w14:paraId="57A5C1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1484" w:type="dxa"/>
                  <w:vAlign w:val="center"/>
                </w:tcPr>
                <w:p w14:paraId="06CF0A7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《危险废物贮存污染控制标准》（GB18597-2001）</w:t>
                  </w:r>
                </w:p>
                <w:p w14:paraId="624F1FB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及 2013 年修改单标准</w:t>
                  </w:r>
                </w:p>
                <w:p w14:paraId="7DC8AF0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r>
          </w:tbl>
          <w:p w14:paraId="3F32824F"/>
          <w:p w14:paraId="6FA048DD">
            <w:pPr>
              <w:pStyle w:val="4"/>
            </w:pPr>
          </w:p>
        </w:tc>
      </w:tr>
    </w:tbl>
    <w:p w14:paraId="63F2E888">
      <w:pPr>
        <w:numPr>
          <w:ilvl w:val="0"/>
          <w:numId w:val="0"/>
        </w:numPr>
        <w:jc w:val="center"/>
      </w:pPr>
      <w:r>
        <w:br w:type="page"/>
      </w:r>
      <w:r>
        <w:rPr>
          <w:rStyle w:val="33"/>
          <w:rFonts w:hint="eastAsia" w:ascii="黑体" w:hAnsi="黑体" w:eastAsia="黑体" w:cs="黑体"/>
          <w:b/>
          <w:bCs/>
          <w:sz w:val="32"/>
          <w:szCs w:val="32"/>
          <w:lang w:val="en-US" w:eastAsia="zh-CN"/>
        </w:rPr>
        <w:t>五、环境保护措施监督检查清单</w:t>
      </w:r>
    </w:p>
    <w:tbl>
      <w:tblPr>
        <w:tblStyle w:val="16"/>
        <w:tblW w:w="93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27"/>
        <w:gridCol w:w="2078"/>
        <w:gridCol w:w="1117"/>
        <w:gridCol w:w="1780"/>
        <w:gridCol w:w="2492"/>
      </w:tblGrid>
      <w:tr w14:paraId="35C6D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27" w:type="dxa"/>
            <w:tcBorders>
              <w:tl2br w:val="single" w:color="auto" w:sz="4" w:space="0"/>
            </w:tcBorders>
            <w:noWrap w:val="0"/>
            <w:vAlign w:val="top"/>
          </w:tcPr>
          <w:p w14:paraId="7FC92CF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内容</w:t>
            </w:r>
          </w:p>
          <w:p w14:paraId="53A387B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要素</w:t>
            </w:r>
          </w:p>
        </w:tc>
        <w:tc>
          <w:tcPr>
            <w:tcW w:w="2078" w:type="dxa"/>
            <w:noWrap w:val="0"/>
            <w:vAlign w:val="center"/>
          </w:tcPr>
          <w:p w14:paraId="02142BA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排放口(编号、名称)/污染源</w:t>
            </w:r>
          </w:p>
        </w:tc>
        <w:tc>
          <w:tcPr>
            <w:tcW w:w="1117" w:type="dxa"/>
            <w:noWrap w:val="0"/>
            <w:vAlign w:val="center"/>
          </w:tcPr>
          <w:p w14:paraId="511B98A4">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污染物项目</w:t>
            </w:r>
          </w:p>
        </w:tc>
        <w:tc>
          <w:tcPr>
            <w:tcW w:w="1780" w:type="dxa"/>
            <w:noWrap w:val="0"/>
            <w:vAlign w:val="center"/>
          </w:tcPr>
          <w:p w14:paraId="0159142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环境保护措施</w:t>
            </w:r>
          </w:p>
        </w:tc>
        <w:tc>
          <w:tcPr>
            <w:tcW w:w="2492" w:type="dxa"/>
            <w:noWrap w:val="0"/>
            <w:vAlign w:val="center"/>
          </w:tcPr>
          <w:p w14:paraId="521CE9A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执行标准</w:t>
            </w:r>
          </w:p>
        </w:tc>
      </w:tr>
      <w:tr w14:paraId="11FC9E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1927" w:type="dxa"/>
            <w:vMerge w:val="restart"/>
            <w:noWrap w:val="0"/>
            <w:vAlign w:val="center"/>
          </w:tcPr>
          <w:p w14:paraId="5CCF86C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大气环境</w:t>
            </w:r>
          </w:p>
        </w:tc>
        <w:tc>
          <w:tcPr>
            <w:tcW w:w="2078" w:type="dxa"/>
            <w:noWrap w:val="0"/>
            <w:vAlign w:val="center"/>
          </w:tcPr>
          <w:p w14:paraId="57D513D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破碎、磁选、磨粉、筛分工序</w:t>
            </w:r>
            <w:r>
              <w:rPr>
                <w:rFonts w:hint="default" w:ascii="Times New Roman" w:hAnsi="Times New Roman" w:eastAsia="宋体" w:cs="Times New Roman"/>
                <w:color w:val="000000"/>
                <w:kern w:val="2"/>
                <w:sz w:val="21"/>
                <w:szCs w:val="21"/>
                <w:highlight w:val="none"/>
                <w:lang w:val="en-US" w:eastAsia="zh-CN" w:bidi="ar-SA"/>
              </w:rPr>
              <w:t>DA001</w:t>
            </w:r>
            <w:r>
              <w:rPr>
                <w:rFonts w:hint="eastAsia" w:ascii="Times New Roman" w:hAnsi="Times New Roman" w:eastAsia="宋体" w:cs="Times New Roman"/>
                <w:color w:val="000000"/>
                <w:kern w:val="2"/>
                <w:sz w:val="21"/>
                <w:szCs w:val="21"/>
                <w:highlight w:val="none"/>
                <w:lang w:val="en-US" w:eastAsia="zh-CN" w:bidi="ar-SA"/>
              </w:rPr>
              <w:t>、</w:t>
            </w:r>
            <w:r>
              <w:rPr>
                <w:rFonts w:hint="default" w:ascii="Times New Roman" w:hAnsi="Times New Roman" w:eastAsia="宋体" w:cs="Times New Roman"/>
                <w:color w:val="000000"/>
                <w:kern w:val="2"/>
                <w:sz w:val="21"/>
                <w:szCs w:val="21"/>
                <w:highlight w:val="none"/>
                <w:lang w:val="en-US" w:eastAsia="zh-CN" w:bidi="ar-SA"/>
              </w:rPr>
              <w:t>DA00</w:t>
            </w:r>
            <w:r>
              <w:rPr>
                <w:rFonts w:hint="eastAsia" w:ascii="Times New Roman" w:hAnsi="Times New Roman" w:eastAsia="宋体" w:cs="Times New Roman"/>
                <w:color w:val="000000"/>
                <w:kern w:val="2"/>
                <w:sz w:val="21"/>
                <w:szCs w:val="21"/>
                <w:highlight w:val="none"/>
                <w:lang w:val="en-US" w:eastAsia="zh-CN" w:bidi="ar-SA"/>
              </w:rPr>
              <w:t>2、</w:t>
            </w:r>
            <w:r>
              <w:rPr>
                <w:rFonts w:hint="default" w:ascii="Times New Roman" w:hAnsi="Times New Roman" w:eastAsia="宋体" w:cs="Times New Roman"/>
                <w:color w:val="000000"/>
                <w:kern w:val="2"/>
                <w:sz w:val="21"/>
                <w:szCs w:val="21"/>
                <w:highlight w:val="none"/>
                <w:lang w:val="en-US" w:eastAsia="zh-CN" w:bidi="ar-SA"/>
              </w:rPr>
              <w:t>DA00</w:t>
            </w:r>
            <w:r>
              <w:rPr>
                <w:rFonts w:hint="eastAsia" w:ascii="Times New Roman" w:hAnsi="Times New Roman" w:eastAsia="宋体" w:cs="Times New Roman"/>
                <w:color w:val="000000"/>
                <w:kern w:val="2"/>
                <w:sz w:val="21"/>
                <w:szCs w:val="21"/>
                <w:highlight w:val="none"/>
                <w:lang w:val="en-US" w:eastAsia="zh-CN" w:bidi="ar-SA"/>
              </w:rPr>
              <w:t>3</w:t>
            </w:r>
          </w:p>
        </w:tc>
        <w:tc>
          <w:tcPr>
            <w:tcW w:w="1117" w:type="dxa"/>
            <w:noWrap w:val="0"/>
            <w:vAlign w:val="center"/>
          </w:tcPr>
          <w:p w14:paraId="284C4E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颗粒物</w:t>
            </w:r>
          </w:p>
        </w:tc>
        <w:tc>
          <w:tcPr>
            <w:tcW w:w="1780" w:type="dxa"/>
            <w:noWrap w:val="0"/>
            <w:vAlign w:val="center"/>
          </w:tcPr>
          <w:p w14:paraId="1428BF0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布袋除尘器+二级活性炭吸附+15m高排气筒</w:t>
            </w:r>
          </w:p>
        </w:tc>
        <w:tc>
          <w:tcPr>
            <w:tcW w:w="2492" w:type="dxa"/>
            <w:vMerge w:val="restart"/>
            <w:noWrap w:val="0"/>
            <w:vAlign w:val="center"/>
          </w:tcPr>
          <w:p w14:paraId="59C11B7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大气污染物综合排放标准》（GB16297-1996）表2二级</w:t>
            </w:r>
            <w:r>
              <w:rPr>
                <w:rFonts w:hint="eastAsia" w:ascii="Times New Roman" w:hAnsi="Times New Roman" w:eastAsia="宋体" w:cs="Times New Roman"/>
                <w:color w:val="000000"/>
                <w:kern w:val="2"/>
                <w:sz w:val="21"/>
                <w:szCs w:val="21"/>
                <w:lang w:val="en-US" w:eastAsia="zh-CN" w:bidi="ar-SA"/>
              </w:rPr>
              <w:t>排放标准</w:t>
            </w:r>
          </w:p>
        </w:tc>
      </w:tr>
      <w:tr w14:paraId="0C839F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1927" w:type="dxa"/>
            <w:vMerge w:val="continue"/>
            <w:noWrap w:val="0"/>
            <w:vAlign w:val="center"/>
          </w:tcPr>
          <w:p w14:paraId="20AEC3B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2078" w:type="dxa"/>
            <w:noWrap w:val="0"/>
            <w:vAlign w:val="center"/>
          </w:tcPr>
          <w:p w14:paraId="0459C04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1#、2#生产车间</w:t>
            </w:r>
          </w:p>
        </w:tc>
        <w:tc>
          <w:tcPr>
            <w:tcW w:w="1117" w:type="dxa"/>
            <w:noWrap w:val="0"/>
            <w:vAlign w:val="center"/>
          </w:tcPr>
          <w:p w14:paraId="00FD1E3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颗粒物</w:t>
            </w:r>
          </w:p>
        </w:tc>
        <w:tc>
          <w:tcPr>
            <w:tcW w:w="1780" w:type="dxa"/>
            <w:noWrap w:val="0"/>
            <w:vAlign w:val="center"/>
          </w:tcPr>
          <w:p w14:paraId="4FCE963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车间密闭、集中收集</w:t>
            </w:r>
          </w:p>
        </w:tc>
        <w:tc>
          <w:tcPr>
            <w:tcW w:w="2492" w:type="dxa"/>
            <w:vMerge w:val="continue"/>
            <w:noWrap w:val="0"/>
            <w:vAlign w:val="center"/>
          </w:tcPr>
          <w:p w14:paraId="0CA94CC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p>
        </w:tc>
      </w:tr>
      <w:tr w14:paraId="6CE14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1927" w:type="dxa"/>
            <w:vMerge w:val="continue"/>
            <w:noWrap w:val="0"/>
            <w:vAlign w:val="center"/>
          </w:tcPr>
          <w:p w14:paraId="395D478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2078" w:type="dxa"/>
            <w:noWrap w:val="0"/>
            <w:vAlign w:val="center"/>
          </w:tcPr>
          <w:p w14:paraId="7425965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食堂</w:t>
            </w:r>
          </w:p>
        </w:tc>
        <w:tc>
          <w:tcPr>
            <w:tcW w:w="1117" w:type="dxa"/>
            <w:noWrap w:val="0"/>
            <w:vAlign w:val="center"/>
          </w:tcPr>
          <w:p w14:paraId="22EADAE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油烟</w:t>
            </w:r>
          </w:p>
        </w:tc>
        <w:tc>
          <w:tcPr>
            <w:tcW w:w="1780" w:type="dxa"/>
            <w:noWrap w:val="0"/>
            <w:vAlign w:val="center"/>
          </w:tcPr>
          <w:p w14:paraId="75178F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集气罩</w:t>
            </w:r>
            <w:r>
              <w:rPr>
                <w:rFonts w:hint="default" w:ascii="Times New Roman" w:hAnsi="Times New Roman" w:eastAsia="宋体"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 xml:space="preserve">高效 </w:t>
            </w:r>
          </w:p>
          <w:p w14:paraId="66CE881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油烟净化器</w:t>
            </w:r>
            <w:r>
              <w:rPr>
                <w:rFonts w:hint="default" w:ascii="Times New Roman" w:hAnsi="Times New Roman" w:eastAsia="宋体" w:cs="Times New Roman"/>
                <w:color w:val="000000"/>
                <w:kern w:val="2"/>
                <w:sz w:val="21"/>
                <w:szCs w:val="21"/>
                <w:lang w:val="en-US" w:eastAsia="zh-CN" w:bidi="ar-SA"/>
              </w:rPr>
              <w:t xml:space="preserve">+ </w:t>
            </w:r>
          </w:p>
          <w:p w14:paraId="663BD07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专用烟道</w:t>
            </w:r>
          </w:p>
        </w:tc>
        <w:tc>
          <w:tcPr>
            <w:tcW w:w="2492" w:type="dxa"/>
            <w:noWrap w:val="0"/>
            <w:vAlign w:val="center"/>
          </w:tcPr>
          <w:p w14:paraId="06DC18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执行《餐饮业油烟污染物排放标准》（</w:t>
            </w:r>
            <w:r>
              <w:rPr>
                <w:rFonts w:hint="default" w:ascii="Times New Roman" w:hAnsi="Times New Roman" w:eastAsia="宋体" w:cs="Times New Roman"/>
                <w:color w:val="000000"/>
                <w:kern w:val="2"/>
                <w:sz w:val="21"/>
                <w:szCs w:val="21"/>
                <w:lang w:val="en-US" w:eastAsia="zh-CN" w:bidi="ar-SA"/>
              </w:rPr>
              <w:t>DB41/1604-2018</w:t>
            </w:r>
            <w:r>
              <w:rPr>
                <w:rFonts w:hint="eastAsia" w:ascii="Times New Roman" w:hAnsi="Times New Roman" w:eastAsia="宋体" w:cs="Times New Roman"/>
                <w:color w:val="000000"/>
                <w:kern w:val="2"/>
                <w:sz w:val="21"/>
                <w:szCs w:val="21"/>
                <w:lang w:val="en-US" w:eastAsia="zh-CN" w:bidi="ar-SA"/>
              </w:rPr>
              <w:t xml:space="preserve">） </w:t>
            </w:r>
          </w:p>
          <w:p w14:paraId="07ED3D73">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 xml:space="preserve">表 </w:t>
            </w:r>
            <w:r>
              <w:rPr>
                <w:rFonts w:hint="default" w:ascii="Times New Roman" w:hAnsi="Times New Roman" w:eastAsia="宋体" w:cs="Times New Roman"/>
                <w:color w:val="000000"/>
                <w:kern w:val="2"/>
                <w:sz w:val="21"/>
                <w:szCs w:val="21"/>
                <w:lang w:val="en-US" w:eastAsia="zh-CN" w:bidi="ar-SA"/>
              </w:rPr>
              <w:t xml:space="preserve">1 </w:t>
            </w:r>
            <w:r>
              <w:rPr>
                <w:rFonts w:hint="eastAsia" w:ascii="Times New Roman" w:hAnsi="Times New Roman" w:eastAsia="宋体" w:cs="Times New Roman"/>
                <w:color w:val="000000"/>
                <w:kern w:val="2"/>
                <w:sz w:val="21"/>
                <w:szCs w:val="21"/>
                <w:lang w:val="en-US" w:eastAsia="zh-CN" w:bidi="ar-SA"/>
              </w:rPr>
              <w:t>标准限制</w:t>
            </w:r>
          </w:p>
        </w:tc>
      </w:tr>
      <w:tr w14:paraId="6647F3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1" w:hRule="atLeast"/>
          <w:jc w:val="center"/>
        </w:trPr>
        <w:tc>
          <w:tcPr>
            <w:tcW w:w="1927" w:type="dxa"/>
            <w:vMerge w:val="restart"/>
            <w:noWrap w:val="0"/>
            <w:vAlign w:val="center"/>
          </w:tcPr>
          <w:p w14:paraId="2AB354D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地表水环境</w:t>
            </w:r>
          </w:p>
        </w:tc>
        <w:tc>
          <w:tcPr>
            <w:tcW w:w="2078" w:type="dxa"/>
            <w:noWrap w:val="0"/>
            <w:vAlign w:val="center"/>
          </w:tcPr>
          <w:p w14:paraId="18F4B16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生产废水</w:t>
            </w:r>
          </w:p>
        </w:tc>
        <w:tc>
          <w:tcPr>
            <w:tcW w:w="1117" w:type="dxa"/>
            <w:noWrap w:val="0"/>
            <w:vAlign w:val="center"/>
          </w:tcPr>
          <w:p w14:paraId="6C1006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c>
          <w:tcPr>
            <w:tcW w:w="1780" w:type="dxa"/>
            <w:noWrap w:val="0"/>
            <w:vAlign w:val="center"/>
          </w:tcPr>
          <w:p w14:paraId="5989759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冷却水循环使用</w:t>
            </w:r>
          </w:p>
        </w:tc>
        <w:tc>
          <w:tcPr>
            <w:tcW w:w="2492" w:type="dxa"/>
            <w:noWrap w:val="0"/>
            <w:vAlign w:val="center"/>
          </w:tcPr>
          <w:p w14:paraId="2053BE1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r>
      <w:tr w14:paraId="2D81D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1927" w:type="dxa"/>
            <w:vMerge w:val="continue"/>
            <w:noWrap w:val="0"/>
            <w:vAlign w:val="center"/>
          </w:tcPr>
          <w:p w14:paraId="45BA212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p>
        </w:tc>
        <w:tc>
          <w:tcPr>
            <w:tcW w:w="2078" w:type="dxa"/>
            <w:noWrap w:val="0"/>
            <w:vAlign w:val="center"/>
          </w:tcPr>
          <w:p w14:paraId="1691159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生活污水</w:t>
            </w:r>
          </w:p>
        </w:tc>
        <w:tc>
          <w:tcPr>
            <w:tcW w:w="1117" w:type="dxa"/>
            <w:noWrap w:val="0"/>
            <w:vAlign w:val="center"/>
          </w:tcPr>
          <w:p w14:paraId="70120E7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pt-BR" w:eastAsia="zh-CN" w:bidi="ar-SA"/>
              </w:rPr>
              <w:t>COD</w:t>
            </w:r>
            <w:r>
              <w:rPr>
                <w:rFonts w:hint="eastAsia" w:ascii="Times New Roman" w:hAnsi="Times New Roman" w:eastAsia="宋体" w:cs="Times New Roman"/>
                <w:color w:val="000000"/>
                <w:kern w:val="2"/>
                <w:sz w:val="21"/>
                <w:szCs w:val="21"/>
                <w:lang w:val="en-US" w:eastAsia="zh-CN" w:bidi="ar-SA"/>
              </w:rPr>
              <w:t>、</w:t>
            </w:r>
            <w:r>
              <w:rPr>
                <w:rFonts w:hint="eastAsia" w:ascii="宋体" w:hAnsi="宋体" w:eastAsia="宋体" w:cs="宋体"/>
                <w:b w:val="0"/>
                <w:bCs w:val="0"/>
                <w:color w:val="000000"/>
                <w:sz w:val="21"/>
                <w:szCs w:val="21"/>
                <w:lang w:val="en-US" w:eastAsia="zh-CN"/>
              </w:rPr>
              <w:t>NH</w:t>
            </w:r>
            <w:r>
              <w:rPr>
                <w:rFonts w:hint="eastAsia" w:ascii="宋体" w:hAnsi="宋体" w:eastAsia="宋体" w:cs="宋体"/>
                <w:b w:val="0"/>
                <w:bCs w:val="0"/>
                <w:color w:val="000000"/>
                <w:sz w:val="21"/>
                <w:szCs w:val="21"/>
                <w:vertAlign w:val="subscript"/>
                <w:lang w:val="en-US" w:eastAsia="zh-CN"/>
              </w:rPr>
              <w:t>3</w:t>
            </w:r>
            <w:r>
              <w:rPr>
                <w:rFonts w:hint="eastAsia" w:ascii="宋体" w:hAnsi="宋体" w:eastAsia="宋体" w:cs="宋体"/>
                <w:b w:val="0"/>
                <w:bCs w:val="0"/>
                <w:color w:val="000000"/>
                <w:sz w:val="21"/>
                <w:szCs w:val="21"/>
                <w:lang w:val="en-US" w:eastAsia="zh-CN"/>
              </w:rPr>
              <w:t>-N</w:t>
            </w:r>
          </w:p>
        </w:tc>
        <w:tc>
          <w:tcPr>
            <w:tcW w:w="1780" w:type="dxa"/>
            <w:noWrap w:val="0"/>
            <w:vAlign w:val="center"/>
          </w:tcPr>
          <w:p w14:paraId="32EF844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项目生活污水经隔油池+化粪池处理，废水排入</w:t>
            </w:r>
            <w:r>
              <w:rPr>
                <w:rFonts w:hint="eastAsia" w:cs="Times New Roman"/>
                <w:color w:val="000000"/>
                <w:kern w:val="2"/>
                <w:sz w:val="21"/>
                <w:szCs w:val="21"/>
                <w:lang w:val="en-US" w:eastAsia="zh-CN" w:bidi="ar-SA"/>
              </w:rPr>
              <w:t>南乐县城污水处理厂</w:t>
            </w:r>
          </w:p>
        </w:tc>
        <w:tc>
          <w:tcPr>
            <w:tcW w:w="2492" w:type="dxa"/>
            <w:noWrap w:val="0"/>
            <w:vAlign w:val="center"/>
          </w:tcPr>
          <w:p w14:paraId="48B8C0D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《污水综合排放标准》（GB8978-1996）表4三级及</w:t>
            </w:r>
            <w:r>
              <w:rPr>
                <w:rFonts w:hint="eastAsia" w:cs="Times New Roman"/>
                <w:color w:val="000000"/>
                <w:kern w:val="2"/>
                <w:sz w:val="21"/>
                <w:szCs w:val="21"/>
                <w:lang w:val="en-US" w:eastAsia="zh-CN" w:bidi="ar-SA"/>
              </w:rPr>
              <w:t>南乐县城污水处理厂</w:t>
            </w:r>
            <w:r>
              <w:rPr>
                <w:rFonts w:hint="eastAsia" w:ascii="Times New Roman" w:hAnsi="Times New Roman" w:eastAsia="宋体" w:cs="Times New Roman"/>
                <w:color w:val="000000"/>
                <w:kern w:val="2"/>
                <w:sz w:val="21"/>
                <w:szCs w:val="21"/>
                <w:lang w:val="en-US" w:eastAsia="zh-CN" w:bidi="ar-SA"/>
              </w:rPr>
              <w:t>收水标准</w:t>
            </w:r>
          </w:p>
        </w:tc>
      </w:tr>
      <w:tr w14:paraId="3EF879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27" w:type="dxa"/>
            <w:noWrap w:val="0"/>
            <w:vAlign w:val="center"/>
          </w:tcPr>
          <w:p w14:paraId="2406B0D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声环境</w:t>
            </w:r>
          </w:p>
        </w:tc>
        <w:tc>
          <w:tcPr>
            <w:tcW w:w="2078" w:type="dxa"/>
            <w:noWrap w:val="0"/>
            <w:vAlign w:val="center"/>
          </w:tcPr>
          <w:p w14:paraId="394BF1E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生产设备</w:t>
            </w:r>
          </w:p>
        </w:tc>
        <w:tc>
          <w:tcPr>
            <w:tcW w:w="1117" w:type="dxa"/>
            <w:noWrap w:val="0"/>
            <w:vAlign w:val="center"/>
          </w:tcPr>
          <w:p w14:paraId="77242C1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color w:val="000000"/>
                <w:kern w:val="2"/>
                <w:sz w:val="21"/>
                <w:szCs w:val="21"/>
                <w:lang w:val="en-US" w:eastAsia="zh-CN" w:bidi="ar-SA"/>
              </w:rPr>
              <w:t>Leq(A)</w:t>
            </w:r>
          </w:p>
        </w:tc>
        <w:tc>
          <w:tcPr>
            <w:tcW w:w="1780" w:type="dxa"/>
            <w:noWrap w:val="0"/>
            <w:vAlign w:val="center"/>
          </w:tcPr>
          <w:p w14:paraId="5D25143A">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设备基础减振和厂房隔声及距离衰减</w:t>
            </w:r>
          </w:p>
        </w:tc>
        <w:tc>
          <w:tcPr>
            <w:tcW w:w="2492" w:type="dxa"/>
            <w:noWrap w:val="0"/>
            <w:vAlign w:val="center"/>
          </w:tcPr>
          <w:p w14:paraId="753D623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《工业企业厂界环境噪声排放标准》（GB12348-2008）2类标准的要求</w:t>
            </w:r>
          </w:p>
        </w:tc>
      </w:tr>
      <w:tr w14:paraId="669996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1927" w:type="dxa"/>
            <w:noWrap w:val="0"/>
            <w:vAlign w:val="center"/>
          </w:tcPr>
          <w:p w14:paraId="6047A4C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电磁辐射</w:t>
            </w:r>
          </w:p>
        </w:tc>
        <w:tc>
          <w:tcPr>
            <w:tcW w:w="7467" w:type="dxa"/>
            <w:gridSpan w:val="4"/>
            <w:noWrap w:val="0"/>
            <w:vAlign w:val="center"/>
          </w:tcPr>
          <w:p w14:paraId="45225BD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r>
      <w:tr w14:paraId="5D706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927" w:type="dxa"/>
            <w:noWrap w:val="0"/>
            <w:vAlign w:val="center"/>
          </w:tcPr>
          <w:p w14:paraId="4C0303C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固体废物</w:t>
            </w:r>
          </w:p>
        </w:tc>
        <w:tc>
          <w:tcPr>
            <w:tcW w:w="7467" w:type="dxa"/>
            <w:gridSpan w:val="4"/>
            <w:noWrap w:val="0"/>
            <w:vAlign w:val="center"/>
          </w:tcPr>
          <w:p w14:paraId="390827EC">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 xml:space="preserve">一般固废暂存间 </w:t>
            </w:r>
            <w:r>
              <w:rPr>
                <w:rFonts w:hint="default" w:ascii="Times New Roman" w:hAnsi="Times New Roman" w:eastAsia="宋体" w:cs="Times New Roman"/>
                <w:color w:val="000000"/>
                <w:kern w:val="2"/>
                <w:sz w:val="21"/>
                <w:szCs w:val="21"/>
                <w:highlight w:val="none"/>
                <w:lang w:val="en-US" w:eastAsia="zh-CN" w:bidi="ar-SA"/>
              </w:rPr>
              <w:t xml:space="preserve">1 </w:t>
            </w:r>
            <w:r>
              <w:rPr>
                <w:rFonts w:hint="eastAsia" w:ascii="Times New Roman" w:hAnsi="Times New Roman" w:eastAsia="宋体" w:cs="Times New Roman"/>
                <w:color w:val="000000"/>
                <w:kern w:val="2"/>
                <w:sz w:val="21"/>
                <w:szCs w:val="21"/>
                <w:highlight w:val="none"/>
                <w:lang w:val="en-US" w:eastAsia="zh-CN" w:bidi="ar-SA"/>
              </w:rPr>
              <w:t>座</w:t>
            </w:r>
            <w:r>
              <w:rPr>
                <w:rFonts w:hint="eastAsia" w:cs="Times New Roman"/>
                <w:color w:val="000000"/>
                <w:kern w:val="2"/>
                <w:sz w:val="21"/>
                <w:szCs w:val="21"/>
                <w:highlight w:val="none"/>
                <w:lang w:val="en-US" w:eastAsia="zh-CN" w:bidi="ar-SA"/>
              </w:rPr>
              <w:t>，一般固废为胶粉颗粒物，回用于生产</w:t>
            </w:r>
            <w:r>
              <w:rPr>
                <w:rFonts w:hint="eastAsia" w:ascii="Times New Roman" w:hAnsi="Times New Roman" w:eastAsia="宋体" w:cs="Times New Roman"/>
                <w:color w:val="000000"/>
                <w:kern w:val="2"/>
                <w:sz w:val="21"/>
                <w:szCs w:val="21"/>
                <w:highlight w:val="none"/>
                <w:lang w:val="en-US" w:eastAsia="zh-CN" w:bidi="ar-SA"/>
              </w:rPr>
              <w:t>；</w:t>
            </w:r>
          </w:p>
          <w:p w14:paraId="2F7BE15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 xml:space="preserve">危废暂存间 </w:t>
            </w:r>
            <w:r>
              <w:rPr>
                <w:rFonts w:hint="default" w:ascii="Times New Roman" w:hAnsi="Times New Roman" w:eastAsia="宋体" w:cs="Times New Roman"/>
                <w:color w:val="000000"/>
                <w:kern w:val="2"/>
                <w:sz w:val="21"/>
                <w:szCs w:val="21"/>
                <w:highlight w:val="none"/>
                <w:lang w:val="en-US" w:eastAsia="zh-CN" w:bidi="ar-SA"/>
              </w:rPr>
              <w:t xml:space="preserve">1 </w:t>
            </w:r>
            <w:r>
              <w:rPr>
                <w:rFonts w:hint="eastAsia" w:ascii="Times New Roman" w:hAnsi="Times New Roman" w:eastAsia="宋体" w:cs="Times New Roman"/>
                <w:color w:val="000000"/>
                <w:kern w:val="2"/>
                <w:sz w:val="21"/>
                <w:szCs w:val="21"/>
                <w:highlight w:val="none"/>
                <w:lang w:val="en-US" w:eastAsia="zh-CN" w:bidi="ar-SA"/>
              </w:rPr>
              <w:t>座</w:t>
            </w:r>
            <w:r>
              <w:rPr>
                <w:rFonts w:hint="eastAsia" w:cs="Times New Roman"/>
                <w:color w:val="000000"/>
                <w:kern w:val="2"/>
                <w:sz w:val="21"/>
                <w:szCs w:val="21"/>
                <w:highlight w:val="none"/>
                <w:lang w:val="en-US" w:eastAsia="zh-CN" w:bidi="ar-SA"/>
              </w:rPr>
              <w:t>，危废为</w:t>
            </w:r>
            <w:r>
              <w:rPr>
                <w:rFonts w:hint="eastAsia" w:ascii="Times New Roman" w:hAnsi="Times New Roman" w:eastAsia="宋体" w:cs="Times New Roman"/>
                <w:color w:val="000000"/>
                <w:kern w:val="2"/>
                <w:sz w:val="21"/>
                <w:szCs w:val="21"/>
                <w:lang w:val="en-US" w:eastAsia="zh-CN" w:bidi="ar-SA"/>
              </w:rPr>
              <w:t>废活性炭</w:t>
            </w:r>
            <w:r>
              <w:rPr>
                <w:rFonts w:hint="eastAsia" w:cs="Times New Roman"/>
                <w:color w:val="000000"/>
                <w:kern w:val="2"/>
                <w:sz w:val="21"/>
                <w:szCs w:val="21"/>
                <w:lang w:val="en-US" w:eastAsia="zh-CN" w:bidi="ar-SA"/>
              </w:rPr>
              <w:t>，</w:t>
            </w:r>
            <w:r>
              <w:rPr>
                <w:rFonts w:hint="eastAsia" w:ascii="Times New Roman" w:hAnsi="Times New Roman" w:eastAsia="宋体" w:cs="Times New Roman"/>
                <w:color w:val="000000"/>
                <w:kern w:val="2"/>
                <w:sz w:val="21"/>
                <w:szCs w:val="21"/>
                <w:lang w:val="en-US" w:eastAsia="zh-CN" w:bidi="ar-SA"/>
              </w:rPr>
              <w:t>交由有资质单位处理</w:t>
            </w:r>
            <w:r>
              <w:rPr>
                <w:rFonts w:hint="eastAsia" w:ascii="Times New Roman" w:hAnsi="Times New Roman" w:eastAsia="宋体" w:cs="Times New Roman"/>
                <w:color w:val="000000"/>
                <w:kern w:val="2"/>
                <w:sz w:val="21"/>
                <w:szCs w:val="21"/>
                <w:highlight w:val="none"/>
                <w:lang w:val="en-US" w:eastAsia="zh-CN" w:bidi="ar-SA"/>
              </w:rPr>
              <w:t>；</w:t>
            </w:r>
          </w:p>
          <w:p w14:paraId="422B9D0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cs="Times New Roman"/>
                <w:color w:val="000000"/>
                <w:kern w:val="2"/>
                <w:sz w:val="21"/>
                <w:szCs w:val="21"/>
                <w:lang w:val="en-US" w:eastAsia="zh-CN" w:bidi="ar-SA"/>
              </w:rPr>
              <w:t>生活垃圾存放于</w:t>
            </w:r>
            <w:r>
              <w:rPr>
                <w:rFonts w:hint="eastAsia" w:ascii="Times New Roman" w:hAnsi="Times New Roman" w:eastAsia="宋体" w:cs="Times New Roman"/>
                <w:color w:val="000000"/>
                <w:kern w:val="2"/>
                <w:sz w:val="21"/>
                <w:szCs w:val="21"/>
                <w:highlight w:val="none"/>
                <w:lang w:val="en-US" w:eastAsia="zh-CN" w:bidi="ar-SA"/>
              </w:rPr>
              <w:t>密闭垃圾桶</w:t>
            </w:r>
            <w:r>
              <w:rPr>
                <w:rFonts w:hint="eastAsia" w:cs="Times New Roman"/>
                <w:color w:val="000000"/>
                <w:kern w:val="2"/>
                <w:sz w:val="21"/>
                <w:szCs w:val="21"/>
                <w:highlight w:val="none"/>
                <w:lang w:val="en-US" w:eastAsia="zh-CN" w:bidi="ar-SA"/>
              </w:rPr>
              <w:t>，</w:t>
            </w:r>
            <w:r>
              <w:rPr>
                <w:rFonts w:hint="eastAsia" w:ascii="Times New Roman" w:hAnsi="Times New Roman" w:eastAsia="宋体" w:cs="Times New Roman"/>
                <w:color w:val="000000"/>
                <w:kern w:val="2"/>
                <w:sz w:val="21"/>
                <w:szCs w:val="21"/>
                <w:lang w:val="en-US" w:eastAsia="zh-CN" w:bidi="ar-SA"/>
              </w:rPr>
              <w:t>交由环卫部门统一处理</w:t>
            </w:r>
            <w:r>
              <w:rPr>
                <w:rFonts w:hint="eastAsia" w:ascii="Times New Roman" w:hAnsi="Times New Roman" w:eastAsia="宋体" w:cs="Times New Roman"/>
                <w:color w:val="000000"/>
                <w:kern w:val="2"/>
                <w:sz w:val="21"/>
                <w:szCs w:val="21"/>
                <w:highlight w:val="none"/>
                <w:lang w:val="en-US" w:eastAsia="zh-CN" w:bidi="ar-SA"/>
              </w:rPr>
              <w:t>。</w:t>
            </w:r>
          </w:p>
        </w:tc>
      </w:tr>
      <w:tr w14:paraId="59F721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927" w:type="dxa"/>
            <w:noWrap w:val="0"/>
            <w:vAlign w:val="center"/>
          </w:tcPr>
          <w:p w14:paraId="51464AA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土壤及地下水</w:t>
            </w:r>
          </w:p>
          <w:p w14:paraId="1B9AFD6F">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污染防治措施</w:t>
            </w:r>
          </w:p>
        </w:tc>
        <w:tc>
          <w:tcPr>
            <w:tcW w:w="7467" w:type="dxa"/>
            <w:gridSpan w:val="4"/>
            <w:noWrap w:val="0"/>
            <w:vAlign w:val="center"/>
          </w:tcPr>
          <w:p w14:paraId="7CDA2A58">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 xml:space="preserve">厂区分区防渗，生产区、化粪池、危废暂存间等重点防渗区进行严格的防渗， </w:t>
            </w:r>
          </w:p>
          <w:p w14:paraId="4A201D40">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 xml:space="preserve">防渗层防渗性能不应低于 </w:t>
            </w:r>
            <w:r>
              <w:rPr>
                <w:rFonts w:hint="default" w:ascii="Times New Roman" w:hAnsi="Times New Roman" w:eastAsia="宋体" w:cs="Times New Roman"/>
                <w:color w:val="000000"/>
                <w:kern w:val="2"/>
                <w:sz w:val="21"/>
                <w:szCs w:val="21"/>
                <w:lang w:val="en-US" w:eastAsia="zh-CN" w:bidi="ar-SA"/>
              </w:rPr>
              <w:t xml:space="preserve">6.0 m </w:t>
            </w:r>
            <w:r>
              <w:rPr>
                <w:rFonts w:hint="eastAsia" w:ascii="Times New Roman" w:hAnsi="Times New Roman" w:eastAsia="宋体" w:cs="Times New Roman"/>
                <w:color w:val="000000"/>
                <w:kern w:val="2"/>
                <w:sz w:val="21"/>
                <w:szCs w:val="21"/>
                <w:lang w:val="en-US" w:eastAsia="zh-CN" w:bidi="ar-SA"/>
              </w:rPr>
              <w:t xml:space="preserve">厚渗透系数为 </w:t>
            </w:r>
            <w:r>
              <w:rPr>
                <w:rFonts w:hint="default" w:ascii="Times New Roman" w:hAnsi="Times New Roman" w:eastAsia="宋体" w:cs="Times New Roman"/>
                <w:color w:val="000000"/>
                <w:kern w:val="2"/>
                <w:sz w:val="21"/>
                <w:szCs w:val="21"/>
                <w:lang w:val="en-US" w:eastAsia="zh-CN" w:bidi="ar-SA"/>
              </w:rPr>
              <w:t xml:space="preserve">1.0×10 -7 cm/s </w:t>
            </w:r>
            <w:r>
              <w:rPr>
                <w:rFonts w:hint="eastAsia" w:ascii="Times New Roman" w:hAnsi="Times New Roman" w:eastAsia="宋体" w:cs="Times New Roman"/>
                <w:color w:val="000000"/>
                <w:kern w:val="2"/>
                <w:sz w:val="21"/>
                <w:szCs w:val="21"/>
                <w:lang w:val="en-US" w:eastAsia="zh-CN" w:bidi="ar-SA"/>
              </w:rPr>
              <w:t xml:space="preserve">粘土层的防渗性能； </w:t>
            </w:r>
          </w:p>
          <w:p w14:paraId="589E968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 xml:space="preserve">一般污染防渗区（生产车间内重点防渗区外区域、原料库、成品库、雨水收集 </w:t>
            </w:r>
          </w:p>
          <w:p w14:paraId="0B21C3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 xml:space="preserve">池）防渗层的防渗性能不应低于 </w:t>
            </w:r>
            <w:r>
              <w:rPr>
                <w:rFonts w:hint="default" w:ascii="Times New Roman" w:hAnsi="Times New Roman" w:eastAsia="宋体" w:cs="Times New Roman"/>
                <w:color w:val="000000"/>
                <w:kern w:val="2"/>
                <w:sz w:val="21"/>
                <w:szCs w:val="21"/>
                <w:lang w:val="en-US" w:eastAsia="zh-CN" w:bidi="ar-SA"/>
              </w:rPr>
              <w:t xml:space="preserve">1.5 m </w:t>
            </w:r>
            <w:r>
              <w:rPr>
                <w:rFonts w:hint="eastAsia" w:ascii="Times New Roman" w:hAnsi="Times New Roman" w:eastAsia="宋体" w:cs="Times New Roman"/>
                <w:color w:val="000000"/>
                <w:kern w:val="2"/>
                <w:sz w:val="21"/>
                <w:szCs w:val="21"/>
                <w:lang w:val="en-US" w:eastAsia="zh-CN" w:bidi="ar-SA"/>
              </w:rPr>
              <w:t xml:space="preserve">厚渗透系数为 </w:t>
            </w:r>
            <w:r>
              <w:rPr>
                <w:rFonts w:hint="default" w:ascii="Times New Roman" w:hAnsi="Times New Roman" w:eastAsia="宋体" w:cs="Times New Roman"/>
                <w:color w:val="000000"/>
                <w:kern w:val="2"/>
                <w:sz w:val="21"/>
                <w:szCs w:val="21"/>
                <w:lang w:val="en-US" w:eastAsia="zh-CN" w:bidi="ar-SA"/>
              </w:rPr>
              <w:t xml:space="preserve">1.0×10 -7 cm/s </w:t>
            </w:r>
            <w:r>
              <w:rPr>
                <w:rFonts w:hint="eastAsia" w:ascii="Times New Roman" w:hAnsi="Times New Roman" w:eastAsia="宋体" w:cs="Times New Roman"/>
                <w:color w:val="000000"/>
                <w:kern w:val="2"/>
                <w:sz w:val="21"/>
                <w:szCs w:val="21"/>
                <w:lang w:val="en-US" w:eastAsia="zh-CN" w:bidi="ar-SA"/>
              </w:rPr>
              <w:t>粘土层的防渗性能；简单防渗区（其余区域）一般地面硬化。</w:t>
            </w:r>
          </w:p>
        </w:tc>
      </w:tr>
      <w:tr w14:paraId="3575DE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1927" w:type="dxa"/>
            <w:noWrap w:val="0"/>
            <w:vAlign w:val="center"/>
          </w:tcPr>
          <w:p w14:paraId="2162AC87">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生态保护措施</w:t>
            </w:r>
          </w:p>
        </w:tc>
        <w:tc>
          <w:tcPr>
            <w:tcW w:w="7467" w:type="dxa"/>
            <w:gridSpan w:val="4"/>
            <w:noWrap w:val="0"/>
            <w:vAlign w:val="center"/>
          </w:tcPr>
          <w:p w14:paraId="69D4BBF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厂区绿化</w:t>
            </w:r>
          </w:p>
        </w:tc>
      </w:tr>
      <w:tr w14:paraId="7DAB2F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927" w:type="dxa"/>
            <w:noWrap w:val="0"/>
            <w:vAlign w:val="center"/>
          </w:tcPr>
          <w:p w14:paraId="18369B2D">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环境风险</w:t>
            </w:r>
          </w:p>
          <w:p w14:paraId="7B86AE5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防范措施</w:t>
            </w:r>
          </w:p>
        </w:tc>
        <w:tc>
          <w:tcPr>
            <w:tcW w:w="7467" w:type="dxa"/>
            <w:gridSpan w:val="4"/>
            <w:noWrap w:val="0"/>
            <w:vAlign w:val="center"/>
          </w:tcPr>
          <w:p w14:paraId="68968549">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1</w:t>
            </w:r>
            <w:r>
              <w:rPr>
                <w:rFonts w:hint="eastAsia" w:ascii="Times New Roman" w:hAnsi="Times New Roman" w:eastAsia="宋体" w:cs="Times New Roman"/>
                <w:color w:val="000000"/>
                <w:kern w:val="2"/>
                <w:sz w:val="21"/>
                <w:szCs w:val="21"/>
                <w:lang w:val="en-US" w:eastAsia="zh-CN" w:bidi="ar-SA"/>
              </w:rPr>
              <w:t>）完善消防设施；（</w:t>
            </w:r>
            <w:r>
              <w:rPr>
                <w:rFonts w:hint="default" w:ascii="Times New Roman" w:hAnsi="Times New Roman" w:eastAsia="宋体" w:cs="Times New Roman"/>
                <w:color w:val="000000"/>
                <w:kern w:val="2"/>
                <w:sz w:val="21"/>
                <w:szCs w:val="21"/>
                <w:lang w:val="en-US" w:eastAsia="zh-CN" w:bidi="ar-SA"/>
              </w:rPr>
              <w:t>2</w:t>
            </w:r>
            <w:r>
              <w:rPr>
                <w:rFonts w:hint="eastAsia" w:ascii="Times New Roman" w:hAnsi="Times New Roman" w:eastAsia="宋体" w:cs="Times New Roman"/>
                <w:color w:val="000000"/>
                <w:kern w:val="2"/>
                <w:sz w:val="21"/>
                <w:szCs w:val="21"/>
                <w:lang w:val="en-US" w:eastAsia="zh-CN" w:bidi="ar-SA"/>
              </w:rPr>
              <w:t xml:space="preserve">）潜在事故发生场所设置区域报警器、惰性材料，在 </w:t>
            </w:r>
          </w:p>
          <w:p w14:paraId="0A80B286">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火灾危险区域设置感温及感烟探测器，安装报警电话；安装视频监控系统。（</w:t>
            </w:r>
            <w:r>
              <w:rPr>
                <w:rFonts w:hint="default" w:ascii="Times New Roman" w:hAnsi="Times New Roman" w:eastAsia="宋体" w:cs="Times New Roman"/>
                <w:color w:val="000000"/>
                <w:kern w:val="2"/>
                <w:sz w:val="21"/>
                <w:szCs w:val="21"/>
                <w:lang w:val="en-US" w:eastAsia="zh-CN" w:bidi="ar-SA"/>
              </w:rPr>
              <w:t>3</w:t>
            </w:r>
            <w:r>
              <w:rPr>
                <w:rFonts w:hint="eastAsia" w:ascii="Times New Roman" w:hAnsi="Times New Roman" w:eastAsia="宋体" w:cs="Times New Roman"/>
                <w:color w:val="000000"/>
                <w:kern w:val="2"/>
                <w:sz w:val="21"/>
                <w:szCs w:val="21"/>
                <w:lang w:val="en-US" w:eastAsia="zh-CN" w:bidi="ar-SA"/>
              </w:rPr>
              <w:t xml:space="preserve">） </w:t>
            </w:r>
          </w:p>
          <w:p w14:paraId="4E6FD05B">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 xml:space="preserve">对潜在事故发生场所设置警示标识，配备必要的应急救援器材，如灭火器等。 </w:t>
            </w:r>
          </w:p>
          <w:p w14:paraId="4BC4C225">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r>
              <w:rPr>
                <w:rFonts w:hint="default" w:ascii="Times New Roman" w:hAnsi="Times New Roman" w:eastAsia="宋体" w:cs="Times New Roman"/>
                <w:color w:val="000000"/>
                <w:kern w:val="2"/>
                <w:sz w:val="21"/>
                <w:szCs w:val="21"/>
                <w:lang w:val="en-US" w:eastAsia="zh-CN" w:bidi="ar-SA"/>
              </w:rPr>
              <w:t>4</w:t>
            </w:r>
            <w:r>
              <w:rPr>
                <w:rFonts w:hint="eastAsia" w:ascii="Times New Roman" w:hAnsi="Times New Roman" w:eastAsia="宋体" w:cs="Times New Roman"/>
                <w:color w:val="000000"/>
                <w:kern w:val="2"/>
                <w:sz w:val="21"/>
                <w:szCs w:val="21"/>
                <w:lang w:val="en-US" w:eastAsia="zh-CN" w:bidi="ar-SA"/>
              </w:rPr>
              <w:t xml:space="preserve">）公司在办公室配备医疗救护设备（包括急救药箱等）、个人防护装备器材 </w:t>
            </w:r>
          </w:p>
          <w:p w14:paraId="0F31CF21">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 xml:space="preserve">等。 </w:t>
            </w:r>
          </w:p>
        </w:tc>
      </w:tr>
      <w:tr w14:paraId="3760E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927" w:type="dxa"/>
            <w:noWrap w:val="0"/>
            <w:vAlign w:val="center"/>
          </w:tcPr>
          <w:p w14:paraId="37935C6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其他环境</w:t>
            </w:r>
          </w:p>
          <w:p w14:paraId="42AE5CC2">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管理要求</w:t>
            </w:r>
          </w:p>
        </w:tc>
        <w:tc>
          <w:tcPr>
            <w:tcW w:w="7467" w:type="dxa"/>
            <w:gridSpan w:val="4"/>
            <w:noWrap w:val="0"/>
            <w:vAlign w:val="center"/>
          </w:tcPr>
          <w:p w14:paraId="2223A0EE">
            <w:pPr>
              <w:keepNext w:val="0"/>
              <w:keepLines w:val="0"/>
              <w:pageBreakBefore w:val="0"/>
              <w:widowControl w:val="0"/>
              <w:kinsoku/>
              <w:wordWrap/>
              <w:overflowPunct/>
              <w:topLinePunct w:val="0"/>
              <w:autoSpaceDE/>
              <w:autoSpaceDN/>
              <w:bidi w:val="0"/>
              <w:adjustRightInd/>
              <w:snapToGrid/>
              <w:spacing w:line="360" w:lineRule="exact"/>
              <w:ind w:firstLine="0" w:firstLineChars="0"/>
              <w:jc w:val="center"/>
              <w:textAlignment w:val="auto"/>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环境保护专业培训规章制度、档案、监测档案等；规范化排污口。</w:t>
            </w:r>
          </w:p>
        </w:tc>
      </w:tr>
    </w:tbl>
    <w:p w14:paraId="3AA2104D">
      <w:r>
        <w:br w:type="page"/>
      </w:r>
    </w:p>
    <w:p w14:paraId="5ACD81AA">
      <w:pPr>
        <w:pStyle w:val="4"/>
      </w:pPr>
    </w:p>
    <w:p w14:paraId="441572FD">
      <w:pPr>
        <w:pStyle w:val="4"/>
        <w:bidi w:val="0"/>
      </w:pPr>
      <w:r>
        <w:rPr>
          <w:rFonts w:hint="eastAsia" w:ascii="黑体" w:hAnsi="黑体" w:eastAsia="黑体" w:cs="黑体"/>
          <w:b/>
          <w:bCs/>
          <w:sz w:val="32"/>
          <w:szCs w:val="32"/>
        </w:rPr>
        <w:t>六、结论</w:t>
      </w:r>
    </w:p>
    <w:tbl>
      <w:tblPr>
        <w:tblStyle w:val="17"/>
        <w:tblW w:w="85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7"/>
      </w:tblGrid>
      <w:tr w14:paraId="7D365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9" w:hRule="atLeast"/>
        </w:trPr>
        <w:tc>
          <w:tcPr>
            <w:tcW w:w="8587" w:type="dxa"/>
            <w:tcBorders>
              <w:bottom w:val="single" w:color="auto" w:sz="4" w:space="0"/>
            </w:tcBorders>
            <w:noWrap w:val="0"/>
            <w:vAlign w:val="top"/>
          </w:tcPr>
          <w:p w14:paraId="3AB19599">
            <w:pPr>
              <w:spacing w:line="520" w:lineRule="exact"/>
              <w:ind w:firstLine="480" w:firstLineChars="200"/>
              <w:rPr>
                <w:rFonts w:hint="eastAsia"/>
                <w:color w:val="000000"/>
              </w:rPr>
            </w:pPr>
            <w:r>
              <w:rPr>
                <w:rFonts w:hint="eastAsia"/>
                <w:color w:val="000000"/>
                <w:lang w:val="en-GB"/>
              </w:rPr>
              <w:t>综上所述，</w:t>
            </w:r>
            <w:r>
              <w:rPr>
                <w:color w:val="000000"/>
                <w:lang w:val="en-GB"/>
              </w:rPr>
              <w:t>本项目的建设符合国家产业政策和城乡发展规划，在严格执行有关环保法规和</w:t>
            </w:r>
            <w:r>
              <w:rPr>
                <w:rFonts w:hint="eastAsia"/>
                <w:color w:val="000000"/>
                <w:lang w:val="en-GB"/>
              </w:rPr>
              <w:t>“</w:t>
            </w:r>
            <w:r>
              <w:rPr>
                <w:color w:val="000000"/>
                <w:lang w:val="en-GB"/>
              </w:rPr>
              <w:t>三同时</w:t>
            </w:r>
            <w:r>
              <w:rPr>
                <w:rFonts w:hint="eastAsia"/>
                <w:color w:val="000000"/>
                <w:lang w:val="en-GB"/>
              </w:rPr>
              <w:t>”</w:t>
            </w:r>
            <w:r>
              <w:rPr>
                <w:color w:val="000000"/>
                <w:lang w:val="en-GB"/>
              </w:rPr>
              <w:t>制度，落实本环评提出的污染防治措施后，污染物能够达标排放，从环境保护角度而言，项目选址合理，建设可行。</w:t>
            </w:r>
          </w:p>
          <w:p w14:paraId="3261C132">
            <w:pPr>
              <w:spacing w:before="124" w:line="360" w:lineRule="auto"/>
              <w:ind w:right="454"/>
              <w:rPr>
                <w:rFonts w:ascii="黑体" w:eastAsia="黑体"/>
                <w:color w:val="000000"/>
                <w:sz w:val="30"/>
              </w:rPr>
            </w:pPr>
          </w:p>
        </w:tc>
      </w:tr>
    </w:tbl>
    <w:p w14:paraId="45058D92">
      <w:pPr>
        <w:rPr>
          <w:rFonts w:hint="eastAsia"/>
          <w:lang w:val="en-US" w:eastAsia="zh-CN"/>
        </w:rPr>
        <w:sectPr>
          <w:pgSz w:w="11906" w:h="16838"/>
          <w:pgMar w:top="1440" w:right="1800" w:bottom="1440" w:left="1800" w:header="851" w:footer="992" w:gutter="0"/>
          <w:pgNumType w:fmt="decimal"/>
          <w:cols w:space="425" w:num="1"/>
          <w:docGrid w:type="lines" w:linePitch="312" w:charSpace="0"/>
        </w:sectPr>
      </w:pPr>
    </w:p>
    <w:p w14:paraId="2A6E4874">
      <w:pPr>
        <w:jc w:val="left"/>
        <w:rPr>
          <w:rFonts w:hint="eastAsia" w:ascii="黑体" w:hAnsi="黑体" w:eastAsia="黑体"/>
          <w:snapToGrid w:val="0"/>
          <w:sz w:val="32"/>
          <w:szCs w:val="32"/>
        </w:rPr>
      </w:pPr>
      <w:r>
        <w:rPr>
          <w:rFonts w:hint="eastAsia" w:ascii="黑体" w:hAnsi="黑体" w:eastAsia="黑体"/>
          <w:snapToGrid w:val="0"/>
          <w:sz w:val="32"/>
          <w:szCs w:val="32"/>
        </w:rPr>
        <w:t>附表</w:t>
      </w:r>
    </w:p>
    <w:p w14:paraId="4DBE37AD">
      <w:pPr>
        <w:jc w:val="center"/>
        <w:rPr>
          <w:rFonts w:hint="eastAsia"/>
          <w:lang w:val="en-US" w:eastAsia="zh-CN"/>
        </w:rPr>
      </w:pPr>
      <w:r>
        <w:rPr>
          <w:rFonts w:hint="eastAsia" w:ascii="Times New Roman" w:hAnsi="Times New Roman" w:eastAsia="方正小标宋_GBK"/>
          <w:snapToGrid w:val="0"/>
          <w:sz w:val="38"/>
          <w:szCs w:val="38"/>
        </w:rPr>
        <w:t>建设项目污染物排放量汇总表</w:t>
      </w:r>
    </w:p>
    <w:tbl>
      <w:tblPr>
        <w:tblStyle w:val="16"/>
        <w:tblW w:w="1397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7"/>
        <w:gridCol w:w="1578"/>
        <w:gridCol w:w="1706"/>
        <w:gridCol w:w="1280"/>
        <w:gridCol w:w="1707"/>
        <w:gridCol w:w="1563"/>
        <w:gridCol w:w="1561"/>
        <w:gridCol w:w="1870"/>
        <w:gridCol w:w="1275"/>
      </w:tblGrid>
      <w:tr w14:paraId="0E9B3A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437" w:type="dxa"/>
            <w:tcBorders>
              <w:tl2br w:val="single" w:color="auto" w:sz="4" w:space="0"/>
            </w:tcBorders>
            <w:noWrap w:val="0"/>
            <w:tcMar>
              <w:left w:w="28" w:type="dxa"/>
              <w:right w:w="28" w:type="dxa"/>
            </w:tcMar>
            <w:vAlign w:val="center"/>
          </w:tcPr>
          <w:p w14:paraId="23EE6170">
            <w:pPr>
              <w:pStyle w:val="34"/>
              <w:spacing w:line="240" w:lineRule="auto"/>
              <w:rPr>
                <w:rFonts w:hint="eastAsia" w:ascii="黑体" w:hAnsi="黑体" w:eastAsia="黑体" w:cs="宋体"/>
                <w:snapToGrid w:val="0"/>
                <w:color w:val="000000"/>
                <w:spacing w:val="-6"/>
                <w:kern w:val="21"/>
                <w:sz w:val="21"/>
                <w:szCs w:val="21"/>
              </w:rPr>
            </w:pPr>
            <w:r>
              <w:rPr>
                <w:rFonts w:hint="eastAsia" w:ascii="黑体" w:hAnsi="黑体" w:eastAsia="黑体" w:cs="宋体"/>
                <w:snapToGrid w:val="0"/>
                <w:color w:val="000000"/>
                <w:spacing w:val="-6"/>
                <w:kern w:val="21"/>
                <w:sz w:val="21"/>
                <w:szCs w:val="21"/>
              </w:rPr>
              <w:t>项目</w:t>
            </w:r>
          </w:p>
          <w:p w14:paraId="6DED9907">
            <w:pPr>
              <w:rPr>
                <w:rFonts w:hint="eastAsia" w:ascii="黑体" w:hAnsi="黑体" w:eastAsia="黑体" w:cs="宋体"/>
                <w:snapToGrid w:val="0"/>
                <w:color w:val="000000"/>
                <w:spacing w:val="-6"/>
                <w:kern w:val="21"/>
                <w:sz w:val="24"/>
                <w:szCs w:val="21"/>
              </w:rPr>
            </w:pPr>
          </w:p>
          <w:p w14:paraId="5021D2DC">
            <w:pPr>
              <w:pStyle w:val="2"/>
              <w:rPr>
                <w:rFonts w:hint="eastAsia"/>
                <w:sz w:val="24"/>
                <w:szCs w:val="24"/>
              </w:rPr>
            </w:pPr>
          </w:p>
          <w:p w14:paraId="4D6397B0">
            <w:pPr>
              <w:pStyle w:val="34"/>
              <w:spacing w:line="240" w:lineRule="auto"/>
              <w:jc w:val="left"/>
              <w:rPr>
                <w:rFonts w:hint="eastAsia" w:ascii="黑体" w:hAnsi="黑体" w:eastAsia="黑体" w:cs="宋体"/>
                <w:snapToGrid w:val="0"/>
                <w:color w:val="000000"/>
                <w:spacing w:val="-6"/>
                <w:kern w:val="21"/>
                <w:sz w:val="21"/>
                <w:szCs w:val="21"/>
              </w:rPr>
            </w:pPr>
            <w:r>
              <w:rPr>
                <w:rFonts w:hint="eastAsia" w:ascii="黑体" w:hAnsi="黑体" w:eastAsia="黑体" w:cs="宋体"/>
                <w:snapToGrid w:val="0"/>
                <w:color w:val="000000"/>
                <w:spacing w:val="-6"/>
                <w:kern w:val="21"/>
                <w:sz w:val="21"/>
                <w:szCs w:val="21"/>
              </w:rPr>
              <w:t>分类</w:t>
            </w:r>
          </w:p>
        </w:tc>
        <w:tc>
          <w:tcPr>
            <w:tcW w:w="1578" w:type="dxa"/>
            <w:noWrap w:val="0"/>
            <w:tcMar>
              <w:left w:w="28" w:type="dxa"/>
              <w:right w:w="28" w:type="dxa"/>
            </w:tcMar>
            <w:vAlign w:val="center"/>
          </w:tcPr>
          <w:p w14:paraId="44E701C0">
            <w:pPr>
              <w:pStyle w:val="34"/>
              <w:spacing w:line="360" w:lineRule="auto"/>
              <w:ind w:firstLine="0"/>
              <w:rPr>
                <w:rFonts w:hint="eastAsia" w:ascii="黑体" w:hAnsi="黑体" w:eastAsia="黑体" w:cs="宋体"/>
                <w:snapToGrid w:val="0"/>
                <w:color w:val="000000"/>
                <w:spacing w:val="-6"/>
                <w:kern w:val="21"/>
                <w:sz w:val="21"/>
                <w:szCs w:val="21"/>
              </w:rPr>
            </w:pPr>
            <w:r>
              <w:rPr>
                <w:rFonts w:hint="eastAsia" w:ascii="黑体" w:hAnsi="黑体" w:eastAsia="黑体" w:cs="宋体"/>
                <w:snapToGrid w:val="0"/>
                <w:color w:val="000000"/>
                <w:spacing w:val="-6"/>
                <w:kern w:val="21"/>
                <w:sz w:val="21"/>
                <w:szCs w:val="21"/>
              </w:rPr>
              <w:t>污染物名称</w:t>
            </w:r>
          </w:p>
        </w:tc>
        <w:tc>
          <w:tcPr>
            <w:tcW w:w="1706" w:type="dxa"/>
            <w:noWrap w:val="0"/>
            <w:tcMar>
              <w:left w:w="28" w:type="dxa"/>
              <w:right w:w="28" w:type="dxa"/>
            </w:tcMar>
            <w:vAlign w:val="center"/>
          </w:tcPr>
          <w:p w14:paraId="2A96122E">
            <w:pPr>
              <w:pStyle w:val="34"/>
              <w:spacing w:line="360" w:lineRule="auto"/>
              <w:ind w:firstLine="0"/>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现有工程</w:t>
            </w:r>
          </w:p>
          <w:p w14:paraId="5228D907">
            <w:pPr>
              <w:pStyle w:val="34"/>
              <w:spacing w:line="360" w:lineRule="auto"/>
              <w:ind w:firstLine="0"/>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1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sz w:val="21"/>
                <w:szCs w:val="21"/>
              </w:rPr>
              <w:t>①</w:t>
            </w:r>
            <w:r>
              <w:rPr>
                <w:rFonts w:ascii="黑体" w:hAnsi="黑体" w:eastAsia="黑体"/>
                <w:snapToGrid w:val="0"/>
                <w:color w:val="000000"/>
                <w:spacing w:val="-6"/>
                <w:kern w:val="21"/>
                <w:sz w:val="21"/>
                <w:szCs w:val="21"/>
              </w:rPr>
              <w:fldChar w:fldCharType="end"/>
            </w:r>
          </w:p>
        </w:tc>
        <w:tc>
          <w:tcPr>
            <w:tcW w:w="1280" w:type="dxa"/>
            <w:noWrap w:val="0"/>
            <w:tcMar>
              <w:left w:w="28" w:type="dxa"/>
              <w:right w:w="28" w:type="dxa"/>
            </w:tcMar>
            <w:vAlign w:val="center"/>
          </w:tcPr>
          <w:p w14:paraId="3C89F88A">
            <w:pPr>
              <w:pStyle w:val="34"/>
              <w:spacing w:line="360" w:lineRule="auto"/>
              <w:ind w:firstLine="0"/>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现有工程</w:t>
            </w:r>
          </w:p>
          <w:p w14:paraId="46CE0A62">
            <w:pPr>
              <w:pStyle w:val="34"/>
              <w:spacing w:line="360" w:lineRule="auto"/>
              <w:ind w:firstLine="0"/>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许可排放量</w:t>
            </w:r>
          </w:p>
          <w:p w14:paraId="3E2FFEC4">
            <w:pPr>
              <w:pStyle w:val="34"/>
              <w:spacing w:line="360" w:lineRule="auto"/>
              <w:ind w:firstLine="0"/>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2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snapToGrid w:val="0"/>
                <w:color w:val="000000"/>
                <w:spacing w:val="-6"/>
                <w:kern w:val="21"/>
                <w:sz w:val="21"/>
                <w:szCs w:val="21"/>
              </w:rPr>
              <w:t>②</w:t>
            </w:r>
            <w:r>
              <w:rPr>
                <w:rFonts w:ascii="黑体" w:hAnsi="黑体" w:eastAsia="黑体"/>
                <w:snapToGrid w:val="0"/>
                <w:color w:val="000000"/>
                <w:spacing w:val="-6"/>
                <w:kern w:val="21"/>
                <w:sz w:val="21"/>
                <w:szCs w:val="21"/>
              </w:rPr>
              <w:fldChar w:fldCharType="end"/>
            </w:r>
          </w:p>
        </w:tc>
        <w:tc>
          <w:tcPr>
            <w:tcW w:w="1707" w:type="dxa"/>
            <w:noWrap w:val="0"/>
            <w:tcMar>
              <w:left w:w="28" w:type="dxa"/>
              <w:right w:w="28" w:type="dxa"/>
            </w:tcMar>
            <w:vAlign w:val="center"/>
          </w:tcPr>
          <w:p w14:paraId="21D9AC72">
            <w:pPr>
              <w:pStyle w:val="34"/>
              <w:spacing w:line="360" w:lineRule="auto"/>
              <w:ind w:firstLine="0"/>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在建工程</w:t>
            </w:r>
          </w:p>
          <w:p w14:paraId="3E0099BF">
            <w:pPr>
              <w:pStyle w:val="34"/>
              <w:spacing w:line="360" w:lineRule="auto"/>
              <w:ind w:firstLine="0"/>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3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sz w:val="21"/>
                <w:szCs w:val="21"/>
              </w:rPr>
              <w:t>③</w:t>
            </w:r>
            <w:r>
              <w:rPr>
                <w:rFonts w:ascii="黑体" w:hAnsi="黑体" w:eastAsia="黑体"/>
                <w:snapToGrid w:val="0"/>
                <w:color w:val="000000"/>
                <w:spacing w:val="-6"/>
                <w:kern w:val="21"/>
                <w:sz w:val="21"/>
                <w:szCs w:val="21"/>
              </w:rPr>
              <w:fldChar w:fldCharType="end"/>
            </w:r>
          </w:p>
        </w:tc>
        <w:tc>
          <w:tcPr>
            <w:tcW w:w="1563" w:type="dxa"/>
            <w:noWrap w:val="0"/>
            <w:tcMar>
              <w:left w:w="28" w:type="dxa"/>
              <w:right w:w="28" w:type="dxa"/>
            </w:tcMar>
            <w:vAlign w:val="center"/>
          </w:tcPr>
          <w:p w14:paraId="75696CDC">
            <w:pPr>
              <w:pStyle w:val="34"/>
              <w:spacing w:line="360" w:lineRule="auto"/>
              <w:ind w:firstLine="0"/>
              <w:rPr>
                <w:rFonts w:hint="eastAsia"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本项目</w:t>
            </w:r>
          </w:p>
          <w:p w14:paraId="76220B0D">
            <w:pPr>
              <w:pStyle w:val="34"/>
              <w:spacing w:line="360" w:lineRule="auto"/>
              <w:ind w:firstLine="0"/>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排放量（固</w:t>
            </w:r>
            <w:r>
              <w:rPr>
                <w:rFonts w:hint="eastAsia" w:ascii="黑体" w:hAnsi="黑体" w:eastAsia="黑体"/>
                <w:snapToGrid w:val="0"/>
                <w:color w:val="000000"/>
                <w:spacing w:val="-6"/>
                <w:kern w:val="21"/>
                <w:sz w:val="21"/>
                <w:szCs w:val="21"/>
              </w:rPr>
              <w:t>体</w:t>
            </w:r>
            <w:r>
              <w:rPr>
                <w:rFonts w:ascii="黑体" w:hAnsi="黑体" w:eastAsia="黑体"/>
                <w:snapToGrid w:val="0"/>
                <w:color w:val="000000"/>
                <w:spacing w:val="-6"/>
                <w:kern w:val="21"/>
                <w:sz w:val="21"/>
                <w:szCs w:val="21"/>
              </w:rPr>
              <w:t>废</w:t>
            </w:r>
            <w:r>
              <w:rPr>
                <w:rFonts w:hint="eastAsia" w:ascii="黑体" w:hAnsi="黑体" w:eastAsia="黑体"/>
                <w:snapToGrid w:val="0"/>
                <w:color w:val="000000"/>
                <w:spacing w:val="-6"/>
                <w:kern w:val="21"/>
                <w:sz w:val="21"/>
                <w:szCs w:val="21"/>
              </w:rPr>
              <w:t>物</w:t>
            </w:r>
            <w:r>
              <w:rPr>
                <w:rFonts w:ascii="黑体" w:hAnsi="黑体" w:eastAsia="黑体"/>
                <w:snapToGrid w:val="0"/>
                <w:color w:val="000000"/>
                <w:spacing w:val="-6"/>
                <w:kern w:val="21"/>
                <w:sz w:val="21"/>
                <w:szCs w:val="21"/>
              </w:rPr>
              <w:t>产生量）</w:t>
            </w: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4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sz w:val="21"/>
                <w:szCs w:val="21"/>
              </w:rPr>
              <w:t>④</w:t>
            </w:r>
            <w:r>
              <w:rPr>
                <w:rFonts w:ascii="黑体" w:hAnsi="黑体" w:eastAsia="黑体"/>
                <w:snapToGrid w:val="0"/>
                <w:color w:val="000000"/>
                <w:spacing w:val="-6"/>
                <w:kern w:val="21"/>
                <w:sz w:val="21"/>
                <w:szCs w:val="21"/>
              </w:rPr>
              <w:fldChar w:fldCharType="end"/>
            </w:r>
          </w:p>
        </w:tc>
        <w:tc>
          <w:tcPr>
            <w:tcW w:w="1561" w:type="dxa"/>
            <w:noWrap w:val="0"/>
            <w:tcMar>
              <w:left w:w="28" w:type="dxa"/>
              <w:right w:w="28" w:type="dxa"/>
            </w:tcMar>
            <w:vAlign w:val="center"/>
          </w:tcPr>
          <w:p w14:paraId="5DA4C571">
            <w:pPr>
              <w:pStyle w:val="34"/>
              <w:spacing w:line="360" w:lineRule="auto"/>
              <w:ind w:firstLine="0"/>
              <w:rPr>
                <w:rFonts w:hint="eastAsia"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t>以新带老削减量</w:t>
            </w:r>
          </w:p>
          <w:p w14:paraId="1039E112">
            <w:pPr>
              <w:pStyle w:val="34"/>
              <w:spacing w:line="360" w:lineRule="auto"/>
              <w:ind w:firstLine="0"/>
              <w:rPr>
                <w:rFonts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t>（新建项目不填）</w:t>
            </w:r>
          </w:p>
          <w:p w14:paraId="17FED54F">
            <w:pPr>
              <w:pStyle w:val="34"/>
              <w:spacing w:line="360" w:lineRule="auto"/>
              <w:ind w:firstLine="0"/>
              <w:rPr>
                <w:rFonts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fldChar w:fldCharType="begin"/>
            </w:r>
            <w:r>
              <w:rPr>
                <w:rFonts w:ascii="黑体" w:hAnsi="黑体" w:eastAsia="黑体"/>
                <w:snapToGrid w:val="0"/>
                <w:color w:val="000000"/>
                <w:spacing w:val="-16"/>
                <w:kern w:val="21"/>
                <w:sz w:val="21"/>
                <w:szCs w:val="21"/>
              </w:rPr>
              <w:instrText xml:space="preserve"> = 5 \* GB3 \* MERGEFORMAT </w:instrText>
            </w:r>
            <w:r>
              <w:rPr>
                <w:rFonts w:ascii="黑体" w:hAnsi="黑体" w:eastAsia="黑体"/>
                <w:snapToGrid w:val="0"/>
                <w:color w:val="000000"/>
                <w:spacing w:val="-16"/>
                <w:kern w:val="21"/>
                <w:sz w:val="21"/>
                <w:szCs w:val="21"/>
              </w:rPr>
              <w:fldChar w:fldCharType="separate"/>
            </w:r>
            <w:r>
              <w:rPr>
                <w:rFonts w:hint="eastAsia" w:ascii="黑体" w:hAnsi="黑体" w:eastAsia="黑体" w:cs="宋体"/>
                <w:sz w:val="21"/>
                <w:szCs w:val="21"/>
              </w:rPr>
              <w:t>⑤</w:t>
            </w:r>
            <w:r>
              <w:rPr>
                <w:rFonts w:ascii="黑体" w:hAnsi="黑体" w:eastAsia="黑体"/>
                <w:snapToGrid w:val="0"/>
                <w:color w:val="000000"/>
                <w:spacing w:val="-16"/>
                <w:kern w:val="21"/>
                <w:sz w:val="21"/>
                <w:szCs w:val="21"/>
              </w:rPr>
              <w:fldChar w:fldCharType="end"/>
            </w:r>
          </w:p>
        </w:tc>
        <w:tc>
          <w:tcPr>
            <w:tcW w:w="1870" w:type="dxa"/>
            <w:noWrap w:val="0"/>
            <w:tcMar>
              <w:left w:w="28" w:type="dxa"/>
              <w:right w:w="28" w:type="dxa"/>
            </w:tcMar>
            <w:vAlign w:val="center"/>
          </w:tcPr>
          <w:p w14:paraId="524392CB">
            <w:pPr>
              <w:pStyle w:val="34"/>
              <w:spacing w:line="360" w:lineRule="auto"/>
              <w:ind w:firstLine="0"/>
              <w:rPr>
                <w:rFonts w:hint="eastAsia" w:ascii="黑体" w:hAnsi="黑体" w:eastAsia="黑体"/>
                <w:snapToGrid w:val="0"/>
                <w:color w:val="000000"/>
                <w:spacing w:val="-16"/>
                <w:kern w:val="21"/>
                <w:sz w:val="21"/>
                <w:szCs w:val="21"/>
              </w:rPr>
            </w:pPr>
            <w:r>
              <w:rPr>
                <w:rFonts w:ascii="黑体" w:hAnsi="黑体" w:eastAsia="黑体"/>
                <w:snapToGrid w:val="0"/>
                <w:color w:val="000000"/>
                <w:spacing w:val="-16"/>
                <w:kern w:val="21"/>
                <w:sz w:val="21"/>
                <w:szCs w:val="21"/>
              </w:rPr>
              <w:t>本项目建成后</w:t>
            </w:r>
          </w:p>
          <w:p w14:paraId="72AC0552">
            <w:pPr>
              <w:pStyle w:val="34"/>
              <w:spacing w:line="360" w:lineRule="auto"/>
              <w:ind w:firstLine="0"/>
              <w:rPr>
                <w:rFonts w:ascii="黑体" w:hAnsi="黑体" w:eastAsia="黑体"/>
                <w:snapToGrid w:val="0"/>
                <w:color w:val="000000"/>
                <w:spacing w:val="-16"/>
                <w:kern w:val="21"/>
                <w:sz w:val="21"/>
                <w:szCs w:val="21"/>
              </w:rPr>
            </w:pPr>
            <w:r>
              <w:rPr>
                <w:rFonts w:hint="eastAsia" w:ascii="黑体" w:hAnsi="黑体" w:eastAsia="黑体"/>
                <w:snapToGrid w:val="0"/>
                <w:color w:val="000000"/>
                <w:spacing w:val="-16"/>
                <w:kern w:val="21"/>
                <w:sz w:val="21"/>
                <w:szCs w:val="21"/>
              </w:rPr>
              <w:t>全厂</w:t>
            </w:r>
            <w:r>
              <w:rPr>
                <w:rFonts w:ascii="黑体" w:hAnsi="黑体" w:eastAsia="黑体"/>
                <w:snapToGrid w:val="0"/>
                <w:color w:val="000000"/>
                <w:spacing w:val="-16"/>
                <w:kern w:val="21"/>
                <w:sz w:val="21"/>
                <w:szCs w:val="21"/>
              </w:rPr>
              <w:t>排放量（固</w:t>
            </w:r>
            <w:r>
              <w:rPr>
                <w:rFonts w:hint="eastAsia" w:ascii="黑体" w:hAnsi="黑体" w:eastAsia="黑体"/>
                <w:snapToGrid w:val="0"/>
                <w:color w:val="000000"/>
                <w:spacing w:val="-16"/>
                <w:kern w:val="21"/>
                <w:sz w:val="21"/>
                <w:szCs w:val="21"/>
              </w:rPr>
              <w:t>体</w:t>
            </w:r>
            <w:r>
              <w:rPr>
                <w:rFonts w:ascii="黑体" w:hAnsi="黑体" w:eastAsia="黑体"/>
                <w:snapToGrid w:val="0"/>
                <w:color w:val="000000"/>
                <w:spacing w:val="-16"/>
                <w:kern w:val="21"/>
                <w:sz w:val="21"/>
                <w:szCs w:val="21"/>
              </w:rPr>
              <w:t>废</w:t>
            </w:r>
            <w:r>
              <w:rPr>
                <w:rFonts w:hint="eastAsia" w:ascii="黑体" w:hAnsi="黑体" w:eastAsia="黑体"/>
                <w:snapToGrid w:val="0"/>
                <w:color w:val="000000"/>
                <w:spacing w:val="-16"/>
                <w:kern w:val="21"/>
                <w:sz w:val="21"/>
                <w:szCs w:val="21"/>
              </w:rPr>
              <w:t>物</w:t>
            </w:r>
            <w:r>
              <w:rPr>
                <w:rFonts w:ascii="黑体" w:hAnsi="黑体" w:eastAsia="黑体"/>
                <w:snapToGrid w:val="0"/>
                <w:color w:val="000000"/>
                <w:spacing w:val="-16"/>
                <w:kern w:val="21"/>
                <w:sz w:val="21"/>
                <w:szCs w:val="21"/>
              </w:rPr>
              <w:t>产生量）</w:t>
            </w:r>
            <w:r>
              <w:rPr>
                <w:rFonts w:ascii="黑体" w:hAnsi="黑体" w:eastAsia="黑体"/>
                <w:snapToGrid w:val="0"/>
                <w:color w:val="000000"/>
                <w:spacing w:val="-16"/>
                <w:kern w:val="21"/>
                <w:sz w:val="21"/>
                <w:szCs w:val="21"/>
              </w:rPr>
              <w:fldChar w:fldCharType="begin"/>
            </w:r>
            <w:r>
              <w:rPr>
                <w:rFonts w:ascii="黑体" w:hAnsi="黑体" w:eastAsia="黑体"/>
                <w:snapToGrid w:val="0"/>
                <w:color w:val="000000"/>
                <w:spacing w:val="-16"/>
                <w:kern w:val="21"/>
                <w:sz w:val="21"/>
                <w:szCs w:val="21"/>
              </w:rPr>
              <w:instrText xml:space="preserve"> = 6 \* GB3 \* MERGEFORMAT </w:instrText>
            </w:r>
            <w:r>
              <w:rPr>
                <w:rFonts w:ascii="黑体" w:hAnsi="黑体" w:eastAsia="黑体"/>
                <w:snapToGrid w:val="0"/>
                <w:color w:val="000000"/>
                <w:spacing w:val="-16"/>
                <w:kern w:val="21"/>
                <w:sz w:val="21"/>
                <w:szCs w:val="21"/>
              </w:rPr>
              <w:fldChar w:fldCharType="separate"/>
            </w:r>
            <w:r>
              <w:rPr>
                <w:rFonts w:hint="eastAsia" w:ascii="黑体" w:hAnsi="黑体" w:eastAsia="黑体" w:cs="宋体"/>
                <w:sz w:val="21"/>
                <w:szCs w:val="21"/>
              </w:rPr>
              <w:t>⑥</w:t>
            </w:r>
            <w:r>
              <w:rPr>
                <w:rFonts w:ascii="黑体" w:hAnsi="黑体" w:eastAsia="黑体"/>
                <w:snapToGrid w:val="0"/>
                <w:color w:val="000000"/>
                <w:spacing w:val="-16"/>
                <w:kern w:val="21"/>
                <w:sz w:val="21"/>
                <w:szCs w:val="21"/>
              </w:rPr>
              <w:fldChar w:fldCharType="end"/>
            </w:r>
          </w:p>
        </w:tc>
        <w:tc>
          <w:tcPr>
            <w:tcW w:w="1275" w:type="dxa"/>
            <w:noWrap w:val="0"/>
            <w:tcMar>
              <w:left w:w="28" w:type="dxa"/>
              <w:right w:w="28" w:type="dxa"/>
            </w:tcMar>
            <w:vAlign w:val="center"/>
          </w:tcPr>
          <w:p w14:paraId="54FB398D">
            <w:pPr>
              <w:pStyle w:val="34"/>
              <w:spacing w:line="360" w:lineRule="auto"/>
              <w:ind w:firstLine="0"/>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t>变化量</w:t>
            </w:r>
          </w:p>
          <w:p w14:paraId="5DFDB4A7">
            <w:pPr>
              <w:pStyle w:val="34"/>
              <w:spacing w:line="360" w:lineRule="auto"/>
              <w:ind w:firstLine="0"/>
              <w:rPr>
                <w:rFonts w:ascii="黑体" w:hAnsi="黑体" w:eastAsia="黑体"/>
                <w:snapToGrid w:val="0"/>
                <w:color w:val="000000"/>
                <w:spacing w:val="-6"/>
                <w:kern w:val="21"/>
                <w:sz w:val="21"/>
                <w:szCs w:val="21"/>
              </w:rPr>
            </w:pPr>
            <w:r>
              <w:rPr>
                <w:rFonts w:ascii="黑体" w:hAnsi="黑体" w:eastAsia="黑体"/>
                <w:snapToGrid w:val="0"/>
                <w:color w:val="000000"/>
                <w:spacing w:val="-6"/>
                <w:kern w:val="21"/>
                <w:sz w:val="21"/>
                <w:szCs w:val="21"/>
              </w:rPr>
              <w:fldChar w:fldCharType="begin"/>
            </w:r>
            <w:r>
              <w:rPr>
                <w:rFonts w:ascii="黑体" w:hAnsi="黑体" w:eastAsia="黑体"/>
                <w:snapToGrid w:val="0"/>
                <w:color w:val="000000"/>
                <w:spacing w:val="-6"/>
                <w:kern w:val="21"/>
                <w:sz w:val="21"/>
                <w:szCs w:val="21"/>
              </w:rPr>
              <w:instrText xml:space="preserve"> = 7 \* GB3 \* MERGEFORMAT </w:instrText>
            </w:r>
            <w:r>
              <w:rPr>
                <w:rFonts w:ascii="黑体" w:hAnsi="黑体" w:eastAsia="黑体"/>
                <w:snapToGrid w:val="0"/>
                <w:color w:val="000000"/>
                <w:spacing w:val="-6"/>
                <w:kern w:val="21"/>
                <w:sz w:val="21"/>
                <w:szCs w:val="21"/>
              </w:rPr>
              <w:fldChar w:fldCharType="separate"/>
            </w:r>
            <w:r>
              <w:rPr>
                <w:rFonts w:hint="eastAsia" w:ascii="黑体" w:hAnsi="黑体" w:eastAsia="黑体" w:cs="宋体"/>
                <w:sz w:val="21"/>
                <w:szCs w:val="21"/>
              </w:rPr>
              <w:t>⑦</w:t>
            </w:r>
            <w:r>
              <w:rPr>
                <w:rFonts w:ascii="黑体" w:hAnsi="黑体" w:eastAsia="黑体"/>
                <w:snapToGrid w:val="0"/>
                <w:color w:val="000000"/>
                <w:spacing w:val="-6"/>
                <w:kern w:val="21"/>
                <w:sz w:val="21"/>
                <w:szCs w:val="21"/>
              </w:rPr>
              <w:fldChar w:fldCharType="end"/>
            </w:r>
          </w:p>
        </w:tc>
      </w:tr>
      <w:tr w14:paraId="10FC5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8" w:hRule="atLeast"/>
        </w:trPr>
        <w:tc>
          <w:tcPr>
            <w:tcW w:w="1437" w:type="dxa"/>
            <w:vMerge w:val="restart"/>
            <w:noWrap w:val="0"/>
            <w:vAlign w:val="center"/>
          </w:tcPr>
          <w:p w14:paraId="064B93CA">
            <w:pPr>
              <w:pStyle w:val="34"/>
              <w:spacing w:line="360" w:lineRule="auto"/>
              <w:ind w:firstLine="0"/>
              <w:rPr>
                <w:rFonts w:hint="eastAsia" w:ascii="宋体" w:hAnsi="宋体" w:eastAsia="宋体" w:cs="宋体"/>
                <w:b/>
                <w:bCs/>
                <w:snapToGrid w:val="0"/>
                <w:color w:val="000000"/>
                <w:kern w:val="21"/>
                <w:sz w:val="24"/>
                <w:szCs w:val="24"/>
                <w:u w:val="single"/>
              </w:rPr>
            </w:pPr>
            <w:r>
              <w:rPr>
                <w:rFonts w:hint="eastAsia" w:ascii="宋体" w:hAnsi="宋体" w:eastAsia="宋体" w:cs="宋体"/>
                <w:b/>
                <w:bCs/>
                <w:snapToGrid w:val="0"/>
                <w:color w:val="000000"/>
                <w:kern w:val="21"/>
                <w:sz w:val="24"/>
                <w:szCs w:val="24"/>
                <w:u w:val="single"/>
              </w:rPr>
              <w:t>废气</w:t>
            </w:r>
          </w:p>
        </w:tc>
        <w:tc>
          <w:tcPr>
            <w:tcW w:w="1578" w:type="dxa"/>
            <w:noWrap w:val="0"/>
            <w:vAlign w:val="center"/>
          </w:tcPr>
          <w:p w14:paraId="4941B8FA">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颗粒物</w:t>
            </w:r>
          </w:p>
        </w:tc>
        <w:tc>
          <w:tcPr>
            <w:tcW w:w="1706" w:type="dxa"/>
            <w:noWrap w:val="0"/>
            <w:vAlign w:val="center"/>
          </w:tcPr>
          <w:p w14:paraId="6996916C">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0</w:t>
            </w:r>
          </w:p>
        </w:tc>
        <w:tc>
          <w:tcPr>
            <w:tcW w:w="1280" w:type="dxa"/>
            <w:noWrap w:val="0"/>
            <w:vAlign w:val="center"/>
          </w:tcPr>
          <w:p w14:paraId="2CE73AEF">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0</w:t>
            </w:r>
          </w:p>
        </w:tc>
        <w:tc>
          <w:tcPr>
            <w:tcW w:w="1707" w:type="dxa"/>
            <w:noWrap w:val="0"/>
            <w:vAlign w:val="center"/>
          </w:tcPr>
          <w:p w14:paraId="3FD8C4BD">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w:t>
            </w:r>
          </w:p>
        </w:tc>
        <w:tc>
          <w:tcPr>
            <w:tcW w:w="1563" w:type="dxa"/>
            <w:noWrap w:val="0"/>
            <w:vAlign w:val="center"/>
          </w:tcPr>
          <w:p w14:paraId="252ABAED">
            <w:pPr>
              <w:pStyle w:val="34"/>
              <w:spacing w:line="360" w:lineRule="auto"/>
              <w:ind w:firstLine="0"/>
              <w:rPr>
                <w:rFonts w:hint="default" w:ascii="宋体" w:hAnsi="宋体" w:eastAsia="宋体" w:cs="宋体"/>
                <w:b/>
                <w:bCs/>
                <w:snapToGrid w:val="0"/>
                <w:color w:val="000000"/>
                <w:kern w:val="21"/>
                <w:sz w:val="24"/>
                <w:szCs w:val="24"/>
                <w:highlight w:val="none"/>
                <w:u w:val="single"/>
                <w:lang w:val="en-US" w:eastAsia="zh-CN"/>
              </w:rPr>
            </w:pPr>
            <w:r>
              <w:rPr>
                <w:rFonts w:hint="eastAsia" w:ascii="宋体" w:hAnsi="宋体" w:eastAsia="宋体" w:cs="宋体"/>
                <w:b/>
                <w:bCs/>
                <w:snapToGrid w:val="0"/>
                <w:color w:val="000000"/>
                <w:kern w:val="21"/>
                <w:sz w:val="24"/>
                <w:szCs w:val="24"/>
                <w:highlight w:val="none"/>
                <w:u w:val="single"/>
                <w:lang w:val="en-US" w:eastAsia="zh-CN"/>
              </w:rPr>
              <w:t>2.</w:t>
            </w:r>
            <w:r>
              <w:rPr>
                <w:rFonts w:hint="eastAsia" w:ascii="宋体" w:hAnsi="宋体" w:cs="宋体"/>
                <w:b/>
                <w:bCs/>
                <w:snapToGrid w:val="0"/>
                <w:color w:val="000000"/>
                <w:kern w:val="21"/>
                <w:sz w:val="24"/>
                <w:szCs w:val="24"/>
                <w:highlight w:val="none"/>
                <w:u w:val="single"/>
                <w:lang w:val="en-US" w:eastAsia="zh-CN"/>
              </w:rPr>
              <w:t>778</w:t>
            </w:r>
          </w:p>
        </w:tc>
        <w:tc>
          <w:tcPr>
            <w:tcW w:w="1561" w:type="dxa"/>
            <w:noWrap w:val="0"/>
            <w:vAlign w:val="center"/>
          </w:tcPr>
          <w:p w14:paraId="693077CF">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w:t>
            </w:r>
          </w:p>
        </w:tc>
        <w:tc>
          <w:tcPr>
            <w:tcW w:w="1870" w:type="dxa"/>
            <w:noWrap w:val="0"/>
            <w:vAlign w:val="center"/>
          </w:tcPr>
          <w:p w14:paraId="7F2C901E">
            <w:pPr>
              <w:pStyle w:val="34"/>
              <w:spacing w:line="360" w:lineRule="auto"/>
              <w:ind w:firstLine="0"/>
              <w:rPr>
                <w:rFonts w:hint="default" w:ascii="宋体" w:hAnsi="宋体" w:eastAsia="宋体" w:cs="宋体"/>
                <w:b/>
                <w:bCs/>
                <w:snapToGrid w:val="0"/>
                <w:color w:val="000000"/>
                <w:kern w:val="21"/>
                <w:sz w:val="24"/>
                <w:szCs w:val="24"/>
                <w:highlight w:val="none"/>
                <w:u w:val="single"/>
                <w:lang w:val="en-US" w:eastAsia="zh-CN"/>
              </w:rPr>
            </w:pPr>
            <w:r>
              <w:rPr>
                <w:rFonts w:hint="eastAsia" w:ascii="宋体" w:hAnsi="宋体" w:eastAsia="宋体" w:cs="宋体"/>
                <w:b/>
                <w:bCs/>
                <w:snapToGrid w:val="0"/>
                <w:color w:val="000000"/>
                <w:kern w:val="21"/>
                <w:sz w:val="24"/>
                <w:szCs w:val="24"/>
                <w:highlight w:val="none"/>
                <w:u w:val="single"/>
                <w:lang w:val="en-US" w:eastAsia="zh-CN"/>
              </w:rPr>
              <w:t>2.</w:t>
            </w:r>
            <w:r>
              <w:rPr>
                <w:rFonts w:hint="eastAsia" w:ascii="宋体" w:hAnsi="宋体" w:cs="宋体"/>
                <w:b/>
                <w:bCs/>
                <w:snapToGrid w:val="0"/>
                <w:color w:val="000000"/>
                <w:kern w:val="21"/>
                <w:sz w:val="24"/>
                <w:szCs w:val="24"/>
                <w:highlight w:val="none"/>
                <w:u w:val="single"/>
                <w:lang w:val="en-US" w:eastAsia="zh-CN"/>
              </w:rPr>
              <w:t>778</w:t>
            </w:r>
          </w:p>
        </w:tc>
        <w:tc>
          <w:tcPr>
            <w:tcW w:w="1275" w:type="dxa"/>
            <w:noWrap w:val="0"/>
            <w:vAlign w:val="center"/>
          </w:tcPr>
          <w:p w14:paraId="500C172A">
            <w:pPr>
              <w:pStyle w:val="34"/>
              <w:spacing w:line="360" w:lineRule="auto"/>
              <w:ind w:firstLine="0"/>
              <w:rPr>
                <w:rFonts w:hint="default" w:ascii="宋体" w:hAnsi="宋体" w:eastAsia="宋体" w:cs="宋体"/>
                <w:b/>
                <w:bCs/>
                <w:snapToGrid w:val="0"/>
                <w:color w:val="000000"/>
                <w:kern w:val="21"/>
                <w:sz w:val="24"/>
                <w:szCs w:val="24"/>
                <w:highlight w:val="none"/>
                <w:u w:val="single"/>
                <w:lang w:val="en-US" w:eastAsia="zh-CN"/>
              </w:rPr>
            </w:pPr>
            <w:r>
              <w:rPr>
                <w:rFonts w:hint="eastAsia" w:ascii="宋体" w:hAnsi="宋体" w:cs="宋体"/>
                <w:b/>
                <w:bCs/>
                <w:snapToGrid w:val="0"/>
                <w:color w:val="000000"/>
                <w:kern w:val="21"/>
                <w:sz w:val="24"/>
                <w:szCs w:val="24"/>
                <w:highlight w:val="none"/>
                <w:u w:val="single"/>
                <w:lang w:val="en-US" w:eastAsia="zh-CN"/>
              </w:rPr>
              <w:t>2.778</w:t>
            </w:r>
          </w:p>
        </w:tc>
      </w:tr>
      <w:tr w14:paraId="28290B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37" w:type="dxa"/>
            <w:vMerge w:val="continue"/>
            <w:noWrap w:val="0"/>
            <w:vAlign w:val="center"/>
          </w:tcPr>
          <w:p w14:paraId="4FFFDB59">
            <w:pPr>
              <w:pStyle w:val="34"/>
              <w:spacing w:line="360" w:lineRule="auto"/>
              <w:ind w:firstLine="0"/>
              <w:rPr>
                <w:rFonts w:hint="eastAsia" w:ascii="宋体" w:hAnsi="宋体" w:eastAsia="宋体" w:cs="宋体"/>
                <w:b/>
                <w:bCs/>
                <w:snapToGrid w:val="0"/>
                <w:color w:val="000000"/>
                <w:kern w:val="21"/>
                <w:sz w:val="24"/>
                <w:szCs w:val="24"/>
                <w:u w:val="single"/>
              </w:rPr>
            </w:pPr>
          </w:p>
        </w:tc>
        <w:tc>
          <w:tcPr>
            <w:tcW w:w="1578" w:type="dxa"/>
            <w:noWrap w:val="0"/>
            <w:vAlign w:val="center"/>
          </w:tcPr>
          <w:p w14:paraId="14698888">
            <w:pPr>
              <w:pStyle w:val="34"/>
              <w:spacing w:line="360" w:lineRule="auto"/>
              <w:ind w:firstLine="0"/>
              <w:rPr>
                <w:rFonts w:hint="eastAsia" w:ascii="宋体" w:hAnsi="宋体" w:eastAsia="宋体" w:cs="宋体"/>
                <w:b/>
                <w:bCs/>
                <w:snapToGrid w:val="0"/>
                <w:color w:val="000000"/>
                <w:kern w:val="21"/>
                <w:sz w:val="24"/>
                <w:szCs w:val="24"/>
                <w:highlight w:val="none"/>
                <w:u w:val="single"/>
                <w:lang w:val="en-US" w:eastAsia="zh-CN"/>
              </w:rPr>
            </w:pPr>
            <w:r>
              <w:rPr>
                <w:rFonts w:hint="eastAsia" w:ascii="宋体" w:hAnsi="宋体" w:eastAsia="宋体" w:cs="宋体"/>
                <w:b/>
                <w:bCs/>
                <w:snapToGrid w:val="0"/>
                <w:color w:val="000000"/>
                <w:kern w:val="21"/>
                <w:sz w:val="24"/>
                <w:szCs w:val="24"/>
                <w:highlight w:val="none"/>
                <w:u w:val="single"/>
                <w:lang w:val="en-US" w:eastAsia="zh-CN"/>
              </w:rPr>
              <w:t>油烟</w:t>
            </w:r>
          </w:p>
        </w:tc>
        <w:tc>
          <w:tcPr>
            <w:tcW w:w="1706" w:type="dxa"/>
            <w:noWrap w:val="0"/>
            <w:vAlign w:val="center"/>
          </w:tcPr>
          <w:p w14:paraId="7F7F4EAF">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eastAsia="宋体" w:cs="宋体"/>
                <w:b/>
                <w:bCs/>
                <w:snapToGrid w:val="0"/>
                <w:color w:val="000000"/>
                <w:kern w:val="21"/>
                <w:sz w:val="24"/>
                <w:szCs w:val="24"/>
                <w:highlight w:val="none"/>
                <w:u w:val="single"/>
              </w:rPr>
              <w:t>0</w:t>
            </w:r>
          </w:p>
        </w:tc>
        <w:tc>
          <w:tcPr>
            <w:tcW w:w="1280" w:type="dxa"/>
            <w:noWrap w:val="0"/>
            <w:vAlign w:val="center"/>
          </w:tcPr>
          <w:p w14:paraId="54FF65E9">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eastAsia="宋体" w:cs="宋体"/>
                <w:b/>
                <w:bCs/>
                <w:snapToGrid w:val="0"/>
                <w:color w:val="000000"/>
                <w:kern w:val="21"/>
                <w:sz w:val="24"/>
                <w:szCs w:val="24"/>
                <w:highlight w:val="none"/>
                <w:u w:val="single"/>
              </w:rPr>
              <w:t>0</w:t>
            </w:r>
          </w:p>
        </w:tc>
        <w:tc>
          <w:tcPr>
            <w:tcW w:w="1707" w:type="dxa"/>
            <w:noWrap w:val="0"/>
            <w:vAlign w:val="center"/>
          </w:tcPr>
          <w:p w14:paraId="63631193">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eastAsia="宋体" w:cs="宋体"/>
                <w:b/>
                <w:bCs/>
                <w:snapToGrid w:val="0"/>
                <w:color w:val="000000"/>
                <w:kern w:val="21"/>
                <w:sz w:val="24"/>
                <w:szCs w:val="24"/>
                <w:highlight w:val="none"/>
                <w:u w:val="single"/>
              </w:rPr>
              <w:t>-</w:t>
            </w:r>
          </w:p>
        </w:tc>
        <w:tc>
          <w:tcPr>
            <w:tcW w:w="1563" w:type="dxa"/>
            <w:noWrap w:val="0"/>
            <w:vAlign w:val="center"/>
          </w:tcPr>
          <w:p w14:paraId="22B4910E">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color w:val="000000"/>
                <w:sz w:val="24"/>
                <w:szCs w:val="24"/>
                <w:highlight w:val="none"/>
                <w:u w:val="single"/>
                <w:lang w:val="en-US" w:eastAsia="zh-CN"/>
              </w:rPr>
              <w:t>0.0144</w:t>
            </w:r>
          </w:p>
        </w:tc>
        <w:tc>
          <w:tcPr>
            <w:tcW w:w="1561" w:type="dxa"/>
            <w:noWrap w:val="0"/>
            <w:vAlign w:val="center"/>
          </w:tcPr>
          <w:p w14:paraId="359FFC1D">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w:t>
            </w:r>
          </w:p>
        </w:tc>
        <w:tc>
          <w:tcPr>
            <w:tcW w:w="1870" w:type="dxa"/>
            <w:noWrap w:val="0"/>
            <w:vAlign w:val="center"/>
          </w:tcPr>
          <w:p w14:paraId="04ACC021">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color w:val="000000"/>
                <w:sz w:val="24"/>
                <w:szCs w:val="24"/>
                <w:highlight w:val="none"/>
                <w:u w:val="single"/>
                <w:lang w:val="en-US" w:eastAsia="zh-CN"/>
              </w:rPr>
              <w:t>0.0144</w:t>
            </w:r>
          </w:p>
        </w:tc>
        <w:tc>
          <w:tcPr>
            <w:tcW w:w="1275" w:type="dxa"/>
            <w:noWrap w:val="0"/>
            <w:vAlign w:val="center"/>
          </w:tcPr>
          <w:p w14:paraId="50DC2EED">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color w:val="000000"/>
                <w:sz w:val="24"/>
                <w:szCs w:val="24"/>
                <w:highlight w:val="none"/>
                <w:u w:val="single"/>
                <w:lang w:val="en-US" w:eastAsia="zh-CN"/>
              </w:rPr>
              <w:t>0.0144</w:t>
            </w:r>
          </w:p>
        </w:tc>
      </w:tr>
      <w:tr w14:paraId="126C8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7" w:type="dxa"/>
            <w:vMerge w:val="restart"/>
            <w:noWrap w:val="0"/>
            <w:vAlign w:val="center"/>
          </w:tcPr>
          <w:p w14:paraId="6BE25A38">
            <w:pPr>
              <w:pStyle w:val="34"/>
              <w:spacing w:line="360" w:lineRule="auto"/>
              <w:ind w:firstLine="0"/>
              <w:rPr>
                <w:rFonts w:hint="eastAsia" w:ascii="宋体" w:hAnsi="宋体" w:eastAsia="宋体" w:cs="宋体"/>
                <w:b/>
                <w:bCs/>
                <w:snapToGrid w:val="0"/>
                <w:color w:val="000000"/>
                <w:kern w:val="21"/>
                <w:sz w:val="24"/>
                <w:szCs w:val="24"/>
                <w:u w:val="single"/>
              </w:rPr>
            </w:pPr>
            <w:r>
              <w:rPr>
                <w:rFonts w:hint="eastAsia" w:ascii="宋体" w:hAnsi="宋体" w:eastAsia="宋体" w:cs="宋体"/>
                <w:b/>
                <w:bCs/>
                <w:snapToGrid w:val="0"/>
                <w:color w:val="000000"/>
                <w:kern w:val="21"/>
                <w:sz w:val="24"/>
                <w:szCs w:val="24"/>
                <w:u w:val="single"/>
              </w:rPr>
              <w:t>废水</w:t>
            </w:r>
          </w:p>
        </w:tc>
        <w:tc>
          <w:tcPr>
            <w:tcW w:w="1578" w:type="dxa"/>
            <w:noWrap w:val="0"/>
            <w:vAlign w:val="center"/>
          </w:tcPr>
          <w:p w14:paraId="4EAED34B">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生活污水</w:t>
            </w:r>
          </w:p>
        </w:tc>
        <w:tc>
          <w:tcPr>
            <w:tcW w:w="1706" w:type="dxa"/>
            <w:noWrap w:val="0"/>
            <w:vAlign w:val="center"/>
          </w:tcPr>
          <w:p w14:paraId="49BB9BFA">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0</w:t>
            </w:r>
          </w:p>
        </w:tc>
        <w:tc>
          <w:tcPr>
            <w:tcW w:w="1280" w:type="dxa"/>
            <w:noWrap w:val="0"/>
            <w:vAlign w:val="center"/>
          </w:tcPr>
          <w:p w14:paraId="5ADFD1DE">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0</w:t>
            </w:r>
          </w:p>
        </w:tc>
        <w:tc>
          <w:tcPr>
            <w:tcW w:w="1707" w:type="dxa"/>
            <w:noWrap w:val="0"/>
            <w:vAlign w:val="center"/>
          </w:tcPr>
          <w:p w14:paraId="63B70569">
            <w:pPr>
              <w:spacing w:line="360" w:lineRule="auto"/>
              <w:jc w:val="center"/>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w:t>
            </w:r>
          </w:p>
        </w:tc>
        <w:tc>
          <w:tcPr>
            <w:tcW w:w="1563" w:type="dxa"/>
            <w:noWrap w:val="0"/>
            <w:vAlign w:val="center"/>
          </w:tcPr>
          <w:p w14:paraId="65CA08AD">
            <w:pPr>
              <w:pStyle w:val="34"/>
              <w:spacing w:line="360" w:lineRule="auto"/>
              <w:ind w:firstLine="0"/>
              <w:rPr>
                <w:rFonts w:hint="default" w:ascii="宋体" w:hAnsi="宋体" w:eastAsia="宋体" w:cs="宋体"/>
                <w:b/>
                <w:bCs/>
                <w:snapToGrid w:val="0"/>
                <w:color w:val="000000"/>
                <w:kern w:val="21"/>
                <w:sz w:val="24"/>
                <w:szCs w:val="24"/>
                <w:highlight w:val="none"/>
                <w:u w:val="single"/>
                <w:lang w:val="en-US" w:eastAsia="zh-CN"/>
              </w:rPr>
            </w:pPr>
            <w:r>
              <w:rPr>
                <w:rFonts w:hint="eastAsia" w:ascii="宋体" w:hAnsi="宋体" w:cs="宋体"/>
                <w:b/>
                <w:bCs/>
                <w:snapToGrid w:val="0"/>
                <w:color w:val="000000"/>
                <w:kern w:val="21"/>
                <w:sz w:val="24"/>
                <w:szCs w:val="24"/>
                <w:highlight w:val="none"/>
                <w:u w:val="single"/>
                <w:lang w:val="en-US" w:eastAsia="zh-CN"/>
              </w:rPr>
              <w:t>1920</w:t>
            </w:r>
          </w:p>
        </w:tc>
        <w:tc>
          <w:tcPr>
            <w:tcW w:w="1561" w:type="dxa"/>
            <w:noWrap w:val="0"/>
            <w:vAlign w:val="center"/>
          </w:tcPr>
          <w:p w14:paraId="2DD2557E">
            <w:pPr>
              <w:spacing w:line="360" w:lineRule="auto"/>
              <w:jc w:val="center"/>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w:t>
            </w:r>
          </w:p>
        </w:tc>
        <w:tc>
          <w:tcPr>
            <w:tcW w:w="1870" w:type="dxa"/>
            <w:noWrap w:val="0"/>
            <w:vAlign w:val="center"/>
          </w:tcPr>
          <w:p w14:paraId="4C6F6F80">
            <w:pPr>
              <w:pStyle w:val="34"/>
              <w:spacing w:line="360" w:lineRule="auto"/>
              <w:ind w:firstLine="0" w:firstLineChars="0"/>
              <w:rPr>
                <w:rFonts w:hint="default" w:ascii="宋体" w:hAnsi="宋体" w:eastAsia="宋体" w:cs="宋体"/>
                <w:b/>
                <w:bCs/>
                <w:snapToGrid w:val="0"/>
                <w:color w:val="000000"/>
                <w:kern w:val="21"/>
                <w:sz w:val="24"/>
                <w:szCs w:val="24"/>
                <w:highlight w:val="none"/>
                <w:u w:val="single"/>
                <w:lang w:val="en-US" w:eastAsia="zh-CN" w:bidi="ar-SA"/>
              </w:rPr>
            </w:pPr>
            <w:r>
              <w:rPr>
                <w:rFonts w:hint="eastAsia" w:ascii="宋体" w:hAnsi="宋体" w:cs="宋体"/>
                <w:b/>
                <w:bCs/>
                <w:snapToGrid w:val="0"/>
                <w:color w:val="000000"/>
                <w:kern w:val="21"/>
                <w:sz w:val="24"/>
                <w:szCs w:val="24"/>
                <w:highlight w:val="none"/>
                <w:u w:val="single"/>
                <w:lang w:val="en-US" w:eastAsia="zh-CN"/>
              </w:rPr>
              <w:t>1920</w:t>
            </w:r>
          </w:p>
        </w:tc>
        <w:tc>
          <w:tcPr>
            <w:tcW w:w="1275" w:type="dxa"/>
            <w:noWrap w:val="0"/>
            <w:vAlign w:val="center"/>
          </w:tcPr>
          <w:p w14:paraId="55C1F1A0">
            <w:pPr>
              <w:pStyle w:val="34"/>
              <w:spacing w:line="360" w:lineRule="auto"/>
              <w:ind w:firstLine="0" w:firstLineChars="0"/>
              <w:rPr>
                <w:rFonts w:hint="default" w:ascii="宋体" w:hAnsi="宋体" w:eastAsia="宋体" w:cs="宋体"/>
                <w:b/>
                <w:bCs/>
                <w:snapToGrid w:val="0"/>
                <w:color w:val="000000"/>
                <w:kern w:val="21"/>
                <w:sz w:val="24"/>
                <w:szCs w:val="24"/>
                <w:highlight w:val="none"/>
                <w:u w:val="single"/>
                <w:lang w:val="en-US" w:eastAsia="zh-CN" w:bidi="ar-SA"/>
              </w:rPr>
            </w:pPr>
            <w:r>
              <w:rPr>
                <w:rFonts w:hint="eastAsia" w:ascii="宋体" w:hAnsi="宋体" w:cs="宋体"/>
                <w:b/>
                <w:bCs/>
                <w:snapToGrid w:val="0"/>
                <w:color w:val="000000"/>
                <w:kern w:val="21"/>
                <w:sz w:val="24"/>
                <w:szCs w:val="24"/>
                <w:highlight w:val="none"/>
                <w:u w:val="single"/>
                <w:lang w:val="en-US" w:eastAsia="zh-CN"/>
              </w:rPr>
              <w:t>1920</w:t>
            </w:r>
          </w:p>
        </w:tc>
      </w:tr>
      <w:tr w14:paraId="453F5E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7" w:type="dxa"/>
            <w:vMerge w:val="continue"/>
            <w:noWrap w:val="0"/>
            <w:vAlign w:val="center"/>
          </w:tcPr>
          <w:p w14:paraId="456DA268">
            <w:pPr>
              <w:pStyle w:val="34"/>
              <w:spacing w:line="360" w:lineRule="auto"/>
              <w:ind w:firstLine="0"/>
              <w:rPr>
                <w:rFonts w:hint="eastAsia" w:ascii="宋体" w:hAnsi="宋体" w:eastAsia="宋体" w:cs="宋体"/>
                <w:b/>
                <w:bCs/>
                <w:snapToGrid w:val="0"/>
                <w:color w:val="000000"/>
                <w:kern w:val="21"/>
                <w:sz w:val="24"/>
                <w:szCs w:val="24"/>
                <w:u w:val="single"/>
              </w:rPr>
            </w:pPr>
          </w:p>
        </w:tc>
        <w:tc>
          <w:tcPr>
            <w:tcW w:w="1578" w:type="dxa"/>
            <w:noWrap w:val="0"/>
            <w:vAlign w:val="center"/>
          </w:tcPr>
          <w:p w14:paraId="314D35AD">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Times New Roman" w:hAnsi="Times New Roman" w:eastAsia="宋体" w:cs="Times New Roman"/>
                <w:b/>
                <w:bCs/>
                <w:color w:val="000000"/>
                <w:kern w:val="2"/>
                <w:sz w:val="21"/>
                <w:szCs w:val="21"/>
                <w:u w:val="single"/>
                <w:lang w:val="pt-BR" w:eastAsia="zh-CN" w:bidi="ar-SA"/>
              </w:rPr>
              <w:t>COD</w:t>
            </w:r>
          </w:p>
        </w:tc>
        <w:tc>
          <w:tcPr>
            <w:tcW w:w="1706" w:type="dxa"/>
            <w:noWrap w:val="0"/>
            <w:vAlign w:val="center"/>
          </w:tcPr>
          <w:p w14:paraId="47089198">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eastAsia="宋体" w:cs="宋体"/>
                <w:b/>
                <w:bCs/>
                <w:snapToGrid w:val="0"/>
                <w:color w:val="000000"/>
                <w:kern w:val="21"/>
                <w:sz w:val="24"/>
                <w:szCs w:val="24"/>
                <w:highlight w:val="none"/>
                <w:u w:val="single"/>
              </w:rPr>
              <w:t>0</w:t>
            </w:r>
          </w:p>
        </w:tc>
        <w:tc>
          <w:tcPr>
            <w:tcW w:w="1280" w:type="dxa"/>
            <w:noWrap w:val="0"/>
            <w:vAlign w:val="center"/>
          </w:tcPr>
          <w:p w14:paraId="7BFD3611">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eastAsia="宋体" w:cs="宋体"/>
                <w:b/>
                <w:bCs/>
                <w:snapToGrid w:val="0"/>
                <w:color w:val="000000"/>
                <w:kern w:val="21"/>
                <w:sz w:val="24"/>
                <w:szCs w:val="24"/>
                <w:highlight w:val="none"/>
                <w:u w:val="single"/>
              </w:rPr>
              <w:t>0</w:t>
            </w:r>
          </w:p>
        </w:tc>
        <w:tc>
          <w:tcPr>
            <w:tcW w:w="1707" w:type="dxa"/>
            <w:noWrap w:val="0"/>
            <w:vAlign w:val="center"/>
          </w:tcPr>
          <w:p w14:paraId="63318F4B">
            <w:pPr>
              <w:spacing w:line="360" w:lineRule="auto"/>
              <w:jc w:val="center"/>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eastAsia="宋体" w:cs="宋体"/>
                <w:b/>
                <w:bCs/>
                <w:snapToGrid w:val="0"/>
                <w:color w:val="000000"/>
                <w:kern w:val="21"/>
                <w:sz w:val="24"/>
                <w:szCs w:val="24"/>
                <w:highlight w:val="none"/>
                <w:u w:val="single"/>
              </w:rPr>
              <w:t>-</w:t>
            </w:r>
          </w:p>
        </w:tc>
        <w:tc>
          <w:tcPr>
            <w:tcW w:w="1563" w:type="dxa"/>
            <w:noWrap w:val="0"/>
            <w:vAlign w:val="center"/>
          </w:tcPr>
          <w:p w14:paraId="2549285B">
            <w:pPr>
              <w:pStyle w:val="34"/>
              <w:spacing w:line="360" w:lineRule="auto"/>
              <w:ind w:firstLine="0"/>
              <w:rPr>
                <w:rFonts w:hint="default" w:ascii="宋体" w:hAnsi="宋体" w:eastAsia="宋体" w:cs="宋体"/>
                <w:b/>
                <w:bCs/>
                <w:snapToGrid w:val="0"/>
                <w:color w:val="000000"/>
                <w:kern w:val="21"/>
                <w:sz w:val="24"/>
                <w:szCs w:val="24"/>
                <w:highlight w:val="none"/>
                <w:u w:val="single"/>
                <w:lang w:val="en-US" w:eastAsia="zh-CN"/>
              </w:rPr>
            </w:pPr>
            <w:r>
              <w:rPr>
                <w:rFonts w:hint="eastAsia" w:ascii="宋体" w:hAnsi="宋体" w:cs="宋体"/>
                <w:b/>
                <w:bCs/>
                <w:snapToGrid w:val="0"/>
                <w:color w:val="000000"/>
                <w:kern w:val="21"/>
                <w:sz w:val="24"/>
                <w:szCs w:val="24"/>
                <w:highlight w:val="none"/>
                <w:u w:val="single"/>
                <w:lang w:val="en-US" w:eastAsia="zh-CN"/>
              </w:rPr>
              <w:t>0.0768</w:t>
            </w:r>
          </w:p>
        </w:tc>
        <w:tc>
          <w:tcPr>
            <w:tcW w:w="1561" w:type="dxa"/>
            <w:noWrap w:val="0"/>
            <w:vAlign w:val="center"/>
          </w:tcPr>
          <w:p w14:paraId="2BD474CE">
            <w:pPr>
              <w:spacing w:line="360" w:lineRule="auto"/>
              <w:jc w:val="center"/>
              <w:rPr>
                <w:rFonts w:hint="eastAsia" w:ascii="宋体" w:hAnsi="宋体" w:eastAsia="宋体" w:cs="宋体"/>
                <w:b/>
                <w:bCs/>
                <w:snapToGrid w:val="0"/>
                <w:color w:val="000000"/>
                <w:kern w:val="21"/>
                <w:sz w:val="24"/>
                <w:szCs w:val="24"/>
                <w:highlight w:val="none"/>
                <w:u w:val="single"/>
              </w:rPr>
            </w:pPr>
          </w:p>
        </w:tc>
        <w:tc>
          <w:tcPr>
            <w:tcW w:w="1870" w:type="dxa"/>
            <w:noWrap w:val="0"/>
            <w:vAlign w:val="center"/>
          </w:tcPr>
          <w:p w14:paraId="1C867FA3">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cs="宋体"/>
                <w:b/>
                <w:bCs/>
                <w:snapToGrid w:val="0"/>
                <w:color w:val="000000"/>
                <w:kern w:val="21"/>
                <w:sz w:val="24"/>
                <w:szCs w:val="24"/>
                <w:highlight w:val="none"/>
                <w:u w:val="single"/>
                <w:lang w:val="en-US" w:eastAsia="zh-CN"/>
              </w:rPr>
              <w:t>0.0768</w:t>
            </w:r>
          </w:p>
        </w:tc>
        <w:tc>
          <w:tcPr>
            <w:tcW w:w="1275" w:type="dxa"/>
            <w:noWrap w:val="0"/>
            <w:vAlign w:val="center"/>
          </w:tcPr>
          <w:p w14:paraId="2801194C">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cs="宋体"/>
                <w:b/>
                <w:bCs/>
                <w:snapToGrid w:val="0"/>
                <w:color w:val="000000"/>
                <w:kern w:val="21"/>
                <w:sz w:val="24"/>
                <w:szCs w:val="24"/>
                <w:highlight w:val="none"/>
                <w:u w:val="single"/>
                <w:lang w:val="en-US" w:eastAsia="zh-CN"/>
              </w:rPr>
              <w:t>0.0768</w:t>
            </w:r>
          </w:p>
        </w:tc>
      </w:tr>
      <w:tr w14:paraId="5D2759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437" w:type="dxa"/>
            <w:vMerge w:val="continue"/>
            <w:noWrap w:val="0"/>
            <w:vAlign w:val="center"/>
          </w:tcPr>
          <w:p w14:paraId="127491C2">
            <w:pPr>
              <w:pStyle w:val="34"/>
              <w:spacing w:line="360" w:lineRule="auto"/>
              <w:ind w:firstLine="0"/>
              <w:rPr>
                <w:rFonts w:hint="eastAsia" w:ascii="宋体" w:hAnsi="宋体" w:eastAsia="宋体" w:cs="宋体"/>
                <w:b/>
                <w:bCs/>
                <w:snapToGrid w:val="0"/>
                <w:color w:val="000000"/>
                <w:kern w:val="21"/>
                <w:sz w:val="24"/>
                <w:szCs w:val="24"/>
                <w:u w:val="single"/>
              </w:rPr>
            </w:pPr>
          </w:p>
        </w:tc>
        <w:tc>
          <w:tcPr>
            <w:tcW w:w="1578" w:type="dxa"/>
            <w:noWrap w:val="0"/>
            <w:vAlign w:val="center"/>
          </w:tcPr>
          <w:p w14:paraId="5BE20C53">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color w:val="000000"/>
                <w:sz w:val="21"/>
                <w:szCs w:val="21"/>
                <w:u w:val="single"/>
                <w:lang w:val="en-US" w:eastAsia="zh-CN"/>
              </w:rPr>
              <w:t>NH</w:t>
            </w:r>
            <w:r>
              <w:rPr>
                <w:rFonts w:hint="eastAsia" w:ascii="宋体" w:hAnsi="宋体" w:eastAsia="宋体" w:cs="宋体"/>
                <w:b/>
                <w:bCs/>
                <w:color w:val="000000"/>
                <w:sz w:val="21"/>
                <w:szCs w:val="21"/>
                <w:u w:val="single"/>
                <w:vertAlign w:val="subscript"/>
                <w:lang w:val="en-US" w:eastAsia="zh-CN"/>
              </w:rPr>
              <w:t>3</w:t>
            </w:r>
            <w:r>
              <w:rPr>
                <w:rFonts w:hint="eastAsia" w:ascii="宋体" w:hAnsi="宋体" w:eastAsia="宋体" w:cs="宋体"/>
                <w:b/>
                <w:bCs/>
                <w:color w:val="000000"/>
                <w:sz w:val="21"/>
                <w:szCs w:val="21"/>
                <w:u w:val="single"/>
                <w:lang w:val="en-US" w:eastAsia="zh-CN"/>
              </w:rPr>
              <w:t>-N</w:t>
            </w:r>
          </w:p>
        </w:tc>
        <w:tc>
          <w:tcPr>
            <w:tcW w:w="1706" w:type="dxa"/>
            <w:noWrap w:val="0"/>
            <w:vAlign w:val="center"/>
          </w:tcPr>
          <w:p w14:paraId="3C82A4C5">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eastAsia="宋体" w:cs="宋体"/>
                <w:b/>
                <w:bCs/>
                <w:snapToGrid w:val="0"/>
                <w:color w:val="000000"/>
                <w:kern w:val="21"/>
                <w:sz w:val="24"/>
                <w:szCs w:val="24"/>
                <w:highlight w:val="none"/>
                <w:u w:val="single"/>
              </w:rPr>
              <w:t>0</w:t>
            </w:r>
          </w:p>
        </w:tc>
        <w:tc>
          <w:tcPr>
            <w:tcW w:w="1280" w:type="dxa"/>
            <w:noWrap w:val="0"/>
            <w:vAlign w:val="center"/>
          </w:tcPr>
          <w:p w14:paraId="67D5B73D">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eastAsia="宋体" w:cs="宋体"/>
                <w:b/>
                <w:bCs/>
                <w:snapToGrid w:val="0"/>
                <w:color w:val="000000"/>
                <w:kern w:val="21"/>
                <w:sz w:val="24"/>
                <w:szCs w:val="24"/>
                <w:highlight w:val="none"/>
                <w:u w:val="single"/>
              </w:rPr>
              <w:t>0</w:t>
            </w:r>
          </w:p>
        </w:tc>
        <w:tc>
          <w:tcPr>
            <w:tcW w:w="1707" w:type="dxa"/>
            <w:noWrap w:val="0"/>
            <w:vAlign w:val="center"/>
          </w:tcPr>
          <w:p w14:paraId="2F5DAAF8">
            <w:pPr>
              <w:spacing w:line="360" w:lineRule="auto"/>
              <w:jc w:val="center"/>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eastAsia="宋体" w:cs="宋体"/>
                <w:b/>
                <w:bCs/>
                <w:snapToGrid w:val="0"/>
                <w:color w:val="000000"/>
                <w:kern w:val="21"/>
                <w:sz w:val="24"/>
                <w:szCs w:val="24"/>
                <w:highlight w:val="none"/>
                <w:u w:val="single"/>
              </w:rPr>
              <w:t>-</w:t>
            </w:r>
          </w:p>
        </w:tc>
        <w:tc>
          <w:tcPr>
            <w:tcW w:w="1563" w:type="dxa"/>
            <w:noWrap w:val="0"/>
            <w:vAlign w:val="center"/>
          </w:tcPr>
          <w:p w14:paraId="3E2B0E4D">
            <w:pPr>
              <w:pStyle w:val="34"/>
              <w:spacing w:line="360" w:lineRule="auto"/>
              <w:ind w:firstLine="0"/>
              <w:rPr>
                <w:rFonts w:hint="default" w:ascii="宋体" w:hAnsi="宋体" w:eastAsia="宋体" w:cs="宋体"/>
                <w:b/>
                <w:bCs/>
                <w:snapToGrid w:val="0"/>
                <w:color w:val="000000"/>
                <w:kern w:val="21"/>
                <w:sz w:val="24"/>
                <w:szCs w:val="24"/>
                <w:highlight w:val="none"/>
                <w:u w:val="single"/>
                <w:lang w:val="en-US" w:eastAsia="zh-CN"/>
              </w:rPr>
            </w:pPr>
            <w:r>
              <w:rPr>
                <w:rFonts w:hint="eastAsia" w:ascii="宋体" w:hAnsi="宋体" w:cs="宋体"/>
                <w:b/>
                <w:bCs/>
                <w:snapToGrid w:val="0"/>
                <w:color w:val="000000"/>
                <w:kern w:val="21"/>
                <w:sz w:val="24"/>
                <w:szCs w:val="24"/>
                <w:highlight w:val="none"/>
                <w:u w:val="single"/>
                <w:lang w:val="en-US" w:eastAsia="zh-CN"/>
              </w:rPr>
              <w:t>0.0038</w:t>
            </w:r>
          </w:p>
        </w:tc>
        <w:tc>
          <w:tcPr>
            <w:tcW w:w="1561" w:type="dxa"/>
            <w:noWrap w:val="0"/>
            <w:vAlign w:val="center"/>
          </w:tcPr>
          <w:p w14:paraId="336956D4">
            <w:pPr>
              <w:spacing w:line="360" w:lineRule="auto"/>
              <w:jc w:val="center"/>
              <w:rPr>
                <w:rFonts w:hint="eastAsia" w:ascii="宋体" w:hAnsi="宋体" w:eastAsia="宋体" w:cs="宋体"/>
                <w:b/>
                <w:bCs/>
                <w:snapToGrid w:val="0"/>
                <w:color w:val="000000"/>
                <w:kern w:val="21"/>
                <w:sz w:val="24"/>
                <w:szCs w:val="24"/>
                <w:highlight w:val="none"/>
                <w:u w:val="single"/>
              </w:rPr>
            </w:pPr>
          </w:p>
        </w:tc>
        <w:tc>
          <w:tcPr>
            <w:tcW w:w="1870" w:type="dxa"/>
            <w:noWrap w:val="0"/>
            <w:vAlign w:val="center"/>
          </w:tcPr>
          <w:p w14:paraId="59AC4694">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cs="宋体"/>
                <w:b/>
                <w:bCs/>
                <w:snapToGrid w:val="0"/>
                <w:color w:val="000000"/>
                <w:kern w:val="21"/>
                <w:sz w:val="24"/>
                <w:szCs w:val="24"/>
                <w:highlight w:val="none"/>
                <w:u w:val="single"/>
                <w:lang w:val="en-US" w:eastAsia="zh-CN"/>
              </w:rPr>
              <w:t>0.0038</w:t>
            </w:r>
          </w:p>
        </w:tc>
        <w:tc>
          <w:tcPr>
            <w:tcW w:w="1275" w:type="dxa"/>
            <w:noWrap w:val="0"/>
            <w:vAlign w:val="center"/>
          </w:tcPr>
          <w:p w14:paraId="51C7B7D2">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cs="宋体"/>
                <w:b/>
                <w:bCs/>
                <w:snapToGrid w:val="0"/>
                <w:color w:val="000000"/>
                <w:kern w:val="21"/>
                <w:sz w:val="24"/>
                <w:szCs w:val="24"/>
                <w:highlight w:val="none"/>
                <w:u w:val="single"/>
                <w:lang w:val="en-US" w:eastAsia="zh-CN"/>
              </w:rPr>
              <w:t>0.0038</w:t>
            </w:r>
          </w:p>
        </w:tc>
      </w:tr>
      <w:tr w14:paraId="04402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437" w:type="dxa"/>
            <w:vMerge w:val="restart"/>
            <w:noWrap w:val="0"/>
            <w:vAlign w:val="center"/>
          </w:tcPr>
          <w:p w14:paraId="3296EE80">
            <w:pPr>
              <w:pStyle w:val="34"/>
              <w:spacing w:line="360" w:lineRule="auto"/>
              <w:ind w:firstLine="0"/>
              <w:rPr>
                <w:rFonts w:hint="eastAsia" w:ascii="宋体" w:hAnsi="宋体" w:eastAsia="宋体" w:cs="宋体"/>
                <w:b/>
                <w:bCs/>
                <w:snapToGrid w:val="0"/>
                <w:color w:val="000000"/>
                <w:kern w:val="21"/>
                <w:sz w:val="24"/>
                <w:szCs w:val="24"/>
                <w:u w:val="single"/>
              </w:rPr>
            </w:pPr>
            <w:r>
              <w:rPr>
                <w:rFonts w:hint="eastAsia" w:ascii="宋体" w:hAnsi="宋体" w:eastAsia="宋体" w:cs="宋体"/>
                <w:b/>
                <w:bCs/>
                <w:snapToGrid w:val="0"/>
                <w:color w:val="000000"/>
                <w:kern w:val="21"/>
                <w:sz w:val="24"/>
                <w:szCs w:val="24"/>
                <w:u w:val="single"/>
              </w:rPr>
              <w:t>一般固废</w:t>
            </w:r>
          </w:p>
        </w:tc>
        <w:tc>
          <w:tcPr>
            <w:tcW w:w="1578" w:type="dxa"/>
            <w:noWrap w:val="0"/>
            <w:vAlign w:val="center"/>
          </w:tcPr>
          <w:p w14:paraId="3870887D">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粉尘</w:t>
            </w:r>
          </w:p>
        </w:tc>
        <w:tc>
          <w:tcPr>
            <w:tcW w:w="1706" w:type="dxa"/>
            <w:noWrap w:val="0"/>
            <w:vAlign w:val="center"/>
          </w:tcPr>
          <w:p w14:paraId="5360E221">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0</w:t>
            </w:r>
          </w:p>
        </w:tc>
        <w:tc>
          <w:tcPr>
            <w:tcW w:w="1280" w:type="dxa"/>
            <w:noWrap w:val="0"/>
            <w:vAlign w:val="center"/>
          </w:tcPr>
          <w:p w14:paraId="2479E85F">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0</w:t>
            </w:r>
          </w:p>
        </w:tc>
        <w:tc>
          <w:tcPr>
            <w:tcW w:w="1707" w:type="dxa"/>
            <w:noWrap w:val="0"/>
            <w:vAlign w:val="center"/>
          </w:tcPr>
          <w:p w14:paraId="79A316B4">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w:t>
            </w:r>
          </w:p>
        </w:tc>
        <w:tc>
          <w:tcPr>
            <w:tcW w:w="1563" w:type="dxa"/>
            <w:noWrap w:val="0"/>
            <w:vAlign w:val="center"/>
          </w:tcPr>
          <w:p w14:paraId="5BCB3A82">
            <w:pPr>
              <w:pStyle w:val="34"/>
              <w:spacing w:line="360" w:lineRule="auto"/>
              <w:ind w:firstLine="0"/>
              <w:rPr>
                <w:rFonts w:hint="default" w:ascii="宋体" w:hAnsi="宋体" w:eastAsia="宋体" w:cs="宋体"/>
                <w:b/>
                <w:bCs/>
                <w:snapToGrid w:val="0"/>
                <w:color w:val="000000"/>
                <w:kern w:val="21"/>
                <w:sz w:val="24"/>
                <w:szCs w:val="24"/>
                <w:highlight w:val="none"/>
                <w:u w:val="single"/>
                <w:lang w:val="en-US" w:eastAsia="zh-CN"/>
              </w:rPr>
            </w:pPr>
            <w:r>
              <w:rPr>
                <w:rFonts w:hint="eastAsia" w:ascii="宋体" w:hAnsi="宋体" w:cs="宋体"/>
                <w:b/>
                <w:bCs/>
                <w:snapToGrid w:val="0"/>
                <w:color w:val="000000"/>
                <w:kern w:val="21"/>
                <w:sz w:val="24"/>
                <w:szCs w:val="24"/>
                <w:highlight w:val="none"/>
                <w:u w:val="single"/>
                <w:lang w:val="en-US" w:eastAsia="zh-CN"/>
              </w:rPr>
              <w:t>20.42</w:t>
            </w:r>
          </w:p>
        </w:tc>
        <w:tc>
          <w:tcPr>
            <w:tcW w:w="1561" w:type="dxa"/>
            <w:noWrap w:val="0"/>
            <w:vAlign w:val="center"/>
          </w:tcPr>
          <w:p w14:paraId="7760B2D1">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w:t>
            </w:r>
          </w:p>
        </w:tc>
        <w:tc>
          <w:tcPr>
            <w:tcW w:w="1870" w:type="dxa"/>
            <w:noWrap w:val="0"/>
            <w:vAlign w:val="center"/>
          </w:tcPr>
          <w:p w14:paraId="6223D8A6">
            <w:pPr>
              <w:pStyle w:val="34"/>
              <w:spacing w:line="360" w:lineRule="auto"/>
              <w:ind w:firstLine="0"/>
              <w:rPr>
                <w:rFonts w:hint="default" w:ascii="宋体" w:hAnsi="宋体" w:eastAsia="宋体" w:cs="宋体"/>
                <w:b/>
                <w:bCs/>
                <w:snapToGrid w:val="0"/>
                <w:color w:val="000000"/>
                <w:kern w:val="21"/>
                <w:sz w:val="24"/>
                <w:szCs w:val="24"/>
                <w:highlight w:val="none"/>
                <w:u w:val="single"/>
                <w:lang w:val="en-US" w:eastAsia="zh-CN"/>
              </w:rPr>
            </w:pPr>
            <w:r>
              <w:rPr>
                <w:rFonts w:hint="eastAsia" w:ascii="宋体" w:hAnsi="宋体" w:cs="宋体"/>
                <w:b/>
                <w:bCs/>
                <w:snapToGrid w:val="0"/>
                <w:color w:val="000000"/>
                <w:kern w:val="21"/>
                <w:sz w:val="24"/>
                <w:szCs w:val="24"/>
                <w:highlight w:val="none"/>
                <w:u w:val="single"/>
                <w:lang w:val="en-US" w:eastAsia="zh-CN"/>
              </w:rPr>
              <w:t>20.42</w:t>
            </w:r>
          </w:p>
        </w:tc>
        <w:tc>
          <w:tcPr>
            <w:tcW w:w="1275" w:type="dxa"/>
            <w:noWrap w:val="0"/>
            <w:vAlign w:val="center"/>
          </w:tcPr>
          <w:p w14:paraId="347C8997">
            <w:pPr>
              <w:pStyle w:val="34"/>
              <w:spacing w:line="360" w:lineRule="auto"/>
              <w:ind w:firstLine="0"/>
              <w:rPr>
                <w:rFonts w:hint="default" w:ascii="宋体" w:hAnsi="宋体" w:eastAsia="宋体" w:cs="宋体"/>
                <w:b/>
                <w:bCs/>
                <w:snapToGrid w:val="0"/>
                <w:color w:val="000000"/>
                <w:kern w:val="21"/>
                <w:sz w:val="24"/>
                <w:szCs w:val="24"/>
                <w:highlight w:val="none"/>
                <w:u w:val="single"/>
                <w:lang w:val="en-US" w:eastAsia="zh-CN"/>
              </w:rPr>
            </w:pPr>
            <w:r>
              <w:rPr>
                <w:rFonts w:hint="eastAsia" w:ascii="宋体" w:hAnsi="宋体" w:cs="宋体"/>
                <w:b/>
                <w:bCs/>
                <w:snapToGrid w:val="0"/>
                <w:color w:val="000000"/>
                <w:kern w:val="21"/>
                <w:sz w:val="24"/>
                <w:szCs w:val="24"/>
                <w:highlight w:val="none"/>
                <w:u w:val="single"/>
                <w:lang w:val="en-US" w:eastAsia="zh-CN"/>
              </w:rPr>
              <w:t>20.42</w:t>
            </w:r>
          </w:p>
        </w:tc>
      </w:tr>
      <w:tr w14:paraId="56BED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1437" w:type="dxa"/>
            <w:vMerge w:val="continue"/>
            <w:noWrap w:val="0"/>
            <w:vAlign w:val="center"/>
          </w:tcPr>
          <w:p w14:paraId="5651F0B1">
            <w:pPr>
              <w:pStyle w:val="34"/>
              <w:spacing w:line="360" w:lineRule="auto"/>
              <w:ind w:firstLine="0"/>
              <w:rPr>
                <w:rFonts w:hint="eastAsia" w:ascii="宋体" w:hAnsi="宋体" w:eastAsia="宋体" w:cs="宋体"/>
                <w:b/>
                <w:bCs/>
                <w:snapToGrid w:val="0"/>
                <w:color w:val="000000"/>
                <w:kern w:val="21"/>
                <w:sz w:val="24"/>
                <w:szCs w:val="24"/>
                <w:u w:val="single"/>
              </w:rPr>
            </w:pPr>
          </w:p>
        </w:tc>
        <w:tc>
          <w:tcPr>
            <w:tcW w:w="1578" w:type="dxa"/>
            <w:noWrap w:val="0"/>
            <w:vAlign w:val="center"/>
          </w:tcPr>
          <w:p w14:paraId="0A8810F8">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生活垃圾</w:t>
            </w:r>
          </w:p>
        </w:tc>
        <w:tc>
          <w:tcPr>
            <w:tcW w:w="1706" w:type="dxa"/>
            <w:noWrap w:val="0"/>
            <w:vAlign w:val="center"/>
          </w:tcPr>
          <w:p w14:paraId="717DF72A">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0</w:t>
            </w:r>
          </w:p>
        </w:tc>
        <w:tc>
          <w:tcPr>
            <w:tcW w:w="1280" w:type="dxa"/>
            <w:noWrap w:val="0"/>
            <w:vAlign w:val="center"/>
          </w:tcPr>
          <w:p w14:paraId="1C65B7CF">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0</w:t>
            </w:r>
          </w:p>
        </w:tc>
        <w:tc>
          <w:tcPr>
            <w:tcW w:w="1707" w:type="dxa"/>
            <w:noWrap w:val="0"/>
            <w:vAlign w:val="center"/>
          </w:tcPr>
          <w:p w14:paraId="1518F2DB">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w:t>
            </w:r>
          </w:p>
        </w:tc>
        <w:tc>
          <w:tcPr>
            <w:tcW w:w="1563" w:type="dxa"/>
            <w:noWrap w:val="0"/>
            <w:vAlign w:val="center"/>
          </w:tcPr>
          <w:p w14:paraId="66356BE6">
            <w:pPr>
              <w:pStyle w:val="34"/>
              <w:spacing w:line="360" w:lineRule="auto"/>
              <w:ind w:firstLine="0"/>
              <w:rPr>
                <w:rFonts w:hint="eastAsia" w:ascii="宋体" w:hAnsi="宋体" w:eastAsia="宋体" w:cs="宋体"/>
                <w:b/>
                <w:bCs/>
                <w:snapToGrid w:val="0"/>
                <w:color w:val="000000"/>
                <w:kern w:val="21"/>
                <w:sz w:val="24"/>
                <w:szCs w:val="24"/>
                <w:highlight w:val="none"/>
                <w:u w:val="single"/>
                <w:lang w:val="en-US" w:eastAsia="zh-CN"/>
              </w:rPr>
            </w:pPr>
            <w:r>
              <w:rPr>
                <w:rFonts w:hint="eastAsia" w:ascii="宋体" w:hAnsi="宋体" w:eastAsia="宋体" w:cs="宋体"/>
                <w:b/>
                <w:bCs/>
                <w:snapToGrid w:val="0"/>
                <w:color w:val="000000"/>
                <w:kern w:val="21"/>
                <w:sz w:val="24"/>
                <w:szCs w:val="24"/>
                <w:highlight w:val="none"/>
                <w:u w:val="single"/>
                <w:lang w:val="en-US" w:eastAsia="zh-CN"/>
              </w:rPr>
              <w:t>30</w:t>
            </w:r>
          </w:p>
        </w:tc>
        <w:tc>
          <w:tcPr>
            <w:tcW w:w="1561" w:type="dxa"/>
            <w:noWrap w:val="0"/>
            <w:vAlign w:val="center"/>
          </w:tcPr>
          <w:p w14:paraId="3F4AB787">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w:t>
            </w:r>
          </w:p>
        </w:tc>
        <w:tc>
          <w:tcPr>
            <w:tcW w:w="1870" w:type="dxa"/>
            <w:noWrap w:val="0"/>
            <w:vAlign w:val="center"/>
          </w:tcPr>
          <w:p w14:paraId="575E3ECD">
            <w:pPr>
              <w:pStyle w:val="34"/>
              <w:spacing w:line="360" w:lineRule="auto"/>
              <w:ind w:firstLine="0"/>
              <w:rPr>
                <w:rFonts w:hint="eastAsia" w:ascii="宋体" w:hAnsi="宋体" w:eastAsia="宋体" w:cs="宋体"/>
                <w:b/>
                <w:bCs/>
                <w:snapToGrid w:val="0"/>
                <w:color w:val="000000"/>
                <w:kern w:val="21"/>
                <w:sz w:val="24"/>
                <w:szCs w:val="24"/>
                <w:highlight w:val="none"/>
                <w:u w:val="single"/>
                <w:lang w:val="en-US" w:eastAsia="zh-CN"/>
              </w:rPr>
            </w:pPr>
            <w:r>
              <w:rPr>
                <w:rFonts w:hint="eastAsia" w:ascii="宋体" w:hAnsi="宋体" w:eastAsia="宋体" w:cs="宋体"/>
                <w:b/>
                <w:bCs/>
                <w:snapToGrid w:val="0"/>
                <w:color w:val="000000"/>
                <w:kern w:val="21"/>
                <w:sz w:val="24"/>
                <w:szCs w:val="24"/>
                <w:highlight w:val="none"/>
                <w:u w:val="single"/>
                <w:lang w:val="en-US" w:eastAsia="zh-CN"/>
              </w:rPr>
              <w:t>30</w:t>
            </w:r>
          </w:p>
        </w:tc>
        <w:tc>
          <w:tcPr>
            <w:tcW w:w="1275" w:type="dxa"/>
            <w:noWrap w:val="0"/>
            <w:vAlign w:val="center"/>
          </w:tcPr>
          <w:p w14:paraId="1CF2CCBF">
            <w:pPr>
              <w:pStyle w:val="34"/>
              <w:spacing w:line="360" w:lineRule="auto"/>
              <w:ind w:firstLine="0"/>
              <w:rPr>
                <w:rFonts w:hint="eastAsia" w:ascii="宋体" w:hAnsi="宋体" w:eastAsia="宋体" w:cs="宋体"/>
                <w:b/>
                <w:bCs/>
                <w:snapToGrid w:val="0"/>
                <w:color w:val="000000"/>
                <w:kern w:val="21"/>
                <w:sz w:val="24"/>
                <w:szCs w:val="24"/>
                <w:highlight w:val="none"/>
                <w:u w:val="single"/>
                <w:lang w:val="en-US" w:eastAsia="zh-CN"/>
              </w:rPr>
            </w:pPr>
            <w:r>
              <w:rPr>
                <w:rFonts w:hint="eastAsia" w:ascii="宋体" w:hAnsi="宋体" w:eastAsia="宋体" w:cs="宋体"/>
                <w:b/>
                <w:bCs/>
                <w:snapToGrid w:val="0"/>
                <w:color w:val="000000"/>
                <w:kern w:val="21"/>
                <w:sz w:val="24"/>
                <w:szCs w:val="24"/>
                <w:highlight w:val="none"/>
                <w:u w:val="single"/>
                <w:lang w:val="en-US" w:eastAsia="zh-CN"/>
              </w:rPr>
              <w:t>30</w:t>
            </w:r>
          </w:p>
        </w:tc>
      </w:tr>
      <w:tr w14:paraId="33B306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437" w:type="dxa"/>
            <w:noWrap w:val="0"/>
            <w:vAlign w:val="center"/>
          </w:tcPr>
          <w:p w14:paraId="21F7C55C">
            <w:pPr>
              <w:pStyle w:val="34"/>
              <w:spacing w:line="360" w:lineRule="auto"/>
              <w:ind w:firstLine="0"/>
              <w:rPr>
                <w:rFonts w:hint="eastAsia" w:ascii="宋体" w:hAnsi="宋体" w:eastAsia="宋体" w:cs="宋体"/>
                <w:b/>
                <w:bCs/>
                <w:snapToGrid w:val="0"/>
                <w:color w:val="000000"/>
                <w:kern w:val="21"/>
                <w:sz w:val="24"/>
                <w:szCs w:val="24"/>
                <w:u w:val="single"/>
              </w:rPr>
            </w:pPr>
            <w:r>
              <w:rPr>
                <w:rFonts w:hint="eastAsia" w:ascii="宋体" w:hAnsi="宋体" w:eastAsia="宋体" w:cs="宋体"/>
                <w:b/>
                <w:bCs/>
                <w:snapToGrid w:val="0"/>
                <w:color w:val="000000"/>
                <w:kern w:val="21"/>
                <w:sz w:val="24"/>
                <w:szCs w:val="24"/>
                <w:u w:val="single"/>
              </w:rPr>
              <w:t>危险废物</w:t>
            </w:r>
          </w:p>
        </w:tc>
        <w:tc>
          <w:tcPr>
            <w:tcW w:w="1578" w:type="dxa"/>
            <w:noWrap w:val="0"/>
            <w:vAlign w:val="center"/>
          </w:tcPr>
          <w:p w14:paraId="186066BC">
            <w:pPr>
              <w:pStyle w:val="34"/>
              <w:spacing w:line="360" w:lineRule="auto"/>
              <w:ind w:firstLine="0"/>
              <w:rPr>
                <w:rFonts w:hint="eastAsia" w:ascii="宋体" w:hAnsi="宋体" w:eastAsia="宋体" w:cs="宋体"/>
                <w:b/>
                <w:bCs/>
                <w:snapToGrid w:val="0"/>
                <w:color w:val="000000"/>
                <w:kern w:val="21"/>
                <w:sz w:val="24"/>
                <w:szCs w:val="24"/>
                <w:highlight w:val="none"/>
                <w:u w:val="single"/>
                <w:lang w:eastAsia="zh-CN"/>
              </w:rPr>
            </w:pPr>
            <w:r>
              <w:rPr>
                <w:rFonts w:hint="eastAsia" w:ascii="宋体" w:hAnsi="宋体" w:eastAsia="宋体" w:cs="宋体"/>
                <w:b/>
                <w:bCs/>
                <w:snapToGrid w:val="0"/>
                <w:color w:val="000000"/>
                <w:kern w:val="21"/>
                <w:sz w:val="24"/>
                <w:szCs w:val="24"/>
                <w:highlight w:val="none"/>
                <w:u w:val="single"/>
                <w:lang w:val="en-US" w:eastAsia="zh-CN"/>
              </w:rPr>
              <w:t>废</w:t>
            </w:r>
            <w:r>
              <w:rPr>
                <w:rFonts w:hint="eastAsia" w:ascii="宋体" w:hAnsi="宋体" w:eastAsia="宋体" w:cs="宋体"/>
                <w:b/>
                <w:bCs/>
                <w:color w:val="000000"/>
                <w:sz w:val="24"/>
                <w:szCs w:val="24"/>
                <w:highlight w:val="none"/>
                <w:u w:val="single"/>
                <w:lang w:val="en-US" w:eastAsia="zh-CN"/>
              </w:rPr>
              <w:t>活性炭</w:t>
            </w:r>
          </w:p>
        </w:tc>
        <w:tc>
          <w:tcPr>
            <w:tcW w:w="1706" w:type="dxa"/>
            <w:noWrap w:val="0"/>
            <w:vAlign w:val="center"/>
          </w:tcPr>
          <w:p w14:paraId="2FA0070D">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eastAsia="宋体" w:cs="宋体"/>
                <w:b/>
                <w:bCs/>
                <w:snapToGrid w:val="0"/>
                <w:color w:val="000000"/>
                <w:kern w:val="21"/>
                <w:sz w:val="24"/>
                <w:szCs w:val="24"/>
                <w:highlight w:val="none"/>
                <w:u w:val="single"/>
              </w:rPr>
              <w:t>0</w:t>
            </w:r>
          </w:p>
        </w:tc>
        <w:tc>
          <w:tcPr>
            <w:tcW w:w="1280" w:type="dxa"/>
            <w:noWrap w:val="0"/>
            <w:vAlign w:val="center"/>
          </w:tcPr>
          <w:p w14:paraId="79751AF4">
            <w:pPr>
              <w:pStyle w:val="34"/>
              <w:spacing w:line="360" w:lineRule="auto"/>
              <w:ind w:firstLine="0" w:firstLineChars="0"/>
              <w:rPr>
                <w:rFonts w:hint="eastAsia" w:ascii="宋体" w:hAnsi="宋体" w:eastAsia="宋体" w:cs="宋体"/>
                <w:b/>
                <w:bCs/>
                <w:snapToGrid w:val="0"/>
                <w:color w:val="000000"/>
                <w:kern w:val="21"/>
                <w:sz w:val="24"/>
                <w:szCs w:val="24"/>
                <w:highlight w:val="none"/>
                <w:u w:val="single"/>
                <w:lang w:val="en-US" w:eastAsia="zh-CN" w:bidi="ar-SA"/>
              </w:rPr>
            </w:pPr>
            <w:r>
              <w:rPr>
                <w:rFonts w:hint="eastAsia" w:ascii="宋体" w:hAnsi="宋体" w:eastAsia="宋体" w:cs="宋体"/>
                <w:b/>
                <w:bCs/>
                <w:snapToGrid w:val="0"/>
                <w:color w:val="000000"/>
                <w:kern w:val="21"/>
                <w:sz w:val="24"/>
                <w:szCs w:val="24"/>
                <w:highlight w:val="none"/>
                <w:u w:val="single"/>
              </w:rPr>
              <w:t>0</w:t>
            </w:r>
          </w:p>
        </w:tc>
        <w:tc>
          <w:tcPr>
            <w:tcW w:w="1707" w:type="dxa"/>
            <w:noWrap w:val="0"/>
            <w:vAlign w:val="center"/>
          </w:tcPr>
          <w:p w14:paraId="48E6CE12">
            <w:pPr>
              <w:spacing w:line="360" w:lineRule="auto"/>
              <w:jc w:val="center"/>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w:t>
            </w:r>
          </w:p>
        </w:tc>
        <w:tc>
          <w:tcPr>
            <w:tcW w:w="1563" w:type="dxa"/>
            <w:noWrap w:val="0"/>
            <w:vAlign w:val="center"/>
          </w:tcPr>
          <w:p w14:paraId="2548EF10">
            <w:pPr>
              <w:pStyle w:val="34"/>
              <w:spacing w:line="360" w:lineRule="auto"/>
              <w:ind w:firstLine="0"/>
              <w:rPr>
                <w:rFonts w:hint="default" w:ascii="宋体" w:hAnsi="宋体" w:eastAsia="宋体" w:cs="宋体"/>
                <w:b/>
                <w:bCs/>
                <w:snapToGrid w:val="0"/>
                <w:color w:val="000000"/>
                <w:kern w:val="21"/>
                <w:sz w:val="24"/>
                <w:szCs w:val="24"/>
                <w:highlight w:val="none"/>
                <w:u w:val="single"/>
                <w:lang w:val="en-US"/>
              </w:rPr>
            </w:pPr>
            <w:r>
              <w:rPr>
                <w:rFonts w:hint="eastAsia" w:ascii="宋体" w:hAnsi="宋体" w:cs="宋体"/>
                <w:b/>
                <w:bCs/>
                <w:color w:val="000000"/>
                <w:sz w:val="24"/>
                <w:szCs w:val="24"/>
                <w:highlight w:val="none"/>
                <w:u w:val="single"/>
                <w:lang w:val="en-US" w:eastAsia="zh-CN"/>
              </w:rPr>
              <w:t>0.35</w:t>
            </w:r>
          </w:p>
        </w:tc>
        <w:tc>
          <w:tcPr>
            <w:tcW w:w="1561" w:type="dxa"/>
            <w:noWrap w:val="0"/>
            <w:vAlign w:val="center"/>
          </w:tcPr>
          <w:p w14:paraId="4DD58645">
            <w:pPr>
              <w:pStyle w:val="34"/>
              <w:spacing w:line="360" w:lineRule="auto"/>
              <w:ind w:firstLine="0"/>
              <w:rPr>
                <w:rFonts w:hint="eastAsia" w:ascii="宋体" w:hAnsi="宋体" w:eastAsia="宋体" w:cs="宋体"/>
                <w:b/>
                <w:bCs/>
                <w:snapToGrid w:val="0"/>
                <w:color w:val="000000"/>
                <w:kern w:val="21"/>
                <w:sz w:val="24"/>
                <w:szCs w:val="24"/>
                <w:highlight w:val="none"/>
                <w:u w:val="single"/>
              </w:rPr>
            </w:pPr>
            <w:r>
              <w:rPr>
                <w:rFonts w:hint="eastAsia" w:ascii="宋体" w:hAnsi="宋体" w:eastAsia="宋体" w:cs="宋体"/>
                <w:b/>
                <w:bCs/>
                <w:snapToGrid w:val="0"/>
                <w:color w:val="000000"/>
                <w:kern w:val="21"/>
                <w:sz w:val="24"/>
                <w:szCs w:val="24"/>
                <w:highlight w:val="none"/>
                <w:u w:val="single"/>
              </w:rPr>
              <w:t>-</w:t>
            </w:r>
          </w:p>
        </w:tc>
        <w:tc>
          <w:tcPr>
            <w:tcW w:w="1870" w:type="dxa"/>
            <w:noWrap w:val="0"/>
            <w:vAlign w:val="center"/>
          </w:tcPr>
          <w:p w14:paraId="30A0FC18">
            <w:pPr>
              <w:pStyle w:val="34"/>
              <w:spacing w:line="360" w:lineRule="auto"/>
              <w:ind w:firstLine="0"/>
              <w:rPr>
                <w:rFonts w:hint="default" w:ascii="宋体" w:hAnsi="宋体" w:eastAsia="宋体" w:cs="宋体"/>
                <w:b/>
                <w:bCs/>
                <w:snapToGrid w:val="0"/>
                <w:color w:val="000000"/>
                <w:kern w:val="21"/>
                <w:sz w:val="24"/>
                <w:szCs w:val="24"/>
                <w:highlight w:val="none"/>
                <w:u w:val="single"/>
                <w:lang w:val="en-US"/>
              </w:rPr>
            </w:pPr>
            <w:r>
              <w:rPr>
                <w:rFonts w:hint="eastAsia" w:ascii="宋体" w:hAnsi="宋体" w:cs="宋体"/>
                <w:b/>
                <w:bCs/>
                <w:color w:val="000000"/>
                <w:sz w:val="24"/>
                <w:szCs w:val="24"/>
                <w:highlight w:val="none"/>
                <w:u w:val="single"/>
                <w:lang w:val="en-US" w:eastAsia="zh-CN"/>
              </w:rPr>
              <w:t>0.35</w:t>
            </w:r>
          </w:p>
        </w:tc>
        <w:tc>
          <w:tcPr>
            <w:tcW w:w="1275" w:type="dxa"/>
            <w:noWrap w:val="0"/>
            <w:vAlign w:val="center"/>
          </w:tcPr>
          <w:p w14:paraId="37296660">
            <w:pPr>
              <w:pStyle w:val="34"/>
              <w:spacing w:line="360" w:lineRule="auto"/>
              <w:ind w:firstLine="0"/>
              <w:rPr>
                <w:rFonts w:hint="default" w:ascii="宋体" w:hAnsi="宋体" w:eastAsia="宋体" w:cs="宋体"/>
                <w:b/>
                <w:bCs/>
                <w:snapToGrid w:val="0"/>
                <w:color w:val="000000"/>
                <w:kern w:val="21"/>
                <w:sz w:val="24"/>
                <w:szCs w:val="24"/>
                <w:highlight w:val="none"/>
                <w:u w:val="single"/>
                <w:lang w:val="en-US"/>
              </w:rPr>
            </w:pPr>
            <w:r>
              <w:rPr>
                <w:rFonts w:hint="eastAsia" w:ascii="宋体" w:hAnsi="宋体" w:cs="宋体"/>
                <w:b/>
                <w:bCs/>
                <w:color w:val="000000"/>
                <w:sz w:val="24"/>
                <w:szCs w:val="24"/>
                <w:highlight w:val="none"/>
                <w:u w:val="single"/>
                <w:lang w:val="en-US" w:eastAsia="zh-CN"/>
              </w:rPr>
              <w:t>0.35</w:t>
            </w:r>
          </w:p>
        </w:tc>
      </w:tr>
    </w:tbl>
    <w:p w14:paraId="31673B62">
      <w:pPr>
        <w:jc w:val="left"/>
        <w:rPr>
          <w:rFonts w:hint="default" w:eastAsia="宋体"/>
          <w:lang w:val="en-US" w:eastAsia="zh-CN"/>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int="eastAsia" w:hAnsi="宋体"/>
          <w:snapToGrid w:val="0"/>
          <w:color w:val="000000"/>
          <w:spacing w:val="-6"/>
          <w:kern w:val="21"/>
          <w:szCs w:val="21"/>
          <w:lang w:eastAsia="zh-CN"/>
        </w:rPr>
        <w:t>；</w:t>
      </w:r>
      <w:r>
        <w:rPr>
          <w:rFonts w:hint="eastAsia" w:hAnsi="宋体"/>
          <w:snapToGrid w:val="0"/>
          <w:color w:val="000000"/>
          <w:spacing w:val="-6"/>
          <w:kern w:val="21"/>
          <w:szCs w:val="21"/>
          <w:lang w:val="en-US" w:eastAsia="zh-CN"/>
        </w:rPr>
        <w:t>单位：吨</w:t>
      </w:r>
    </w:p>
    <w:p w14:paraId="422B8451">
      <w:pPr>
        <w:jc w:val="center"/>
      </w:pPr>
      <w:r>
        <w:rPr>
          <w:sz w:val="21"/>
        </w:rPr>
        <mc:AlternateContent>
          <mc:Choice Requires="wps">
            <w:drawing>
              <wp:anchor distT="0" distB="0" distL="114300" distR="114300" simplePos="0" relativeHeight="251673600" behindDoc="0" locked="0" layoutInCell="1" allowOverlap="1">
                <wp:simplePos x="0" y="0"/>
                <wp:positionH relativeFrom="column">
                  <wp:posOffset>7918450</wp:posOffset>
                </wp:positionH>
                <wp:positionV relativeFrom="paragraph">
                  <wp:posOffset>376555</wp:posOffset>
                </wp:positionV>
                <wp:extent cx="914400" cy="914400"/>
                <wp:effectExtent l="0" t="0" r="0" b="0"/>
                <wp:wrapNone/>
                <wp:docPr id="20" name="文本框 20"/>
                <wp:cNvGraphicFramePr/>
                <a:graphic xmlns:a="http://schemas.openxmlformats.org/drawingml/2006/main">
                  <a:graphicData uri="http://schemas.microsoft.com/office/word/2010/wordprocessingShape">
                    <wps:wsp>
                      <wps:cNvSpPr txBox="1"/>
                      <wps:spPr>
                        <a:xfrm>
                          <a:off x="8931910" y="158813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9487B">
                            <w:pPr>
                              <w:rPr>
                                <w:rFonts w:hint="default" w:eastAsia="宋体"/>
                                <w:lang w:val="en-US" w:eastAsia="zh-CN"/>
                              </w:rPr>
                            </w:pPr>
                            <w:r>
                              <w:rPr>
                                <w:rFonts w:hint="eastAsia" w:ascii="宋体" w:hAnsi="宋体" w:eastAsia="宋体" w:cs="宋体"/>
                                <w:b/>
                                <w:bCs/>
                                <w:color w:val="C00000"/>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3.5pt;margin-top:29.65pt;height:72pt;width:72pt;z-index:251673600;mso-width-relative:page;mso-height-relative:page;" filled="f" stroked="f" coordsize="21600,21600" o:gfxdata="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n5nvaNwAAAAMAQAADwAAAAAAAAABACAA&#10;AAAiAAAAZHJzL2Rvd25yZXYueG1sUEsBAhQAFAAAAAgAh07iQPJw54VCAgAAcwQAAA4AAAAAAAAA&#10;AQAgAAAAKwEAAGRycy9lMm9Eb2MueG1sUEsFBgAAAAAGAAYAWQEAAN8FAAAAAA==&#10;">
                <v:fill on="f" focussize="0,0"/>
                <v:stroke on="f" weight="0.5pt"/>
                <v:imagedata o:title=""/>
                <o:lock v:ext="edit" aspectratio="f"/>
                <v:textbox>
                  <w:txbxContent>
                    <w:p w14:paraId="23E9487B">
                      <w:pPr>
                        <w:rPr>
                          <w:rFonts w:hint="default" w:eastAsia="宋体"/>
                          <w:lang w:val="en-US" w:eastAsia="zh-CN"/>
                        </w:rPr>
                      </w:pPr>
                      <w:r>
                        <w:rPr>
                          <w:rFonts w:hint="eastAsia" w:ascii="宋体" w:hAnsi="宋体" w:eastAsia="宋体" w:cs="宋体"/>
                          <w:b/>
                          <w:bCs/>
                          <w:color w:val="C00000"/>
                          <w:lang w:val="en-US" w:eastAsia="zh-CN"/>
                        </w:rPr>
                        <w:t>北</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8087995</wp:posOffset>
                </wp:positionH>
                <wp:positionV relativeFrom="paragraph">
                  <wp:posOffset>666115</wp:posOffset>
                </wp:positionV>
                <wp:extent cx="0" cy="708660"/>
                <wp:effectExtent l="64135" t="0" r="73025" b="7620"/>
                <wp:wrapNone/>
                <wp:docPr id="2" name="直接箭头连接符 2"/>
                <wp:cNvGraphicFramePr/>
                <a:graphic xmlns:a="http://schemas.openxmlformats.org/drawingml/2006/main">
                  <a:graphicData uri="http://schemas.microsoft.com/office/word/2010/wordprocessingShape">
                    <wps:wsp>
                      <wps:cNvCnPr/>
                      <wps:spPr>
                        <a:xfrm flipV="1">
                          <a:off x="8994775" y="2136775"/>
                          <a:ext cx="0" cy="70866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36.85pt;margin-top:52.45pt;height:55.8pt;width:0pt;z-index:251672576;mso-width-relative:page;mso-height-relative:page;" filled="f" stroked="t" coordsize="21600,21600" o:gfxdata="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7cLX72QAAAA0BAAAP&#10;AAAAAAAAAAEAIAAAACIAAABkcnMvZG93bnJldi54bWxQSwECFAAUAAAACACHTuJAfywNlhcCAAD0&#10;AwAADgAAAAAAAAABACAAAAAoAQAAZHJzL2Uyb0RvYy54bWxQSwUGAAAAAAYABgBZAQAAsQUAAAAA&#10;">
                <v:fill on="f" focussize="0,0"/>
                <v:stroke weight="2.25pt" color="#C00000 [3204]" miterlimit="8" joinstyle="miter" endarrow="open"/>
                <v:imagedata o:title=""/>
                <o:lock v:ext="edit" aspectratio="f"/>
              </v:shape>
            </w:pict>
          </mc:Fallback>
        </mc:AlternateContent>
      </w:r>
      <w:r>
        <w:rPr>
          <w:sz w:val="21"/>
        </w:rPr>
        <mc:AlternateContent>
          <mc:Choice Requires="wpg">
            <w:drawing>
              <wp:anchor distT="0" distB="0" distL="114300" distR="114300" simplePos="0" relativeHeight="251660288" behindDoc="0" locked="0" layoutInCell="1" allowOverlap="1">
                <wp:simplePos x="0" y="0"/>
                <wp:positionH relativeFrom="column">
                  <wp:posOffset>4154170</wp:posOffset>
                </wp:positionH>
                <wp:positionV relativeFrom="paragraph">
                  <wp:posOffset>993140</wp:posOffset>
                </wp:positionV>
                <wp:extent cx="1436370" cy="1543050"/>
                <wp:effectExtent l="5080" t="4445" r="6350" b="33655"/>
                <wp:wrapNone/>
                <wp:docPr id="10" name="组合 10"/>
                <wp:cNvGraphicFramePr/>
                <a:graphic xmlns:a="http://schemas.openxmlformats.org/drawingml/2006/main">
                  <a:graphicData uri="http://schemas.microsoft.com/office/word/2010/wordprocessingGroup">
                    <wpg:wgp>
                      <wpg:cNvGrpSpPr/>
                      <wpg:grpSpPr>
                        <a:xfrm flipV="1">
                          <a:off x="0" y="0"/>
                          <a:ext cx="1436370" cy="1543050"/>
                          <a:chOff x="14642" y="6904"/>
                          <a:chExt cx="1378" cy="1710"/>
                        </a:xfrm>
                      </wpg:grpSpPr>
                      <wps:wsp>
                        <wps:cNvPr id="8" name="圆角矩形标注 8"/>
                        <wps:cNvSpPr/>
                        <wps:spPr>
                          <a:xfrm>
                            <a:off x="14642" y="7972"/>
                            <a:ext cx="1378" cy="642"/>
                          </a:xfrm>
                          <a:prstGeom prst="wedgeRoundRectCallout">
                            <a:avLst>
                              <a:gd name="adj1" fmla="val -37727"/>
                              <a:gd name="adj2" fmla="val -191051"/>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3D24D79B">
                              <w:pPr>
                                <w:jc w:val="center"/>
                                <w:rPr>
                                  <w:rFonts w:hint="eastAsia"/>
                                </w:rPr>
                              </w:pPr>
                              <w:r>
                                <w:rPr>
                                  <w:rFonts w:hint="eastAsia"/>
                                  <w:sz w:val="32"/>
                                  <w:szCs w:val="32"/>
                                </w:rPr>
                                <w:t>本项目</w:t>
                              </w:r>
                            </w:p>
                          </w:txbxContent>
                        </wps:txbx>
                        <wps:bodyPr upright="1"/>
                      </wps:wsp>
                      <wps:wsp>
                        <wps:cNvPr id="9" name="任意多边形 9"/>
                        <wps:cNvSpPr/>
                        <wps:spPr>
                          <a:xfrm>
                            <a:off x="14691" y="6904"/>
                            <a:ext cx="161" cy="183"/>
                          </a:xfrm>
                          <a:custGeom>
                            <a:avLst/>
                            <a:gdLst/>
                            <a:ahLst/>
                            <a:cxnLst>
                              <a:cxn ang="16187392">
                                <a:pos x="80" y="0"/>
                              </a:cxn>
                              <a:cxn ang="10747904">
                                <a:pos x="0" y="69"/>
                              </a:cxn>
                              <a:cxn ang="5373952">
                                <a:pos x="30" y="182"/>
                              </a:cxn>
                              <a:cxn ang="5373952">
                                <a:pos x="130" y="182"/>
                              </a:cxn>
                              <a:cxn ang="0">
                                <a:pos x="160" y="69"/>
                              </a:cxn>
                            </a:cxnLst>
                            <a:pathLst>
                              <a:path w="161" h="183">
                                <a:moveTo>
                                  <a:pt x="0" y="69"/>
                                </a:moveTo>
                                <a:lnTo>
                                  <a:pt x="61" y="69"/>
                                </a:lnTo>
                                <a:lnTo>
                                  <a:pt x="80" y="0"/>
                                </a:lnTo>
                                <a:lnTo>
                                  <a:pt x="99" y="69"/>
                                </a:lnTo>
                                <a:lnTo>
                                  <a:pt x="160" y="69"/>
                                </a:lnTo>
                                <a:lnTo>
                                  <a:pt x="111" y="113"/>
                                </a:lnTo>
                                <a:lnTo>
                                  <a:pt x="130" y="182"/>
                                </a:lnTo>
                                <a:lnTo>
                                  <a:pt x="80" y="139"/>
                                </a:lnTo>
                                <a:lnTo>
                                  <a:pt x="30" y="182"/>
                                </a:lnTo>
                                <a:lnTo>
                                  <a:pt x="49" y="113"/>
                                </a:lnTo>
                                <a:close/>
                              </a:path>
                            </a:pathLst>
                          </a:custGeom>
                          <a:solidFill>
                            <a:srgbClr val="FF0000"/>
                          </a:solidFill>
                          <a:ln w="9525" cap="flat" cmpd="sng">
                            <a:solidFill>
                              <a:srgbClr val="FF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flip:y;margin-left:327.1pt;margin-top:78.2pt;height:121.5pt;width:113.1pt;z-index:251660288;mso-width-relative:page;mso-height-relative:page;" coordorigin="14642,6904" coordsize="1378,1710" o:gfxdata="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&#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">
                <o:lock v:ext="edit" aspectratio="f"/>
                <v:shape id="_x0000_s1026" o:spid="_x0000_s1026" o:spt="62" type="#_x0000_t62" style="position:absolute;left:14642;top:7972;height:642;width:1378;" fillcolor="#FFFFFF" filled="t" stroked="t" coordsize="21600,21600" o:gfxdata="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1HW1mtwAAANoAAAAP&#10;AAAAAAAAAAEAIAAAACIAAABkcnMvZG93bnJldi54bWxQSwECFAAUAAAACACHTuJAMy8FnjsAAAA5&#10;AAAAEAAAAAAAAAABACAAAAAGAQAAZHJzL3NoYXBleG1sLnhtbFBLBQYAAAAABgAGAFsBAACwAwAA&#10;AAA=&#10;" adj="2651,-30467,14400">
                  <v:fill on="t" focussize="0,0"/>
                  <v:stroke color="#000000" joinstyle="miter"/>
                  <v:imagedata o:title=""/>
                  <o:lock v:ext="edit" aspectratio="f"/>
                  <v:textbox>
                    <w:txbxContent>
                      <w:p w14:paraId="3D24D79B">
                        <w:pPr>
                          <w:jc w:val="center"/>
                          <w:rPr>
                            <w:rFonts w:hint="eastAsia"/>
                          </w:rPr>
                        </w:pPr>
                        <w:r>
                          <w:rPr>
                            <w:rFonts w:hint="eastAsia"/>
                            <w:sz w:val="32"/>
                            <w:szCs w:val="32"/>
                          </w:rPr>
                          <w:t>本项目</w:t>
                        </w:r>
                      </w:p>
                    </w:txbxContent>
                  </v:textbox>
                </v:shape>
                <v:shape id="_x0000_s1026" o:spid="_x0000_s1026" o:spt="100" style="position:absolute;left:14691;top:6904;height:183;width:161;" fillcolor="#FF0000" filled="t" stroked="t" coordsize="161,183" o:gfxdata="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jeb6G5AAAA2gAA&#10;AA8AAAAAAAAAAQAgAAAAIgAAAGRycy9kb3ducmV2LnhtbFBLAQIUABQAAAAIAIdO4kAzLwWeOwAA&#10;ADkAAAAQAAAAAAAAAAEAIAAAAAgBAABkcnMvc2hhcGV4bWwueG1sUEsFBgAAAAAGAAYAWwEAALID&#10;AAAAAA==&#10;" path="m0,69l61,69,80,0,99,69,160,69,111,113,130,182,80,139,30,182,49,113xe">
                  <v:path o:connectlocs="80,0;0,69;30,182;130,182;160,69" o:connectangles="247,164,82,82,0"/>
                  <v:fill on="t" focussize="0,0"/>
                  <v:stroke color="#FF0000" joinstyle="miter"/>
                  <v:imagedata o:title=""/>
                  <o:lock v:ext="edit" aspectratio="f"/>
                </v:shape>
              </v:group>
            </w:pict>
          </mc:Fallback>
        </mc:AlternateContent>
      </w:r>
      <w:r>
        <w:drawing>
          <wp:inline distT="0" distB="0" distL="114300" distR="114300">
            <wp:extent cx="6834505" cy="4806950"/>
            <wp:effectExtent l="0" t="0" r="4445" b="12700"/>
            <wp:docPr id="7" name="图片 8" descr="南乐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南乐县"/>
                    <pic:cNvPicPr>
                      <a:picLocks noChangeAspect="1"/>
                    </pic:cNvPicPr>
                  </pic:nvPicPr>
                  <pic:blipFill>
                    <a:blip r:embed="rId26"/>
                    <a:stretch>
                      <a:fillRect/>
                    </a:stretch>
                  </pic:blipFill>
                  <pic:spPr>
                    <a:xfrm>
                      <a:off x="0" y="0"/>
                      <a:ext cx="6834505" cy="4806950"/>
                    </a:xfrm>
                    <a:prstGeom prst="rect">
                      <a:avLst/>
                    </a:prstGeom>
                    <a:noFill/>
                    <a:ln>
                      <a:noFill/>
                    </a:ln>
                  </pic:spPr>
                </pic:pic>
              </a:graphicData>
            </a:graphic>
          </wp:inline>
        </w:drawing>
      </w:r>
    </w:p>
    <w:p w14:paraId="55DD74B5">
      <w:pPr>
        <w:jc w:val="center"/>
        <w:rPr>
          <w:rFonts w:hint="eastAsia" w:ascii="Times New Roman" w:hAnsi="Times New Roman" w:eastAsia="黑体" w:cs="Times New Roman"/>
          <w:b/>
          <w:bCs/>
          <w:lang w:val="en-US" w:eastAsia="zh-CN"/>
        </w:rPr>
        <w:sectPr>
          <w:footerReference r:id="rId5" w:type="default"/>
          <w:pgSz w:w="16838" w:h="11906" w:orient="landscape"/>
          <w:pgMar w:top="1800" w:right="1440" w:bottom="1800" w:left="1440" w:header="851" w:footer="992" w:gutter="0"/>
          <w:pgNumType w:fmt="decimal"/>
          <w:cols w:space="425" w:num="1"/>
          <w:docGrid w:type="lines" w:linePitch="312" w:charSpace="0"/>
        </w:sectPr>
      </w:pPr>
      <w:r>
        <w:rPr>
          <w:rFonts w:hint="eastAsia" w:ascii="Times New Roman" w:hAnsi="Times New Roman" w:eastAsia="黑体" w:cs="Times New Roman"/>
          <w:b/>
          <w:bCs/>
          <w:lang w:val="en-US" w:eastAsia="zh-CN"/>
        </w:rPr>
        <w:t>附图1 项目地理位置图</w:t>
      </w:r>
    </w:p>
    <w:p w14:paraId="02207A55">
      <w:pPr>
        <w:jc w:val="center"/>
        <w:rPr>
          <w:rFonts w:hint="eastAsia" w:ascii="Times New Roman" w:hAnsi="Times New Roman" w:eastAsia="黑体" w:cs="Times New Roman"/>
          <w:b/>
          <w:bCs/>
          <w:lang w:val="en-US" w:eastAsia="zh-CN"/>
        </w:rPr>
      </w:pPr>
    </w:p>
    <w:p w14:paraId="599B0C5C">
      <w:pPr>
        <w:jc w:val="center"/>
        <w:rPr>
          <w:rFonts w:hint="eastAsia" w:ascii="Times New Roman" w:hAnsi="Times New Roman" w:eastAsia="黑体" w:cs="Times New Roman"/>
          <w:b/>
          <w:bCs/>
          <w:lang w:val="en-US" w:eastAsia="zh-CN"/>
        </w:rPr>
      </w:pPr>
      <w:r>
        <w:rPr>
          <w:sz w:val="21"/>
        </w:rPr>
        <mc:AlternateContent>
          <mc:Choice Requires="wpg">
            <w:drawing>
              <wp:anchor distT="0" distB="0" distL="114300" distR="114300" simplePos="0" relativeHeight="251671552" behindDoc="0" locked="0" layoutInCell="1" allowOverlap="1">
                <wp:simplePos x="0" y="0"/>
                <wp:positionH relativeFrom="column">
                  <wp:posOffset>3128010</wp:posOffset>
                </wp:positionH>
                <wp:positionV relativeFrom="paragraph">
                  <wp:posOffset>488950</wp:posOffset>
                </wp:positionV>
                <wp:extent cx="1506220" cy="1152525"/>
                <wp:effectExtent l="12065" t="5080" r="5715" b="23495"/>
                <wp:wrapNone/>
                <wp:docPr id="38" name="组合 38"/>
                <wp:cNvGraphicFramePr/>
                <a:graphic xmlns:a="http://schemas.openxmlformats.org/drawingml/2006/main">
                  <a:graphicData uri="http://schemas.microsoft.com/office/word/2010/wordprocessingGroup">
                    <wpg:wgp>
                      <wpg:cNvGrpSpPr/>
                      <wpg:grpSpPr>
                        <a:xfrm flipV="1">
                          <a:off x="0" y="0"/>
                          <a:ext cx="1506208" cy="1152680"/>
                          <a:chOff x="14691" y="6904"/>
                          <a:chExt cx="1445" cy="1034"/>
                        </a:xfrm>
                      </wpg:grpSpPr>
                      <wps:wsp>
                        <wps:cNvPr id="39" name="圆角矩形标注 8"/>
                        <wps:cNvSpPr/>
                        <wps:spPr>
                          <a:xfrm>
                            <a:off x="14758" y="7296"/>
                            <a:ext cx="1378" cy="642"/>
                          </a:xfrm>
                          <a:prstGeom prst="wedgeRoundRectCallout">
                            <a:avLst>
                              <a:gd name="adj1" fmla="val -47375"/>
                              <a:gd name="adj2" fmla="val -94278"/>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3E2D89D1">
                              <w:pPr>
                                <w:jc w:val="center"/>
                                <w:rPr>
                                  <w:rFonts w:hint="eastAsia"/>
                                </w:rPr>
                              </w:pPr>
                              <w:r>
                                <w:rPr>
                                  <w:rFonts w:hint="eastAsia"/>
                                  <w:sz w:val="32"/>
                                  <w:szCs w:val="32"/>
                                </w:rPr>
                                <w:t>本项目</w:t>
                              </w:r>
                            </w:p>
                          </w:txbxContent>
                        </wps:txbx>
                        <wps:bodyPr upright="1"/>
                      </wps:wsp>
                      <wps:wsp>
                        <wps:cNvPr id="40" name="任意多边形 9"/>
                        <wps:cNvSpPr/>
                        <wps:spPr>
                          <a:xfrm>
                            <a:off x="14691" y="6904"/>
                            <a:ext cx="161" cy="183"/>
                          </a:xfrm>
                          <a:custGeom>
                            <a:avLst/>
                            <a:gdLst/>
                            <a:ahLst/>
                            <a:cxnLst>
                              <a:cxn ang="16187392">
                                <a:pos x="80" y="0"/>
                              </a:cxn>
                              <a:cxn ang="10747904">
                                <a:pos x="0" y="69"/>
                              </a:cxn>
                              <a:cxn ang="5373952">
                                <a:pos x="30" y="182"/>
                              </a:cxn>
                              <a:cxn ang="5373952">
                                <a:pos x="130" y="182"/>
                              </a:cxn>
                              <a:cxn ang="0">
                                <a:pos x="160" y="69"/>
                              </a:cxn>
                            </a:cxnLst>
                            <a:pathLst>
                              <a:path w="161" h="183">
                                <a:moveTo>
                                  <a:pt x="0" y="69"/>
                                </a:moveTo>
                                <a:lnTo>
                                  <a:pt x="61" y="69"/>
                                </a:lnTo>
                                <a:lnTo>
                                  <a:pt x="80" y="0"/>
                                </a:lnTo>
                                <a:lnTo>
                                  <a:pt x="99" y="69"/>
                                </a:lnTo>
                                <a:lnTo>
                                  <a:pt x="160" y="69"/>
                                </a:lnTo>
                                <a:lnTo>
                                  <a:pt x="111" y="113"/>
                                </a:lnTo>
                                <a:lnTo>
                                  <a:pt x="130" y="182"/>
                                </a:lnTo>
                                <a:lnTo>
                                  <a:pt x="80" y="139"/>
                                </a:lnTo>
                                <a:lnTo>
                                  <a:pt x="30" y="182"/>
                                </a:lnTo>
                                <a:lnTo>
                                  <a:pt x="49" y="113"/>
                                </a:lnTo>
                                <a:close/>
                              </a:path>
                            </a:pathLst>
                          </a:custGeom>
                          <a:solidFill>
                            <a:srgbClr val="FF0000"/>
                          </a:solidFill>
                          <a:ln w="9525" cap="flat" cmpd="sng">
                            <a:solidFill>
                              <a:srgbClr val="FF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flip:y;margin-left:246.3pt;margin-top:38.5pt;height:90.75pt;width:118.6pt;z-index:251671552;mso-width-relative:page;mso-height-relative:page;" coordorigin="14691,6904" coordsize="1445,1034" o:gfxdata="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">
                <o:lock v:ext="edit" aspectratio="f"/>
                <v:shape id="圆角矩形标注 8" o:spid="_x0000_s1026" o:spt="62" type="#_x0000_t62" style="position:absolute;left:14758;top:7296;height:642;width:1378;" fillcolor="#FFFFFF" filled="t" stroked="t" coordsize="21600,21600" o:gfxdata="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8sN68AAAA&#10;2wAAAA8AAAAAAAAAAQAgAAAAIgAAAGRycy9kb3ducmV2LnhtbFBLAQIUABQAAAAIAIdO4kAzLwWe&#10;OwAAADkAAAAQAAAAAAAAAAEAIAAAAAsBAABkcnMvc2hhcGV4bWwueG1sUEsFBgAAAAAGAAYAWwEA&#10;ALUDAAAAAA==&#10;" adj="567,-9564,14400">
                  <v:fill on="t" focussize="0,0"/>
                  <v:stroke color="#000000" joinstyle="miter"/>
                  <v:imagedata o:title=""/>
                  <o:lock v:ext="edit" aspectratio="f"/>
                  <v:textbox>
                    <w:txbxContent>
                      <w:p w14:paraId="3E2D89D1">
                        <w:pPr>
                          <w:jc w:val="center"/>
                          <w:rPr>
                            <w:rFonts w:hint="eastAsia"/>
                          </w:rPr>
                        </w:pPr>
                        <w:r>
                          <w:rPr>
                            <w:rFonts w:hint="eastAsia"/>
                            <w:sz w:val="32"/>
                            <w:szCs w:val="32"/>
                          </w:rPr>
                          <w:t>本项目</w:t>
                        </w:r>
                      </w:p>
                    </w:txbxContent>
                  </v:textbox>
                </v:shape>
                <v:shape id="任意多边形 9" o:spid="_x0000_s1026" o:spt="100" style="position:absolute;left:14691;top:6904;height:183;width:161;" fillcolor="#FF0000" filled="t" stroked="t" coordsize="161,183" o:gfxdata="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2sDAC2AAAA2wAAAA8A&#10;AAAAAAAAAQAgAAAAIgAAAGRycy9kb3ducmV2LnhtbFBLAQIUABQAAAAIAIdO4kAzLwWeOwAAADkA&#10;AAAQAAAAAAAAAAEAIAAAAAUBAABkcnMvc2hhcGV4bWwueG1sUEsFBgAAAAAGAAYAWwEAAK8DAAAA&#10;AA==&#10;" path="m0,69l61,69,80,0,99,69,160,69,111,113,130,182,80,139,30,182,49,113xe">
                  <v:path o:connectlocs="80,0;0,69;30,182;130,182;160,69" o:connectangles="247,164,82,82,0"/>
                  <v:fill on="t" focussize="0,0"/>
                  <v:stroke color="#FF0000" joinstyle="miter"/>
                  <v:imagedata o:title=""/>
                  <o:lock v:ext="edit" aspectratio="f"/>
                </v:shape>
              </v:group>
            </w:pict>
          </mc:Fallback>
        </mc:AlternateContent>
      </w:r>
      <w:r>
        <w:rPr>
          <w:rFonts w:hint="eastAsia" w:ascii="Times New Roman" w:hAnsi="Times New Roman" w:eastAsia="黑体" w:cs="Times New Roman"/>
          <w:b/>
          <w:bCs/>
          <w:lang w:val="en-US" w:eastAsia="zh-CN"/>
        </w:rPr>
        <w:drawing>
          <wp:inline distT="0" distB="0" distL="114300" distR="114300">
            <wp:extent cx="5620385" cy="7452995"/>
            <wp:effectExtent l="0" t="0" r="18415" b="14605"/>
            <wp:docPr id="36" name="图片 36" descr="微信图片_2024040111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40401115842"/>
                    <pic:cNvPicPr>
                      <a:picLocks noChangeAspect="1"/>
                    </pic:cNvPicPr>
                  </pic:nvPicPr>
                  <pic:blipFill>
                    <a:blip r:embed="rId27"/>
                    <a:stretch>
                      <a:fillRect/>
                    </a:stretch>
                  </pic:blipFill>
                  <pic:spPr>
                    <a:xfrm>
                      <a:off x="0" y="0"/>
                      <a:ext cx="5620385" cy="7452995"/>
                    </a:xfrm>
                    <a:prstGeom prst="rect">
                      <a:avLst/>
                    </a:prstGeom>
                  </pic:spPr>
                </pic:pic>
              </a:graphicData>
            </a:graphic>
          </wp:inline>
        </w:drawing>
      </w:r>
    </w:p>
    <w:p w14:paraId="3466B7CA">
      <w:pPr>
        <w:jc w:val="center"/>
        <w:rPr>
          <w:rFonts w:hint="eastAsia" w:ascii="Times New Roman" w:hAnsi="Times New Roman" w:eastAsia="黑体" w:cs="Times New Roman"/>
          <w:b/>
          <w:bCs/>
          <w:lang w:val="en-US" w:eastAsia="zh-CN"/>
        </w:rPr>
      </w:pPr>
    </w:p>
    <w:p w14:paraId="469F1CB3">
      <w:pPr>
        <w:jc w:val="center"/>
        <w:rPr>
          <w:rFonts w:hint="default" w:ascii="Times New Roman" w:hAnsi="Times New Roman" w:eastAsia="黑体" w:cs="Times New Roman"/>
          <w:b/>
          <w:bCs/>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imes New Roman" w:hAnsi="Times New Roman" w:eastAsia="黑体" w:cs="Times New Roman"/>
          <w:b/>
          <w:bCs/>
          <w:lang w:val="en-US" w:eastAsia="zh-CN"/>
        </w:rPr>
        <w:t>附图</w:t>
      </w:r>
      <w:r>
        <w:rPr>
          <w:rFonts w:hint="eastAsia" w:eastAsia="黑体" w:cs="Times New Roman"/>
          <w:b/>
          <w:bCs/>
          <w:lang w:val="en-US" w:eastAsia="zh-CN"/>
        </w:rPr>
        <w:t>2</w:t>
      </w:r>
      <w:r>
        <w:rPr>
          <w:rFonts w:hint="eastAsia" w:ascii="Times New Roman" w:hAnsi="Times New Roman" w:eastAsia="黑体" w:cs="Times New Roman"/>
          <w:b/>
          <w:bCs/>
          <w:lang w:val="en-US" w:eastAsia="zh-CN"/>
        </w:rPr>
        <w:t xml:space="preserve"> </w:t>
      </w:r>
      <w:r>
        <w:rPr>
          <w:rFonts w:hint="eastAsia" w:eastAsia="黑体" w:cs="Times New Roman"/>
          <w:b/>
          <w:bCs/>
          <w:lang w:val="en-US" w:eastAsia="zh-CN"/>
        </w:rPr>
        <w:t>项目在南乐县产业集聚区产业布局规划图上的位置</w:t>
      </w:r>
    </w:p>
    <w:p w14:paraId="7ACF0240">
      <w:r>
        <w:rPr>
          <w:sz w:val="24"/>
        </w:rPr>
        <mc:AlternateContent>
          <mc:Choice Requires="wps">
            <w:drawing>
              <wp:anchor distT="0" distB="0" distL="114300" distR="114300" simplePos="0" relativeHeight="251679744" behindDoc="0" locked="0" layoutInCell="1" allowOverlap="1">
                <wp:simplePos x="0" y="0"/>
                <wp:positionH relativeFrom="column">
                  <wp:posOffset>6235065</wp:posOffset>
                </wp:positionH>
                <wp:positionV relativeFrom="paragraph">
                  <wp:posOffset>4912995</wp:posOffset>
                </wp:positionV>
                <wp:extent cx="619760" cy="247650"/>
                <wp:effectExtent l="0" t="0" r="0" b="0"/>
                <wp:wrapNone/>
                <wp:docPr id="55" name="文本框 55"/>
                <wp:cNvGraphicFramePr/>
                <a:graphic xmlns:a="http://schemas.openxmlformats.org/drawingml/2006/main">
                  <a:graphicData uri="http://schemas.microsoft.com/office/word/2010/wordprocessingShape">
                    <wps:wsp>
                      <wps:cNvSpPr txBox="1"/>
                      <wps:spPr>
                        <a:xfrm>
                          <a:off x="7278370" y="6189345"/>
                          <a:ext cx="61976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9EDF38">
                            <w:pPr>
                              <w:rPr>
                                <w:rFonts w:hint="eastAsia" w:eastAsia="宋体"/>
                                <w:lang w:val="en-US" w:eastAsia="zh-CN"/>
                              </w:rPr>
                            </w:pPr>
                            <w:r>
                              <w:rPr>
                                <w:rFonts w:hint="eastAsia"/>
                                <w:b/>
                                <w:bCs/>
                                <w:sz w:val="16"/>
                                <w:szCs w:val="16"/>
                                <w:lang w:val="en-US" w:eastAsia="zh-CN"/>
                              </w:rPr>
                              <w:t>比例尺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0.95pt;margin-top:386.85pt;height:19.5pt;width:48.8pt;z-index:251679744;mso-width-relative:page;mso-height-relative:page;" filled="f" stroked="f" coordsize="21600,21600" o:gfxdata="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DRqHtwAAAAMAQAADwAAAAAA&#10;AAABACAAAAAiAAAAZHJzL2Rvd25yZXYueG1sUEsBAhQAFAAAAAgAh07iQLQzidpIAgAAcwQAAA4A&#10;AAAAAAAAAQAgAAAAKwEAAGRycy9lMm9Eb2MueG1sUEsFBgAAAAAGAAYAWQEAAOUFAAAAAA==&#10;">
                <v:fill on="f" focussize="0,0"/>
                <v:stroke on="f" weight="0.5pt"/>
                <v:imagedata o:title=""/>
                <o:lock v:ext="edit" aspectratio="f"/>
                <v:textbox>
                  <w:txbxContent>
                    <w:p w14:paraId="559EDF38">
                      <w:pPr>
                        <w:rPr>
                          <w:rFonts w:hint="eastAsia" w:eastAsia="宋体"/>
                          <w:lang w:val="en-US" w:eastAsia="zh-CN"/>
                        </w:rPr>
                      </w:pPr>
                      <w:r>
                        <w:rPr>
                          <w:rFonts w:hint="eastAsia"/>
                          <w:b/>
                          <w:bCs/>
                          <w:sz w:val="16"/>
                          <w:szCs w:val="16"/>
                          <w:lang w:val="en-US" w:eastAsia="zh-CN"/>
                        </w:rPr>
                        <w:t>比例尺</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8434705</wp:posOffset>
                </wp:positionH>
                <wp:positionV relativeFrom="paragraph">
                  <wp:posOffset>106045</wp:posOffset>
                </wp:positionV>
                <wp:extent cx="914400" cy="9144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D30764">
                            <w:pPr>
                              <w:rPr>
                                <w:rFonts w:hint="default" w:eastAsia="宋体"/>
                                <w:lang w:val="en-US" w:eastAsia="zh-CN"/>
                              </w:rPr>
                            </w:pPr>
                            <w:r>
                              <w:rPr>
                                <w:rFonts w:hint="eastAsia" w:ascii="宋体" w:hAnsi="宋体" w:eastAsia="宋体" w:cs="宋体"/>
                                <w:b/>
                                <w:bCs/>
                                <w:color w:val="C00000"/>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4.15pt;margin-top:8.35pt;height:72pt;width:72pt;z-index:251675648;mso-width-relative:page;mso-height-relative:page;" filled="f" stroked="f" coordsize="21600,21600" o:gfxdata="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4aIxdoAAAAMAQAADwAAAAAAAAABACAAAAAiAAAAZHJzL2Rvd25y&#10;ZXYueG1sUEsBAhQAFAAAAAgAh07iQMP0gII1AgAAZwQAAA4AAAAAAAAAAQAgAAAAKQEAAGRycy9l&#10;Mm9Eb2MueG1sUEsFBgAAAAAGAAYAWQEAANAFAAAAAA==&#10;">
                <v:fill on="f" focussize="0,0"/>
                <v:stroke on="f" weight="0.5pt"/>
                <v:imagedata o:title=""/>
                <o:lock v:ext="edit" aspectratio="f"/>
                <v:textbox>
                  <w:txbxContent>
                    <w:p w14:paraId="11D30764">
                      <w:pPr>
                        <w:rPr>
                          <w:rFonts w:hint="default" w:eastAsia="宋体"/>
                          <w:lang w:val="en-US" w:eastAsia="zh-CN"/>
                        </w:rPr>
                      </w:pPr>
                      <w:r>
                        <w:rPr>
                          <w:rFonts w:hint="eastAsia" w:ascii="宋体" w:hAnsi="宋体" w:eastAsia="宋体" w:cs="宋体"/>
                          <w:b/>
                          <w:bCs/>
                          <w:color w:val="C00000"/>
                          <w:lang w:val="en-US" w:eastAsia="zh-CN"/>
                        </w:rPr>
                        <w:t>北</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8604885</wp:posOffset>
                </wp:positionH>
                <wp:positionV relativeFrom="paragraph">
                  <wp:posOffset>377825</wp:posOffset>
                </wp:positionV>
                <wp:extent cx="0" cy="708660"/>
                <wp:effectExtent l="64135" t="0" r="73025" b="7620"/>
                <wp:wrapNone/>
                <wp:docPr id="50" name="直接箭头连接符 50"/>
                <wp:cNvGraphicFramePr/>
                <a:graphic xmlns:a="http://schemas.openxmlformats.org/drawingml/2006/main">
                  <a:graphicData uri="http://schemas.microsoft.com/office/word/2010/wordprocessingShape">
                    <wps:wsp>
                      <wps:cNvCnPr/>
                      <wps:spPr>
                        <a:xfrm flipV="1">
                          <a:off x="0" y="0"/>
                          <a:ext cx="0" cy="708660"/>
                        </a:xfrm>
                        <a:prstGeom prst="straightConnector1">
                          <a:avLst/>
                        </a:prstGeom>
                        <a:ln w="28575">
                          <a:solidFill>
                            <a:srgbClr val="C0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677.55pt;margin-top:29.75pt;height:55.8pt;width:0pt;z-index:251674624;mso-width-relative:page;mso-height-relative:page;" filled="f" stroked="t" coordsize="21600,21600" o:gfxdata="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NKBvHXAAAADAEAAA8AAAAAAAAAAQAgAAAA&#10;IgAAAGRycy9kb3ducmV2LnhtbFBLAQIUABQAAAAIAIdO4kCXRQ1WDAIAAOoDAAAOAAAAAAAAAAEA&#10;IAAAACYBAABkcnMvZTJvRG9jLnhtbFBLBQYAAAAABgAGAFkBAACkBQAAAAA=&#10;">
                <v:fill on="f" focussize="0,0"/>
                <v:stroke weight="2.25pt" color="#C0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2900045</wp:posOffset>
                </wp:positionH>
                <wp:positionV relativeFrom="paragraph">
                  <wp:posOffset>1610360</wp:posOffset>
                </wp:positionV>
                <wp:extent cx="741045" cy="29146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74104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CF83C">
                            <w:pPr>
                              <w:rPr>
                                <w:rFonts w:hint="default" w:eastAsia="宋体"/>
                                <w:b/>
                                <w:bCs/>
                                <w:color w:val="000000" w:themeColor="text1"/>
                                <w:highlight w:val="red"/>
                                <w:lang w:val="en-US" w:eastAsia="zh-CN"/>
                                <w14:textFill>
                                  <w14:solidFill>
                                    <w14:schemeClr w14:val="tx1"/>
                                  </w14:solidFill>
                                </w14:textFill>
                              </w:rPr>
                            </w:pPr>
                            <w:r>
                              <w:rPr>
                                <w:rFonts w:hint="eastAsia"/>
                                <w:b/>
                                <w:bCs/>
                                <w:color w:val="000000" w:themeColor="text1"/>
                                <w:highlight w:val="red"/>
                                <w:lang w:val="en-US" w:eastAsia="zh-CN"/>
                                <w14:textFill>
                                  <w14:solidFill>
                                    <w14:schemeClr w14:val="tx1"/>
                                  </w14:solidFill>
                                </w14:textFill>
                              </w:rPr>
                              <w:t>255m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8.35pt;margin-top:126.8pt;height:22.95pt;width:58.35pt;z-index:251670528;mso-width-relative:page;mso-height-relative:page;" filled="f" stroked="f" coordsize="21600,21600" o:gfxdata="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0VsmN0AAAALAQAADwAAAAAAAAABACAAAAAiAAAA&#10;ZHJzL2Rvd25yZXYueG1sUEsBAhQAFAAAAAgAh07iQHNyrKg7AgAAZwQAAA4AAAAAAAAAAQAgAAAA&#10;LAEAAGRycy9lMm9Eb2MueG1sUEsFBgAAAAAGAAYAWQEAANkFAAAAAA==&#10;">
                <v:fill on="f" focussize="0,0"/>
                <v:stroke on="f" weight="0.5pt"/>
                <v:imagedata o:title=""/>
                <o:lock v:ext="edit" aspectratio="f"/>
                <v:textbox>
                  <w:txbxContent>
                    <w:p w14:paraId="5EBCF83C">
                      <w:pPr>
                        <w:rPr>
                          <w:rFonts w:hint="default" w:eastAsia="宋体"/>
                          <w:b/>
                          <w:bCs/>
                          <w:color w:val="000000" w:themeColor="text1"/>
                          <w:highlight w:val="red"/>
                          <w:lang w:val="en-US" w:eastAsia="zh-CN"/>
                          <w14:textFill>
                            <w14:solidFill>
                              <w14:schemeClr w14:val="tx1"/>
                            </w14:solidFill>
                          </w14:textFill>
                        </w:rPr>
                      </w:pPr>
                      <w:r>
                        <w:rPr>
                          <w:rFonts w:hint="eastAsia"/>
                          <w:b/>
                          <w:bCs/>
                          <w:color w:val="000000" w:themeColor="text1"/>
                          <w:highlight w:val="red"/>
                          <w:lang w:val="en-US" w:eastAsia="zh-CN"/>
                          <w14:textFill>
                            <w14:solidFill>
                              <w14:schemeClr w14:val="tx1"/>
                            </w14:solidFill>
                          </w14:textFill>
                        </w:rPr>
                        <w:t>255m</w:t>
                      </w:r>
                    </w:p>
                  </w:txbxContent>
                </v:textbox>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2712720</wp:posOffset>
                </wp:positionH>
                <wp:positionV relativeFrom="paragraph">
                  <wp:posOffset>1864360</wp:posOffset>
                </wp:positionV>
                <wp:extent cx="940435" cy="56515"/>
                <wp:effectExtent l="0" t="76200" r="12065" b="38735"/>
                <wp:wrapNone/>
                <wp:docPr id="18" name="直接箭头连接符 18"/>
                <wp:cNvGraphicFramePr/>
                <a:graphic xmlns:a="http://schemas.openxmlformats.org/drawingml/2006/main">
                  <a:graphicData uri="http://schemas.microsoft.com/office/word/2010/wordprocessingShape">
                    <wps:wsp>
                      <wps:cNvCnPr/>
                      <wps:spPr>
                        <a:xfrm flipH="1" flipV="1">
                          <a:off x="0" y="0"/>
                          <a:ext cx="940435" cy="56515"/>
                        </a:xfrm>
                        <a:prstGeom prst="straightConnector1">
                          <a:avLst/>
                        </a:prstGeom>
                        <a:ln w="38100">
                          <a:solidFill>
                            <a:srgbClr val="C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13.6pt;margin-top:146.8pt;height:4.45pt;width:74.05pt;z-index:251669504;mso-width-relative:page;mso-height-relative:page;" filled="f" stroked="t" coordsize="21600,21600" o:gfxdata="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9VGrZdsAAAALAQAA&#10;DwAAAAAAAAABACAAAAAiAAAAZHJzL2Rvd25yZXYueG1sUEsBAhQAFAAAAAgAh07iQF7qDWkWAgAA&#10;+AMAAA4AAAAAAAAAAQAgAAAAKgEAAGRycy9lMm9Eb2MueG1sUEsFBgAAAAAGAAYAWQEAALIFAAAA&#10;AA==&#10;">
                <v:fill on="f" focussize="0,0"/>
                <v:stroke weight="3pt" color="#C0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2210435</wp:posOffset>
                </wp:positionH>
                <wp:positionV relativeFrom="paragraph">
                  <wp:posOffset>3034030</wp:posOffset>
                </wp:positionV>
                <wp:extent cx="741045" cy="291465"/>
                <wp:effectExtent l="0" t="0" r="0" b="0"/>
                <wp:wrapNone/>
                <wp:docPr id="17" name="文本框 17"/>
                <wp:cNvGraphicFramePr/>
                <a:graphic xmlns:a="http://schemas.openxmlformats.org/drawingml/2006/main">
                  <a:graphicData uri="http://schemas.microsoft.com/office/word/2010/wordprocessingShape">
                    <wps:wsp>
                      <wps:cNvSpPr txBox="1"/>
                      <wps:spPr>
                        <a:xfrm>
                          <a:off x="3332480" y="4514215"/>
                          <a:ext cx="741045" cy="2914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3086FE">
                            <w:pPr>
                              <w:rPr>
                                <w:rFonts w:hint="default" w:eastAsia="宋体"/>
                                <w:b/>
                                <w:bCs/>
                                <w:color w:val="000000" w:themeColor="text1"/>
                                <w:highlight w:val="red"/>
                                <w:lang w:val="en-US" w:eastAsia="zh-CN"/>
                                <w14:textFill>
                                  <w14:solidFill>
                                    <w14:schemeClr w14:val="tx1"/>
                                  </w14:solidFill>
                                </w14:textFill>
                              </w:rPr>
                            </w:pPr>
                            <w:r>
                              <w:rPr>
                                <w:rFonts w:hint="eastAsia"/>
                                <w:b/>
                                <w:bCs/>
                                <w:color w:val="000000" w:themeColor="text1"/>
                                <w:highlight w:val="red"/>
                                <w:lang w:val="en-US" w:eastAsia="zh-CN"/>
                                <w14:textFill>
                                  <w14:solidFill>
                                    <w14:schemeClr w14:val="tx1"/>
                                  </w14:solidFill>
                                </w14:textFill>
                              </w:rPr>
                              <w:t>580m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4.05pt;margin-top:238.9pt;height:22.95pt;width:58.35pt;z-index:251668480;mso-width-relative:page;mso-height-relative:page;" filled="f" stroked="f" coordsize="21600,21600" o:gfxdata="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SwiMHdwAAAALAQAADwAAAAAA&#10;AAABACAAAAAiAAAAZHJzL2Rvd25yZXYueG1sUEsBAhQAFAAAAAgAh07iQKRapoJIAgAAcwQAAA4A&#10;AAAAAAAAAQAgAAAAKwEAAGRycy9lMm9Eb2MueG1sUEsFBgAAAAAGAAYAWQEAAOUFAAAAAA==&#10;">
                <v:fill on="f" focussize="0,0"/>
                <v:stroke on="f" weight="0.5pt"/>
                <v:imagedata o:title=""/>
                <o:lock v:ext="edit" aspectratio="f"/>
                <v:textbox>
                  <w:txbxContent>
                    <w:p w14:paraId="1A3086FE">
                      <w:pPr>
                        <w:rPr>
                          <w:rFonts w:hint="default" w:eastAsia="宋体"/>
                          <w:b/>
                          <w:bCs/>
                          <w:color w:val="000000" w:themeColor="text1"/>
                          <w:highlight w:val="red"/>
                          <w:lang w:val="en-US" w:eastAsia="zh-CN"/>
                          <w14:textFill>
                            <w14:solidFill>
                              <w14:schemeClr w14:val="tx1"/>
                            </w14:solidFill>
                          </w14:textFill>
                        </w:rPr>
                      </w:pPr>
                      <w:r>
                        <w:rPr>
                          <w:rFonts w:hint="eastAsia"/>
                          <w:b/>
                          <w:bCs/>
                          <w:color w:val="000000" w:themeColor="text1"/>
                          <w:highlight w:val="red"/>
                          <w:lang w:val="en-US" w:eastAsia="zh-CN"/>
                          <w14:textFill>
                            <w14:solidFill>
                              <w14:schemeClr w14:val="tx1"/>
                            </w14:solidFill>
                          </w14:textFill>
                        </w:rPr>
                        <w:t>580m</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2080895</wp:posOffset>
                </wp:positionH>
                <wp:positionV relativeFrom="paragraph">
                  <wp:posOffset>2236470</wp:posOffset>
                </wp:positionV>
                <wp:extent cx="1532255" cy="1775460"/>
                <wp:effectExtent l="0" t="12700" r="29845" b="2540"/>
                <wp:wrapNone/>
                <wp:docPr id="16" name="直接箭头连接符 16"/>
                <wp:cNvGraphicFramePr/>
                <a:graphic xmlns:a="http://schemas.openxmlformats.org/drawingml/2006/main">
                  <a:graphicData uri="http://schemas.microsoft.com/office/word/2010/wordprocessingShape">
                    <wps:wsp>
                      <wps:cNvCnPr/>
                      <wps:spPr>
                        <a:xfrm flipH="1">
                          <a:off x="2995295" y="3328035"/>
                          <a:ext cx="1532255" cy="1775460"/>
                        </a:xfrm>
                        <a:prstGeom prst="straightConnector1">
                          <a:avLst/>
                        </a:prstGeom>
                        <a:ln w="38100">
                          <a:solidFill>
                            <a:srgbClr val="C000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163.85pt;margin-top:176.1pt;height:139.8pt;width:120.65pt;z-index:251667456;mso-width-relative:page;mso-height-relative:page;" filled="f" stroked="t" coordsize="21600,21600" o:gfxdata="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n&#10;ptrq2QAAAAsBAAAPAAAAAAAAAAEAIAAAACIAAABkcnMvZG93bnJldi54bWxQSwECFAAUAAAACACH&#10;TuJAXh2C4CMCAAD9AwAADgAAAAAAAAABACAAAAAoAQAAZHJzL2Uyb0RvYy54bWxQSwUGAAAAAAYA&#10;BgBZAQAAvQUAAAAA&#10;">
                <v:fill on="f" focussize="0,0"/>
                <v:stroke weight="3pt" color="#C00000 [3204]" miterlimit="8" joinstyle="miter" endarrow="open"/>
                <v:imagedata o:title=""/>
                <o:lock v:ext="edit" aspectratio="f"/>
              </v:shape>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762000</wp:posOffset>
                </wp:positionH>
                <wp:positionV relativeFrom="paragraph">
                  <wp:posOffset>1486535</wp:posOffset>
                </wp:positionV>
                <wp:extent cx="1828800" cy="1145540"/>
                <wp:effectExtent l="92075" t="143510" r="98425" b="158750"/>
                <wp:wrapNone/>
                <wp:docPr id="5" name="矩形 5"/>
                <wp:cNvGraphicFramePr/>
                <a:graphic xmlns:a="http://schemas.openxmlformats.org/drawingml/2006/main">
                  <a:graphicData uri="http://schemas.microsoft.com/office/word/2010/wordprocessingShape">
                    <wps:wsp>
                      <wps:cNvSpPr/>
                      <wps:spPr>
                        <a:xfrm rot="480000">
                          <a:off x="0" y="0"/>
                          <a:ext cx="1828800" cy="1145540"/>
                        </a:xfrm>
                        <a:prstGeom prst="rect">
                          <a:avLst/>
                        </a:prstGeom>
                        <a:noFill/>
                        <a:ln w="3810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92D336F">
                            <w:pPr>
                              <w:jc w:val="center"/>
                              <w:rPr>
                                <w:rFonts w:hint="eastAsia" w:eastAsia="宋体"/>
                                <w:sz w:val="22"/>
                                <w:szCs w:val="22"/>
                                <w:highlight w:val="yellow"/>
                                <w:lang w:val="en-US" w:eastAsia="zh-CN"/>
                              </w:rPr>
                            </w:pPr>
                            <w:r>
                              <w:rPr>
                                <w:rFonts w:hint="eastAsia" w:ascii="黑体" w:hAnsi="黑体" w:eastAsia="黑体" w:cs="黑体"/>
                                <w:color w:val="000000" w:themeColor="text1"/>
                                <w:sz w:val="24"/>
                                <w:szCs w:val="24"/>
                                <w:highlight w:val="yellow"/>
                                <w:lang w:val="en-US" w:eastAsia="zh-CN"/>
                                <w14:textFill>
                                  <w14:solidFill>
                                    <w14:schemeClr w14:val="tx1"/>
                                  </w14:solidFill>
                                </w14:textFill>
                              </w:rPr>
                              <w:t>濮阳华信陈氏饮料有限公司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0pt;margin-top:117.05pt;height:90.2pt;width:144pt;rotation:524288f;z-index:251663360;v-text-anchor:middle;mso-width-relative:page;mso-height-relative:page;" filled="f" stroked="t" coordsize="21600,21600" o:gfxdata="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8lwBrWAAAACwEAAA8AAAAAAAAAAQAgAAAAIgAAAGRy&#10;cy9kb3ducmV2LnhtbFBLAQIUABQAAAAIAIdO4kB+RmjHeQIAAOQEAAAOAAAAAAAAAAEAIAAAACUB&#10;AABkcnMvZTJvRG9jLnhtbFBLBQYAAAAABgAGAFkBAAAQBgAAAAA=&#10;">
                <v:fill on="f" focussize="0,0"/>
                <v:stroke weight="3pt" color="#F2BA02 [3206]" miterlimit="8" joinstyle="miter"/>
                <v:imagedata o:title=""/>
                <o:lock v:ext="edit" aspectratio="f"/>
                <v:textbox>
                  <w:txbxContent>
                    <w:p w14:paraId="392D336F">
                      <w:pPr>
                        <w:jc w:val="center"/>
                        <w:rPr>
                          <w:rFonts w:hint="eastAsia" w:eastAsia="宋体"/>
                          <w:sz w:val="22"/>
                          <w:szCs w:val="22"/>
                          <w:highlight w:val="yellow"/>
                          <w:lang w:val="en-US" w:eastAsia="zh-CN"/>
                        </w:rPr>
                      </w:pPr>
                      <w:r>
                        <w:rPr>
                          <w:rFonts w:hint="eastAsia" w:ascii="黑体" w:hAnsi="黑体" w:eastAsia="黑体" w:cs="黑体"/>
                          <w:color w:val="000000" w:themeColor="text1"/>
                          <w:sz w:val="24"/>
                          <w:szCs w:val="24"/>
                          <w:highlight w:val="yellow"/>
                          <w:lang w:val="en-US" w:eastAsia="zh-CN"/>
                          <w14:textFill>
                            <w14:solidFill>
                              <w14:schemeClr w14:val="tx1"/>
                            </w14:solidFill>
                          </w14:textFill>
                        </w:rPr>
                        <w:t>濮阳华信陈氏饮料有限公司</w:t>
                      </w:r>
                    </w:p>
                  </w:txbxContent>
                </v:textbox>
              </v: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123825</wp:posOffset>
                </wp:positionH>
                <wp:positionV relativeFrom="paragraph">
                  <wp:posOffset>3914775</wp:posOffset>
                </wp:positionV>
                <wp:extent cx="1884045" cy="814070"/>
                <wp:effectExtent l="69215" t="148590" r="85090" b="161290"/>
                <wp:wrapNone/>
                <wp:docPr id="15" name="矩形 15"/>
                <wp:cNvGraphicFramePr/>
                <a:graphic xmlns:a="http://schemas.openxmlformats.org/drawingml/2006/main">
                  <a:graphicData uri="http://schemas.microsoft.com/office/word/2010/wordprocessingShape">
                    <wps:wsp>
                      <wps:cNvSpPr/>
                      <wps:spPr>
                        <a:xfrm rot="480000">
                          <a:off x="0" y="0"/>
                          <a:ext cx="1884045" cy="814070"/>
                        </a:xfrm>
                        <a:prstGeom prst="rect">
                          <a:avLst/>
                        </a:prstGeom>
                        <a:noFill/>
                        <a:ln w="3810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C041CFD">
                            <w:pPr>
                              <w:jc w:val="center"/>
                              <w:rPr>
                                <w:rFonts w:hint="eastAsia" w:ascii="黑体" w:hAnsi="黑体" w:eastAsia="黑体" w:cs="黑体"/>
                                <w:color w:val="000000" w:themeColor="text1"/>
                                <w:highlight w:val="yellow"/>
                                <w:lang w:val="en-US" w:eastAsia="zh-CN"/>
                                <w14:textFill>
                                  <w14:solidFill>
                                    <w14:schemeClr w14:val="tx1"/>
                                  </w14:solidFill>
                                </w14:textFill>
                              </w:rPr>
                            </w:pPr>
                            <w:r>
                              <w:rPr>
                                <w:rFonts w:hint="eastAsia" w:ascii="黑体" w:hAnsi="黑体" w:eastAsia="黑体" w:cs="黑体"/>
                                <w:color w:val="000000" w:themeColor="text1"/>
                                <w:highlight w:val="yellow"/>
                                <w:lang w:val="en-US" w:eastAsia="zh-CN"/>
                                <w14:textFill>
                                  <w14:solidFill>
                                    <w14:schemeClr w14:val="tx1"/>
                                  </w14:solidFill>
                                </w14:textFill>
                              </w:rPr>
                              <w:t>南乐县公共租赁房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5pt;margin-top:308.25pt;height:64.1pt;width:148.35pt;rotation:524288f;z-index:251666432;v-text-anchor:middle;mso-width-relative:page;mso-height-relative:page;" filled="f" stroked="t" coordsize="21600,21600" o:gfxdata="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3PLfdYAAAAKAQAADwAAAAAAAAABACAAAAAiAAAA&#10;ZHJzL2Rvd25yZXYueG1sUEsBAhQAFAAAAAgAh07iQIP2RCh7AgAA5QQAAA4AAAAAAAAAAQAgAAAA&#10;JQEAAGRycy9lMm9Eb2MueG1sUEsFBgAAAAAGAAYAWQEAABIGAAAAAA==&#10;">
                <v:fill on="f" focussize="0,0"/>
                <v:stroke weight="3pt" color="#F2BA02 [3206]" miterlimit="8" joinstyle="miter"/>
                <v:imagedata o:title=""/>
                <o:lock v:ext="edit" aspectratio="f"/>
                <v:textbox>
                  <w:txbxContent>
                    <w:p w14:paraId="6C041CFD">
                      <w:pPr>
                        <w:jc w:val="center"/>
                        <w:rPr>
                          <w:rFonts w:hint="eastAsia" w:ascii="黑体" w:hAnsi="黑体" w:eastAsia="黑体" w:cs="黑体"/>
                          <w:color w:val="000000" w:themeColor="text1"/>
                          <w:highlight w:val="yellow"/>
                          <w:lang w:val="en-US" w:eastAsia="zh-CN"/>
                          <w14:textFill>
                            <w14:solidFill>
                              <w14:schemeClr w14:val="tx1"/>
                            </w14:solidFill>
                          </w14:textFill>
                        </w:rPr>
                      </w:pPr>
                      <w:r>
                        <w:rPr>
                          <w:rFonts w:hint="eastAsia" w:ascii="黑体" w:hAnsi="黑体" w:eastAsia="黑体" w:cs="黑体"/>
                          <w:color w:val="000000" w:themeColor="text1"/>
                          <w:highlight w:val="yellow"/>
                          <w:lang w:val="en-US" w:eastAsia="zh-CN"/>
                          <w14:textFill>
                            <w14:solidFill>
                              <w14:schemeClr w14:val="tx1"/>
                            </w14:solidFill>
                          </w14:textFill>
                        </w:rPr>
                        <w:t>南乐县公共租赁房</w:t>
                      </w:r>
                    </w:p>
                  </w:txbxContent>
                </v:textbox>
              </v: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5247640</wp:posOffset>
                </wp:positionH>
                <wp:positionV relativeFrom="paragraph">
                  <wp:posOffset>2264410</wp:posOffset>
                </wp:positionV>
                <wp:extent cx="1390015" cy="814070"/>
                <wp:effectExtent l="71120" t="114300" r="81915" b="119380"/>
                <wp:wrapNone/>
                <wp:docPr id="13" name="矩形 13"/>
                <wp:cNvGraphicFramePr/>
                <a:graphic xmlns:a="http://schemas.openxmlformats.org/drawingml/2006/main">
                  <a:graphicData uri="http://schemas.microsoft.com/office/word/2010/wordprocessingShape">
                    <wps:wsp>
                      <wps:cNvSpPr/>
                      <wps:spPr>
                        <a:xfrm rot="480000">
                          <a:off x="0" y="0"/>
                          <a:ext cx="1390015" cy="814070"/>
                        </a:xfrm>
                        <a:prstGeom prst="rect">
                          <a:avLst/>
                        </a:prstGeom>
                        <a:noFill/>
                        <a:ln w="3810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3E06B00">
                            <w:pPr>
                              <w:jc w:val="center"/>
                              <w:rPr>
                                <w:rFonts w:hint="eastAsia" w:ascii="黑体" w:hAnsi="黑体" w:eastAsia="黑体" w:cs="黑体"/>
                                <w:color w:val="000000" w:themeColor="text1"/>
                                <w:highlight w:val="yellow"/>
                                <w14:textFill>
                                  <w14:solidFill>
                                    <w14:schemeClr w14:val="tx1"/>
                                  </w14:solidFill>
                                </w14:textFill>
                              </w:rPr>
                            </w:pPr>
                            <w:r>
                              <w:rPr>
                                <w:rFonts w:hint="eastAsia" w:ascii="黑体" w:hAnsi="黑体" w:eastAsia="黑体" w:cs="黑体"/>
                                <w:color w:val="000000" w:themeColor="text1"/>
                                <w:highlight w:val="yellow"/>
                                <w:lang w:val="en-US" w:eastAsia="zh-CN"/>
                                <w14:textFill>
                                  <w14:solidFill>
                                    <w14:schemeClr w14:val="tx1"/>
                                  </w14:solidFill>
                                </w14:textFill>
                              </w:rPr>
                              <w:t>星光农机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3.2pt;margin-top:178.3pt;height:64.1pt;width:109.45pt;rotation:524288f;z-index:251665408;v-text-anchor:middle;mso-width-relative:page;mso-height-relative:page;" filled="f" stroked="t" coordsize="21600,21600" o:gfxdata="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Ca6+/XAAAADAEAAA8AAAAAAAAAAQAgAAAAIgAA&#10;AGRycy9kb3ducmV2LnhtbFBLAQIUABQAAAAIAIdO4kATM6i+ewIAAOUEAAAOAAAAAAAAAAEAIAAA&#10;ACYBAABkcnMvZTJvRG9jLnhtbFBLBQYAAAAABgAGAFkBAAATBgAAAAA=&#10;">
                <v:fill on="f" focussize="0,0"/>
                <v:stroke weight="3pt" color="#F2BA02 [3206]" miterlimit="8" joinstyle="miter"/>
                <v:imagedata o:title=""/>
                <o:lock v:ext="edit" aspectratio="f"/>
                <v:textbox>
                  <w:txbxContent>
                    <w:p w14:paraId="13E06B00">
                      <w:pPr>
                        <w:jc w:val="center"/>
                        <w:rPr>
                          <w:rFonts w:hint="eastAsia" w:ascii="黑体" w:hAnsi="黑体" w:eastAsia="黑体" w:cs="黑体"/>
                          <w:color w:val="000000" w:themeColor="text1"/>
                          <w:highlight w:val="yellow"/>
                          <w14:textFill>
                            <w14:solidFill>
                              <w14:schemeClr w14:val="tx1"/>
                            </w14:solidFill>
                          </w14:textFill>
                        </w:rPr>
                      </w:pPr>
                      <w:r>
                        <w:rPr>
                          <w:rFonts w:hint="eastAsia" w:ascii="黑体" w:hAnsi="黑体" w:eastAsia="黑体" w:cs="黑体"/>
                          <w:color w:val="000000" w:themeColor="text1"/>
                          <w:highlight w:val="yellow"/>
                          <w:lang w:val="en-US" w:eastAsia="zh-CN"/>
                          <w14:textFill>
                            <w14:solidFill>
                              <w14:schemeClr w14:val="tx1"/>
                            </w14:solidFill>
                          </w14:textFill>
                        </w:rPr>
                        <w:t>星光农机</w:t>
                      </w:r>
                    </w:p>
                  </w:txbxContent>
                </v:textbox>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2765425</wp:posOffset>
                </wp:positionH>
                <wp:positionV relativeFrom="paragraph">
                  <wp:posOffset>2315210</wp:posOffset>
                </wp:positionV>
                <wp:extent cx="2302510" cy="516890"/>
                <wp:effectExtent l="46355" t="179070" r="51435" b="180340"/>
                <wp:wrapNone/>
                <wp:docPr id="6" name="矩形 6"/>
                <wp:cNvGraphicFramePr/>
                <a:graphic xmlns:a="http://schemas.openxmlformats.org/drawingml/2006/main">
                  <a:graphicData uri="http://schemas.microsoft.com/office/word/2010/wordprocessingShape">
                    <wps:wsp>
                      <wps:cNvSpPr/>
                      <wps:spPr>
                        <a:xfrm rot="480000">
                          <a:off x="0" y="0"/>
                          <a:ext cx="2302510" cy="516890"/>
                        </a:xfrm>
                        <a:prstGeom prst="rect">
                          <a:avLst/>
                        </a:prstGeom>
                        <a:noFill/>
                        <a:ln w="3810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02EFBEC">
                            <w:pPr>
                              <w:jc w:val="center"/>
                              <w:rPr>
                                <w:rFonts w:hint="eastAsia" w:ascii="黑体" w:hAnsi="黑体" w:eastAsia="黑体" w:cs="黑体"/>
                                <w:color w:val="000000" w:themeColor="text1"/>
                                <w:highlight w:val="yellow"/>
                                <w14:textFill>
                                  <w14:solidFill>
                                    <w14:schemeClr w14:val="tx1"/>
                                  </w14:solidFill>
                                </w14:textFill>
                              </w:rPr>
                            </w:pPr>
                            <w:r>
                              <w:rPr>
                                <w:rFonts w:hint="eastAsia" w:ascii="黑体" w:hAnsi="黑体" w:eastAsia="黑体" w:cs="黑体"/>
                                <w:color w:val="000000" w:themeColor="text1"/>
                                <w:highlight w:val="yellow"/>
                                <w:lang w:val="en-US" w:eastAsia="zh-CN"/>
                                <w14:textFill>
                                  <w14:solidFill>
                                    <w14:schemeClr w14:val="tx1"/>
                                  </w14:solidFill>
                                </w14:textFill>
                              </w:rPr>
                              <w:t>上海华砼绿筑新能源有限公司濮阳基地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7.75pt;margin-top:182.3pt;height:40.7pt;width:181.3pt;rotation:524288f;z-index:251664384;v-text-anchor:middle;mso-width-relative:page;mso-height-relative:page;" filled="f" stroked="t" coordsize="21600,21600" o:gfxdata="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GEe7u/XAAAACwEAAA8AAAAAAAAAAQAgAAAAIgAA&#10;AGRycy9kb3ducmV2LnhtbFBLAQIUABQAAAAIAIdO4kCZ2pAwewIAAOMEAAAOAAAAAAAAAAEAIAAA&#10;ACYBAABkcnMvZTJvRG9jLnhtbFBLBQYAAAAABgAGAFkBAAATBgAAAAA=&#10;">
                <v:fill on="f" focussize="0,0"/>
                <v:stroke weight="3pt" color="#F2BA02 [3206]" miterlimit="8" joinstyle="miter"/>
                <v:imagedata o:title=""/>
                <o:lock v:ext="edit" aspectratio="f"/>
                <v:textbox>
                  <w:txbxContent>
                    <w:p w14:paraId="402EFBEC">
                      <w:pPr>
                        <w:jc w:val="center"/>
                        <w:rPr>
                          <w:rFonts w:hint="eastAsia" w:ascii="黑体" w:hAnsi="黑体" w:eastAsia="黑体" w:cs="黑体"/>
                          <w:color w:val="000000" w:themeColor="text1"/>
                          <w:highlight w:val="yellow"/>
                          <w14:textFill>
                            <w14:solidFill>
                              <w14:schemeClr w14:val="tx1"/>
                            </w14:solidFill>
                          </w14:textFill>
                        </w:rPr>
                      </w:pPr>
                      <w:r>
                        <w:rPr>
                          <w:rFonts w:hint="eastAsia" w:ascii="黑体" w:hAnsi="黑体" w:eastAsia="黑体" w:cs="黑体"/>
                          <w:color w:val="000000" w:themeColor="text1"/>
                          <w:highlight w:val="yellow"/>
                          <w:lang w:val="en-US" w:eastAsia="zh-CN"/>
                          <w14:textFill>
                            <w14:solidFill>
                              <w14:schemeClr w14:val="tx1"/>
                            </w14:solidFill>
                          </w14:textFill>
                        </w:rPr>
                        <w:t>上海华砼绿筑新能源有限公司濮阳基地</w:t>
                      </w:r>
                    </w:p>
                  </w:txbxContent>
                </v:textbox>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3142615</wp:posOffset>
                </wp:positionH>
                <wp:positionV relativeFrom="paragraph">
                  <wp:posOffset>358140</wp:posOffset>
                </wp:positionV>
                <wp:extent cx="2298065" cy="1196975"/>
                <wp:effectExtent l="93345" t="175895" r="104140" b="189230"/>
                <wp:wrapNone/>
                <wp:docPr id="4" name="矩形 4"/>
                <wp:cNvGraphicFramePr/>
                <a:graphic xmlns:a="http://schemas.openxmlformats.org/drawingml/2006/main">
                  <a:graphicData uri="http://schemas.microsoft.com/office/word/2010/wordprocessingShape">
                    <wps:wsp>
                      <wps:cNvSpPr/>
                      <wps:spPr>
                        <a:xfrm rot="480000">
                          <a:off x="0" y="0"/>
                          <a:ext cx="2298065" cy="1196975"/>
                        </a:xfrm>
                        <a:prstGeom prst="rect">
                          <a:avLst/>
                        </a:prstGeom>
                        <a:noFill/>
                        <a:ln w="38100">
                          <a:solidFill>
                            <a:schemeClr val="accent3"/>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32FBA1A8">
                            <w:pPr>
                              <w:jc w:val="center"/>
                              <w:rPr>
                                <w:rFonts w:hint="eastAsia" w:ascii="黑体" w:hAnsi="黑体" w:eastAsia="黑体" w:cs="黑体"/>
                                <w:color w:val="000000" w:themeColor="text1"/>
                                <w:sz w:val="28"/>
                                <w:szCs w:val="28"/>
                                <w:highlight w:val="yellow"/>
                                <w:lang w:val="en-US" w:eastAsia="zh-CN"/>
                                <w14:textFill>
                                  <w14:solidFill>
                                    <w14:schemeClr w14:val="tx1"/>
                                  </w14:solidFill>
                                </w14:textFill>
                              </w:rPr>
                            </w:pPr>
                            <w:r>
                              <w:rPr>
                                <w:rFonts w:hint="eastAsia" w:ascii="黑体" w:hAnsi="黑体" w:eastAsia="黑体" w:cs="黑体"/>
                                <w:color w:val="000000" w:themeColor="text1"/>
                                <w:sz w:val="24"/>
                                <w:szCs w:val="24"/>
                                <w:highlight w:val="yellow"/>
                                <w:lang w:val="en-US" w:eastAsia="zh-CN"/>
                                <w14:textFill>
                                  <w14:solidFill>
                                    <w14:schemeClr w14:val="tx1"/>
                                  </w14:solidFill>
                                </w14:textFill>
                              </w:rPr>
                              <w:t>河南铁军金属制品有限公司</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7.45pt;margin-top:28.2pt;height:94.25pt;width:180.95pt;rotation:524288f;z-index:251662336;v-text-anchor:middle;mso-width-relative:page;mso-height-relative:page;" filled="f" stroked="t" coordsize="21600,21600" o:gfxdata="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OXRI1gAAAAoBAAAPAAAAAAAAAAEAIAAAACIA&#10;AABkcnMvZG93bnJldi54bWxQSwECFAAUAAAACACHTuJAoayC3n0CAADkBAAADgAAAAAAAAABACAA&#10;AAAlAQAAZHJzL2Uyb0RvYy54bWxQSwUGAAAAAAYABgBZAQAAFAYAAAAA&#10;">
                <v:fill on="f" focussize="0,0"/>
                <v:stroke weight="3pt" color="#F2BA02 [3206]" miterlimit="8" joinstyle="miter"/>
                <v:imagedata o:title=""/>
                <o:lock v:ext="edit" aspectratio="f"/>
                <v:textbox>
                  <w:txbxContent>
                    <w:p w14:paraId="32FBA1A8">
                      <w:pPr>
                        <w:jc w:val="center"/>
                        <w:rPr>
                          <w:rFonts w:hint="eastAsia" w:ascii="黑体" w:hAnsi="黑体" w:eastAsia="黑体" w:cs="黑体"/>
                          <w:color w:val="000000" w:themeColor="text1"/>
                          <w:sz w:val="28"/>
                          <w:szCs w:val="28"/>
                          <w:highlight w:val="yellow"/>
                          <w:lang w:val="en-US" w:eastAsia="zh-CN"/>
                          <w14:textFill>
                            <w14:solidFill>
                              <w14:schemeClr w14:val="tx1"/>
                            </w14:solidFill>
                          </w14:textFill>
                        </w:rPr>
                      </w:pPr>
                      <w:r>
                        <w:rPr>
                          <w:rFonts w:hint="eastAsia" w:ascii="黑体" w:hAnsi="黑体" w:eastAsia="黑体" w:cs="黑体"/>
                          <w:color w:val="000000" w:themeColor="text1"/>
                          <w:sz w:val="24"/>
                          <w:szCs w:val="24"/>
                          <w:highlight w:val="yellow"/>
                          <w:lang w:val="en-US" w:eastAsia="zh-CN"/>
                          <w14:textFill>
                            <w14:solidFill>
                              <w14:schemeClr w14:val="tx1"/>
                            </w14:solidFill>
                          </w14:textFill>
                        </w:rPr>
                        <w:t>河南铁军金属制品有限公司</w:t>
                      </w:r>
                    </w:p>
                  </w:txbxContent>
                </v:textbox>
              </v: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3689985</wp:posOffset>
                </wp:positionH>
                <wp:positionV relativeFrom="paragraph">
                  <wp:posOffset>1720850</wp:posOffset>
                </wp:positionV>
                <wp:extent cx="1506855" cy="614680"/>
                <wp:effectExtent l="48895" t="97790" r="63500" b="106680"/>
                <wp:wrapNone/>
                <wp:docPr id="3" name="矩形 3"/>
                <wp:cNvGraphicFramePr/>
                <a:graphic xmlns:a="http://schemas.openxmlformats.org/drawingml/2006/main">
                  <a:graphicData uri="http://schemas.microsoft.com/office/word/2010/wordprocessingShape">
                    <wps:wsp>
                      <wps:cNvSpPr/>
                      <wps:spPr>
                        <a:xfrm rot="360000">
                          <a:off x="4540885" y="2828925"/>
                          <a:ext cx="1506855" cy="614680"/>
                        </a:xfrm>
                        <a:prstGeom prst="rect">
                          <a:avLst/>
                        </a:prstGeom>
                        <a:noFill/>
                        <a:ln w="38100">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F4CF521">
                            <w:pPr>
                              <w:jc w:val="center"/>
                              <w:rPr>
                                <w:rFonts w:hint="eastAsia" w:ascii="黑体" w:hAnsi="黑体" w:eastAsia="黑体" w:cs="黑体"/>
                                <w:b/>
                                <w:bCs/>
                                <w:color w:val="000000" w:themeColor="text1"/>
                                <w:highlight w:val="red"/>
                                <w:lang w:val="en-US" w:eastAsia="zh-CN"/>
                                <w14:textFill>
                                  <w14:solidFill>
                                    <w14:schemeClr w14:val="tx1"/>
                                  </w14:solidFill>
                                </w14:textFill>
                              </w:rPr>
                            </w:pPr>
                            <w:r>
                              <w:rPr>
                                <w:rFonts w:hint="eastAsia" w:ascii="黑体" w:hAnsi="黑体" w:eastAsia="黑体" w:cs="黑体"/>
                                <w:b/>
                                <w:bCs/>
                                <w:color w:val="000000" w:themeColor="text1"/>
                                <w:highlight w:val="red"/>
                                <w:lang w:val="en-US" w:eastAsia="zh-CN"/>
                                <w14:textFill>
                                  <w14:solidFill>
                                    <w14:schemeClr w14:val="tx1"/>
                                  </w14:solidFill>
                                </w14:textFill>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0.55pt;margin-top:135.5pt;height:48.4pt;width:118.65pt;rotation:393216f;z-index:251661312;v-text-anchor:middle;mso-width-relative:page;mso-height-relative:page;" filled="f" stroked="t" coordsize="21600,21600" o:gfxdata="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oXjo9kAAAALAQAADwAAAAAA&#10;AAABACAAAAAiAAAAZHJzL2Rvd25yZXYueG1sUEsBAhQAFAAAAAgAh07iQNyvs7uEAgAA7wQAAA4A&#10;AAAAAAAAAQAgAAAAKAEAAGRycy9lMm9Eb2MueG1sUEsFBgAAAAAGAAYAWQEAAB4GAAAAAA==&#10;">
                <v:fill on="f" focussize="0,0"/>
                <v:stroke weight="3pt" color="#C00000 [2404]" miterlimit="8" joinstyle="miter"/>
                <v:imagedata o:title=""/>
                <o:lock v:ext="edit" aspectratio="f"/>
                <v:textbox>
                  <w:txbxContent>
                    <w:p w14:paraId="7F4CF521">
                      <w:pPr>
                        <w:jc w:val="center"/>
                        <w:rPr>
                          <w:rFonts w:hint="eastAsia" w:ascii="黑体" w:hAnsi="黑体" w:eastAsia="黑体" w:cs="黑体"/>
                          <w:b/>
                          <w:bCs/>
                          <w:color w:val="000000" w:themeColor="text1"/>
                          <w:highlight w:val="red"/>
                          <w:lang w:val="en-US" w:eastAsia="zh-CN"/>
                          <w14:textFill>
                            <w14:solidFill>
                              <w14:schemeClr w14:val="tx1"/>
                            </w14:solidFill>
                          </w14:textFill>
                        </w:rPr>
                      </w:pPr>
                      <w:r>
                        <w:rPr>
                          <w:rFonts w:hint="eastAsia" w:ascii="黑体" w:hAnsi="黑体" w:eastAsia="黑体" w:cs="黑体"/>
                          <w:b/>
                          <w:bCs/>
                          <w:color w:val="000000" w:themeColor="text1"/>
                          <w:highlight w:val="red"/>
                          <w:lang w:val="en-US" w:eastAsia="zh-CN"/>
                          <w14:textFill>
                            <w14:solidFill>
                              <w14:schemeClr w14:val="tx1"/>
                            </w14:solidFill>
                          </w14:textFill>
                        </w:rPr>
                        <w:t>本项目</w:t>
                      </w:r>
                    </w:p>
                  </w:txbxContent>
                </v:textbox>
              </v:rect>
            </w:pict>
          </mc:Fallback>
        </mc:AlternateContent>
      </w:r>
      <w:r>
        <w:drawing>
          <wp:inline distT="0" distB="0" distL="114300" distR="114300">
            <wp:extent cx="8366125" cy="4897120"/>
            <wp:effectExtent l="0" t="0" r="15875" b="1778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8"/>
                    <a:stretch>
                      <a:fillRect/>
                    </a:stretch>
                  </pic:blipFill>
                  <pic:spPr>
                    <a:xfrm>
                      <a:off x="0" y="0"/>
                      <a:ext cx="8366125" cy="4897120"/>
                    </a:xfrm>
                    <a:prstGeom prst="rect">
                      <a:avLst/>
                    </a:prstGeom>
                    <a:noFill/>
                    <a:ln>
                      <a:noFill/>
                    </a:ln>
                  </pic:spPr>
                </pic:pic>
              </a:graphicData>
            </a:graphic>
          </wp:inline>
        </w:drawing>
      </w:r>
    </w:p>
    <w:p w14:paraId="0EFA146A">
      <w:pPr>
        <w:jc w:val="center"/>
        <w:rPr>
          <w:rFonts w:hint="eastAsia" w:ascii="Times New Roman" w:hAnsi="Times New Roman" w:eastAsia="黑体" w:cs="Times New Roman"/>
          <w:b/>
          <w:bCs/>
          <w:lang w:val="en-US" w:eastAsia="zh-CN"/>
        </w:rPr>
      </w:pPr>
      <w:r>
        <w:rPr>
          <w:sz w:val="24"/>
        </w:rPr>
        <mc:AlternateContent>
          <mc:Choice Requires="wps">
            <w:drawing>
              <wp:anchor distT="0" distB="0" distL="114300" distR="114300" simplePos="0" relativeHeight="251680768" behindDoc="0" locked="0" layoutInCell="1" allowOverlap="1">
                <wp:simplePos x="0" y="0"/>
                <wp:positionH relativeFrom="column">
                  <wp:posOffset>6282055</wp:posOffset>
                </wp:positionH>
                <wp:positionV relativeFrom="paragraph">
                  <wp:posOffset>153670</wp:posOffset>
                </wp:positionV>
                <wp:extent cx="519430" cy="24765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519430" cy="247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00731E">
                            <w:pPr>
                              <w:rPr>
                                <w:rFonts w:hint="default" w:eastAsia="宋体"/>
                                <w:lang w:val="en-US" w:eastAsia="zh-CN"/>
                              </w:rPr>
                            </w:pPr>
                            <w:r>
                              <w:rPr>
                                <w:rFonts w:hint="eastAsia"/>
                                <w:b/>
                                <w:bCs/>
                                <w:sz w:val="16"/>
                                <w:szCs w:val="16"/>
                                <w:lang w:val="en-US" w:eastAsia="zh-CN"/>
                              </w:rPr>
                              <w:t>1:2000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4.65pt;margin-top:12.1pt;height:19.5pt;width:40.9pt;z-index:251680768;mso-width-relative:page;mso-height-relative:page;" filled="f" stroked="f" coordsize="21600,21600" o:gfxdata="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&#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C4LZGjbAAAACgEAAA8AAAAAAAAAAQAgAAAAIgAAAGRy&#10;cy9kb3ducmV2LnhtbFBLAQIUABQAAAAIAIdO4kDsgqrSOwIAAGcEAAAOAAAAAAAAAAEAIAAAACoB&#10;AABkcnMvZTJvRG9jLnhtbFBLBQYAAAAABgAGAFkBAADXBQAAAAA=&#10;">
                <v:fill on="f" focussize="0,0"/>
                <v:stroke on="f" weight="0.5pt"/>
                <v:imagedata o:title=""/>
                <o:lock v:ext="edit" aspectratio="f"/>
                <v:textbox>
                  <w:txbxContent>
                    <w:p w14:paraId="6E00731E">
                      <w:pPr>
                        <w:rPr>
                          <w:rFonts w:hint="default" w:eastAsia="宋体"/>
                          <w:lang w:val="en-US" w:eastAsia="zh-CN"/>
                        </w:rPr>
                      </w:pPr>
                      <w:r>
                        <w:rPr>
                          <w:rFonts w:hint="eastAsia"/>
                          <w:b/>
                          <w:bCs/>
                          <w:sz w:val="16"/>
                          <w:szCs w:val="16"/>
                          <w:lang w:val="en-US" w:eastAsia="zh-CN"/>
                        </w:rPr>
                        <w:t>1:2000</w:t>
                      </w:r>
                    </w:p>
                  </w:txbxContent>
                </v:textbox>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6819265</wp:posOffset>
                </wp:positionH>
                <wp:positionV relativeFrom="paragraph">
                  <wp:posOffset>121285</wp:posOffset>
                </wp:positionV>
                <wp:extent cx="1270" cy="81280"/>
                <wp:effectExtent l="13970" t="0" r="15240" b="11430"/>
                <wp:wrapNone/>
                <wp:docPr id="54" name="直接连接符 54"/>
                <wp:cNvGraphicFramePr/>
                <a:graphic xmlns:a="http://schemas.openxmlformats.org/drawingml/2006/main">
                  <a:graphicData uri="http://schemas.microsoft.com/office/word/2010/wordprocessingShape">
                    <wps:wsp>
                      <wps:cNvCnPr/>
                      <wps:spPr>
                        <a:xfrm flipV="1">
                          <a:off x="0" y="0"/>
                          <a:ext cx="1270" cy="812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536.95pt;margin-top:9.55pt;height:6.4pt;width:0.1pt;z-index:251678720;mso-width-relative:page;mso-height-relative:page;" filled="f" stroked="t" coordsize="21600,21600" o:gfxdata="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o1+kY2AAAAAsBAAAPAAAAAAAAAAEAIAAAACIAAABkcnMvZG93bnJldi54bWxQSwECFAAUAAAA&#10;CACHTuJAtFOBu+4BAAC/AwAADgAAAAAAAAABACAAAAAnAQAAZHJzL2Uyb0RvYy54bWxQSwUGAAAA&#10;AAYABgBZAQAAhwUAAAAA&#10;">
                <v:fill on="f" focussize="0,0"/>
                <v:stroke weight="2.2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6214745</wp:posOffset>
                </wp:positionH>
                <wp:positionV relativeFrom="paragraph">
                  <wp:posOffset>126365</wp:posOffset>
                </wp:positionV>
                <wp:extent cx="1270" cy="81280"/>
                <wp:effectExtent l="13970" t="0" r="15240" b="11430"/>
                <wp:wrapNone/>
                <wp:docPr id="53" name="直接连接符 53"/>
                <wp:cNvGraphicFramePr/>
                <a:graphic xmlns:a="http://schemas.openxmlformats.org/drawingml/2006/main">
                  <a:graphicData uri="http://schemas.microsoft.com/office/word/2010/wordprocessingShape">
                    <wps:wsp>
                      <wps:cNvCnPr/>
                      <wps:spPr>
                        <a:xfrm flipV="1">
                          <a:off x="0" y="0"/>
                          <a:ext cx="1270" cy="8128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489.35pt;margin-top:9.95pt;height:6.4pt;width:0.1pt;z-index:251677696;mso-width-relative:page;mso-height-relative:page;" filled="f" stroked="t" coordsize="21600,21600" o:gfxdata="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0gYyW2AAAAAkBAAAPAAAAAAAAAAEAIAAAACIAAABkcnMvZG93bnJldi54bWxQSwECFAAUAAAA&#10;CACHTuJAMVbvgO4BAAC/AwAADgAAAAAAAAABACAAAAAnAQAAZHJzL2Uyb0RvYy54bWxQSwUGAAAA&#10;AAYABgBZAQAAhwUAAAAA&#10;">
                <v:fill on="f" focussize="0,0"/>
                <v:stroke weight="2.25pt" color="#000000 [3213]" miterlimit="8" joinstyle="miter"/>
                <v:imagedata o:title=""/>
                <o:lock v:ext="edit" aspectratio="f"/>
              </v:lin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6205220</wp:posOffset>
                </wp:positionH>
                <wp:positionV relativeFrom="paragraph">
                  <wp:posOffset>217170</wp:posOffset>
                </wp:positionV>
                <wp:extent cx="617855" cy="0"/>
                <wp:effectExtent l="0" t="13970" r="6985" b="16510"/>
                <wp:wrapNone/>
                <wp:docPr id="52" name="直接连接符 52"/>
                <wp:cNvGraphicFramePr/>
                <a:graphic xmlns:a="http://schemas.openxmlformats.org/drawingml/2006/main">
                  <a:graphicData uri="http://schemas.microsoft.com/office/word/2010/wordprocessingShape">
                    <wps:wsp>
                      <wps:cNvCnPr/>
                      <wps:spPr>
                        <a:xfrm>
                          <a:off x="7466965" y="6321425"/>
                          <a:ext cx="61785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88.6pt;margin-top:17.1pt;height:0pt;width:48.65pt;z-index:251676672;mso-width-relative:page;mso-height-relative:page;" filled="f" stroked="t" coordsize="21600,21600" o:gfxdata="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62QMwtcAAAAKAQAADwAAAAAAAAABACAAAAAiAAAAZHJzL2Rvd25yZXYueG1sUEsBAhQA&#10;FAAAAAgAh07iQPY2me/zAQAAvwMAAA4AAAAAAAAAAQAgAAAAJgEAAGRycy9lMm9Eb2MueG1sUEsF&#10;BgAAAAAGAAYAWQEAAIsFAAAAAA==&#10;">
                <v:fill on="f" focussize="0,0"/>
                <v:stroke weight="2.25pt" color="#000000 [3213]" miterlimit="8" joinstyle="miter"/>
                <v:imagedata o:title=""/>
                <o:lock v:ext="edit" aspectratio="f"/>
              </v:line>
            </w:pict>
          </mc:Fallback>
        </mc:AlternateContent>
      </w:r>
      <w:r>
        <w:rPr>
          <w:rFonts w:hint="eastAsia" w:ascii="Times New Roman" w:hAnsi="Times New Roman" w:eastAsia="黑体" w:cs="Times New Roman"/>
          <w:b/>
          <w:bCs/>
          <w:lang w:val="en-US" w:eastAsia="zh-CN"/>
        </w:rPr>
        <w:t>附图</w:t>
      </w:r>
      <w:r>
        <w:rPr>
          <w:rFonts w:hint="eastAsia" w:eastAsia="黑体" w:cs="Times New Roman"/>
          <w:b/>
          <w:bCs/>
          <w:lang w:val="en-US" w:eastAsia="zh-CN"/>
        </w:rPr>
        <w:t>3</w:t>
      </w:r>
      <w:r>
        <w:rPr>
          <w:rFonts w:hint="eastAsia" w:ascii="Times New Roman" w:hAnsi="Times New Roman" w:eastAsia="黑体" w:cs="Times New Roman"/>
          <w:b/>
          <w:bCs/>
          <w:lang w:val="en-US" w:eastAsia="zh-CN"/>
        </w:rPr>
        <w:t xml:space="preserve"> 项目周边环境状况图</w:t>
      </w:r>
    </w:p>
    <w:p w14:paraId="5C851FF1">
      <w:pPr>
        <w:rPr>
          <w:rFonts w:hint="default"/>
          <w:lang w:val="en-US" w:eastAsia="zh-CN"/>
        </w:rPr>
      </w:pPr>
    </w:p>
    <w:p w14:paraId="3C8801D0">
      <w:pPr>
        <w:pStyle w:val="4"/>
        <w:jc w:val="both"/>
      </w:pPr>
      <w:r>
        <w:drawing>
          <wp:inline distT="0" distB="0" distL="114300" distR="114300">
            <wp:extent cx="8855075" cy="4208145"/>
            <wp:effectExtent l="0" t="0" r="3175" b="190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9"/>
                    <a:stretch>
                      <a:fillRect/>
                    </a:stretch>
                  </pic:blipFill>
                  <pic:spPr>
                    <a:xfrm>
                      <a:off x="0" y="0"/>
                      <a:ext cx="8855075" cy="4208145"/>
                    </a:xfrm>
                    <a:prstGeom prst="rect">
                      <a:avLst/>
                    </a:prstGeom>
                    <a:noFill/>
                    <a:ln>
                      <a:noFill/>
                    </a:ln>
                  </pic:spPr>
                </pic:pic>
              </a:graphicData>
            </a:graphic>
          </wp:inline>
        </w:drawing>
      </w:r>
    </w:p>
    <w:p w14:paraId="0772A79C">
      <w:pPr>
        <w:pStyle w:val="4"/>
        <w:rPr>
          <w:rFonts w:hint="eastAsia" w:ascii="Times New Roman" w:hAnsi="Times New Roman" w:eastAsia="黑体" w:cs="Times New Roman"/>
          <w:b/>
          <w:bCs/>
          <w:kern w:val="2"/>
          <w:sz w:val="24"/>
          <w:szCs w:val="24"/>
          <w:lang w:val="en-US" w:eastAsia="zh-CN" w:bidi="ar-SA"/>
        </w:rPr>
      </w:pPr>
      <w:r>
        <w:rPr>
          <w:rFonts w:hint="eastAsia" w:ascii="Times New Roman" w:hAnsi="Times New Roman" w:eastAsia="黑体" w:cs="Times New Roman"/>
          <w:b/>
          <w:bCs/>
          <w:kern w:val="2"/>
          <w:sz w:val="24"/>
          <w:szCs w:val="24"/>
          <w:lang w:val="en-US" w:eastAsia="zh-CN" w:bidi="ar-SA"/>
        </w:rPr>
        <w:t>附图</w:t>
      </w:r>
      <w:r>
        <w:rPr>
          <w:rFonts w:hint="eastAsia" w:cs="Times New Roman"/>
          <w:b/>
          <w:bCs/>
          <w:kern w:val="2"/>
          <w:sz w:val="24"/>
          <w:szCs w:val="24"/>
          <w:lang w:val="en-US" w:eastAsia="zh-CN" w:bidi="ar-SA"/>
        </w:rPr>
        <w:t>4</w:t>
      </w:r>
      <w:r>
        <w:rPr>
          <w:rFonts w:hint="eastAsia" w:ascii="Times New Roman" w:hAnsi="Times New Roman" w:eastAsia="黑体" w:cs="Times New Roman"/>
          <w:b/>
          <w:bCs/>
          <w:kern w:val="2"/>
          <w:sz w:val="24"/>
          <w:szCs w:val="24"/>
          <w:lang w:val="en-US" w:eastAsia="zh-CN" w:bidi="ar-SA"/>
        </w:rPr>
        <w:t xml:space="preserve"> 本项目平面布置图</w:t>
      </w:r>
    </w:p>
    <w:p w14:paraId="25DF7237">
      <w:pPr>
        <w:rPr>
          <w:rFonts w:hint="eastAsia" w:ascii="Times New Roman" w:hAnsi="Times New Roman" w:eastAsia="黑体" w:cs="Times New Roman"/>
          <w:b/>
          <w:bCs/>
          <w:kern w:val="2"/>
          <w:sz w:val="24"/>
          <w:szCs w:val="24"/>
          <w:lang w:val="en-US" w:eastAsia="zh-CN" w:bidi="ar-SA"/>
        </w:rPr>
      </w:pPr>
    </w:p>
    <w:p w14:paraId="1F3F57C8">
      <w:pPr>
        <w:pStyle w:val="4"/>
        <w:rPr>
          <w:rFonts w:hint="default"/>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lang w:val="en-US" w:eastAsia="zh-CN"/>
        </w:rPr>
        <w:t xml:space="preserve"> </w:t>
      </w:r>
    </w:p>
    <w:p w14:paraId="1B0CCA93">
      <w:pPr>
        <w:jc w:val="left"/>
        <w:rPr>
          <w:rFonts w:hint="eastAsia"/>
          <w:vertAlign w:val="baseline"/>
          <w:lang w:val="en-US" w:eastAsia="zh-CN"/>
        </w:rPr>
      </w:pPr>
      <w:r>
        <w:rPr>
          <w:rFonts w:hint="eastAsia"/>
          <w:lang w:val="en-US" w:eastAsia="zh-CN"/>
        </w:rPr>
        <w:t xml:space="preserve">                                    </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26"/>
        <w:gridCol w:w="4196"/>
      </w:tblGrid>
      <w:tr w14:paraId="6D059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3" w:hRule="atLeast"/>
        </w:trPr>
        <w:tc>
          <w:tcPr>
            <w:tcW w:w="4326" w:type="dxa"/>
            <w:vAlign w:val="center"/>
          </w:tcPr>
          <w:p w14:paraId="639C45D2">
            <w:pPr>
              <w:jc w:val="center"/>
              <w:rPr>
                <w:rFonts w:hint="eastAsia"/>
                <w:vertAlign w:val="baseline"/>
                <w:lang w:val="en-US" w:eastAsia="zh-CN"/>
              </w:rPr>
            </w:pPr>
            <w:r>
              <w:rPr>
                <w:rFonts w:hint="eastAsia"/>
                <w:vertAlign w:val="baseline"/>
                <w:lang w:val="en-US" w:eastAsia="zh-CN"/>
              </w:rPr>
              <w:drawing>
                <wp:inline distT="0" distB="0" distL="114300" distR="114300">
                  <wp:extent cx="2603500" cy="1952625"/>
                  <wp:effectExtent l="0" t="0" r="6350" b="9525"/>
                  <wp:docPr id="58" name="图片 58" descr="40c36e7a4930ceb30ad3173f9c89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40c36e7a4930ceb30ad3173f9c89d2d"/>
                          <pic:cNvPicPr>
                            <a:picLocks noChangeAspect="1"/>
                          </pic:cNvPicPr>
                        </pic:nvPicPr>
                        <pic:blipFill>
                          <a:blip r:embed="rId30"/>
                          <a:stretch>
                            <a:fillRect/>
                          </a:stretch>
                        </pic:blipFill>
                        <pic:spPr>
                          <a:xfrm>
                            <a:off x="0" y="0"/>
                            <a:ext cx="2603500" cy="1952625"/>
                          </a:xfrm>
                          <a:prstGeom prst="rect">
                            <a:avLst/>
                          </a:prstGeom>
                        </pic:spPr>
                      </pic:pic>
                    </a:graphicData>
                  </a:graphic>
                </wp:inline>
              </w:drawing>
            </w:r>
          </w:p>
        </w:tc>
        <w:tc>
          <w:tcPr>
            <w:tcW w:w="4196" w:type="dxa"/>
          </w:tcPr>
          <w:p w14:paraId="6FA78062">
            <w:pPr>
              <w:jc w:val="left"/>
              <w:rPr>
                <w:rFonts w:hint="eastAsia"/>
                <w:vertAlign w:val="baseline"/>
                <w:lang w:val="en-US" w:eastAsia="zh-CN"/>
              </w:rPr>
            </w:pPr>
            <w:r>
              <w:rPr>
                <w:rFonts w:hint="eastAsia"/>
                <w:vertAlign w:val="baseline"/>
                <w:lang w:val="en-US" w:eastAsia="zh-CN"/>
              </w:rPr>
              <w:drawing>
                <wp:inline distT="0" distB="0" distL="114300" distR="114300">
                  <wp:extent cx="2501900" cy="2049145"/>
                  <wp:effectExtent l="0" t="0" r="12700" b="8255"/>
                  <wp:docPr id="23" name="图片 23" descr="f1e00b87b23b7c3e81f5ecd3ea80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f1e00b87b23b7c3e81f5ecd3ea80def"/>
                          <pic:cNvPicPr>
                            <a:picLocks noChangeAspect="1"/>
                          </pic:cNvPicPr>
                        </pic:nvPicPr>
                        <pic:blipFill>
                          <a:blip r:embed="rId31"/>
                          <a:stretch>
                            <a:fillRect/>
                          </a:stretch>
                        </pic:blipFill>
                        <pic:spPr>
                          <a:xfrm>
                            <a:off x="0" y="0"/>
                            <a:ext cx="2501900" cy="2049145"/>
                          </a:xfrm>
                          <a:prstGeom prst="rect">
                            <a:avLst/>
                          </a:prstGeom>
                        </pic:spPr>
                      </pic:pic>
                    </a:graphicData>
                  </a:graphic>
                </wp:inline>
              </w:drawing>
            </w:r>
          </w:p>
        </w:tc>
      </w:tr>
      <w:tr w14:paraId="1CA3F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4326" w:type="dxa"/>
            <w:vAlign w:val="center"/>
          </w:tcPr>
          <w:p w14:paraId="1AE358A9">
            <w:pPr>
              <w:jc w:val="center"/>
              <w:rPr>
                <w:rFonts w:hint="default" w:ascii="黑体" w:hAnsi="黑体" w:eastAsia="黑体" w:cs="黑体"/>
                <w:vertAlign w:val="baseline"/>
                <w:lang w:val="en-US" w:eastAsia="zh-CN"/>
              </w:rPr>
            </w:pPr>
            <w:r>
              <w:rPr>
                <w:rFonts w:hint="eastAsia" w:ascii="黑体" w:hAnsi="黑体" w:eastAsia="黑体" w:cs="黑体"/>
                <w:vertAlign w:val="baseline"/>
                <w:lang w:val="en-US" w:eastAsia="zh-CN"/>
              </w:rPr>
              <w:t>工程师照片</w:t>
            </w:r>
          </w:p>
        </w:tc>
        <w:tc>
          <w:tcPr>
            <w:tcW w:w="4196" w:type="dxa"/>
            <w:vAlign w:val="center"/>
          </w:tcPr>
          <w:p w14:paraId="68DFD064">
            <w:pPr>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厂区现状</w:t>
            </w:r>
          </w:p>
        </w:tc>
      </w:tr>
      <w:tr w14:paraId="5CE6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4" w:hRule="atLeast"/>
        </w:trPr>
        <w:tc>
          <w:tcPr>
            <w:tcW w:w="4326" w:type="dxa"/>
            <w:vAlign w:val="center"/>
          </w:tcPr>
          <w:p w14:paraId="1B2AB73E">
            <w:pPr>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drawing>
                <wp:inline distT="0" distB="0" distL="114300" distR="114300">
                  <wp:extent cx="2607310" cy="2074545"/>
                  <wp:effectExtent l="0" t="0" r="2540" b="1905"/>
                  <wp:docPr id="24" name="图片 24" descr="a686228d97a97ead73c5bd58b8d3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a686228d97a97ead73c5bd58b8d3dfa"/>
                          <pic:cNvPicPr>
                            <a:picLocks noChangeAspect="1"/>
                          </pic:cNvPicPr>
                        </pic:nvPicPr>
                        <pic:blipFill>
                          <a:blip r:embed="rId32"/>
                          <a:srcRect t="17294" b="25950"/>
                          <a:stretch>
                            <a:fillRect/>
                          </a:stretch>
                        </pic:blipFill>
                        <pic:spPr>
                          <a:xfrm>
                            <a:off x="0" y="0"/>
                            <a:ext cx="2607310" cy="2074545"/>
                          </a:xfrm>
                          <a:prstGeom prst="rect">
                            <a:avLst/>
                          </a:prstGeom>
                        </pic:spPr>
                      </pic:pic>
                    </a:graphicData>
                  </a:graphic>
                </wp:inline>
              </w:drawing>
            </w:r>
          </w:p>
        </w:tc>
        <w:tc>
          <w:tcPr>
            <w:tcW w:w="4196" w:type="dxa"/>
            <w:vAlign w:val="center"/>
          </w:tcPr>
          <w:p w14:paraId="6A65CEFC">
            <w:pPr>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drawing>
                <wp:inline distT="0" distB="0" distL="114300" distR="114300">
                  <wp:extent cx="2501900" cy="2066290"/>
                  <wp:effectExtent l="0" t="0" r="12700" b="10160"/>
                  <wp:docPr id="33" name="图片 33" descr="项目北铁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项目北铁军"/>
                          <pic:cNvPicPr>
                            <a:picLocks noChangeAspect="1"/>
                          </pic:cNvPicPr>
                        </pic:nvPicPr>
                        <pic:blipFill>
                          <a:blip r:embed="rId33"/>
                          <a:stretch>
                            <a:fillRect/>
                          </a:stretch>
                        </pic:blipFill>
                        <pic:spPr>
                          <a:xfrm>
                            <a:off x="0" y="0"/>
                            <a:ext cx="2501900" cy="2066290"/>
                          </a:xfrm>
                          <a:prstGeom prst="rect">
                            <a:avLst/>
                          </a:prstGeom>
                        </pic:spPr>
                      </pic:pic>
                    </a:graphicData>
                  </a:graphic>
                </wp:inline>
              </w:drawing>
            </w:r>
          </w:p>
        </w:tc>
      </w:tr>
      <w:tr w14:paraId="6161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6" w:type="dxa"/>
            <w:vAlign w:val="center"/>
          </w:tcPr>
          <w:p w14:paraId="0216AB31">
            <w:pPr>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项目东侧</w:t>
            </w:r>
          </w:p>
        </w:tc>
        <w:tc>
          <w:tcPr>
            <w:tcW w:w="4196" w:type="dxa"/>
            <w:vAlign w:val="center"/>
          </w:tcPr>
          <w:p w14:paraId="36554183">
            <w:pPr>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项目北侧</w:t>
            </w:r>
          </w:p>
        </w:tc>
      </w:tr>
      <w:tr w14:paraId="7815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9" w:hRule="atLeast"/>
        </w:trPr>
        <w:tc>
          <w:tcPr>
            <w:tcW w:w="4326" w:type="dxa"/>
            <w:vAlign w:val="center"/>
          </w:tcPr>
          <w:p w14:paraId="615A8A1B">
            <w:pPr>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drawing>
                <wp:inline distT="0" distB="0" distL="114300" distR="114300">
                  <wp:extent cx="2594610" cy="1945640"/>
                  <wp:effectExtent l="0" t="0" r="15240" b="16510"/>
                  <wp:docPr id="26" name="图片 26" descr="项目西边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项目西边界"/>
                          <pic:cNvPicPr>
                            <a:picLocks noChangeAspect="1"/>
                          </pic:cNvPicPr>
                        </pic:nvPicPr>
                        <pic:blipFill>
                          <a:blip r:embed="rId34"/>
                          <a:stretch>
                            <a:fillRect/>
                          </a:stretch>
                        </pic:blipFill>
                        <pic:spPr>
                          <a:xfrm>
                            <a:off x="0" y="0"/>
                            <a:ext cx="2594610" cy="1945640"/>
                          </a:xfrm>
                          <a:prstGeom prst="rect">
                            <a:avLst/>
                          </a:prstGeom>
                        </pic:spPr>
                      </pic:pic>
                    </a:graphicData>
                  </a:graphic>
                </wp:inline>
              </w:drawing>
            </w:r>
          </w:p>
        </w:tc>
        <w:tc>
          <w:tcPr>
            <w:tcW w:w="4196" w:type="dxa"/>
            <w:vAlign w:val="center"/>
          </w:tcPr>
          <w:p w14:paraId="3F7618FA">
            <w:pPr>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drawing>
                <wp:inline distT="0" distB="0" distL="114300" distR="114300">
                  <wp:extent cx="2501900" cy="1923415"/>
                  <wp:effectExtent l="0" t="0" r="12700" b="635"/>
                  <wp:docPr id="27" name="图片 27" descr="南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南边"/>
                          <pic:cNvPicPr>
                            <a:picLocks noChangeAspect="1"/>
                          </pic:cNvPicPr>
                        </pic:nvPicPr>
                        <pic:blipFill>
                          <a:blip r:embed="rId35"/>
                          <a:stretch>
                            <a:fillRect/>
                          </a:stretch>
                        </pic:blipFill>
                        <pic:spPr>
                          <a:xfrm>
                            <a:off x="0" y="0"/>
                            <a:ext cx="2501900" cy="1923415"/>
                          </a:xfrm>
                          <a:prstGeom prst="rect">
                            <a:avLst/>
                          </a:prstGeom>
                        </pic:spPr>
                      </pic:pic>
                    </a:graphicData>
                  </a:graphic>
                </wp:inline>
              </w:drawing>
            </w:r>
          </w:p>
        </w:tc>
      </w:tr>
      <w:tr w14:paraId="0EE14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6" w:type="dxa"/>
            <w:vAlign w:val="center"/>
          </w:tcPr>
          <w:p w14:paraId="56C4A54B">
            <w:pPr>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项目西侧</w:t>
            </w:r>
          </w:p>
        </w:tc>
        <w:tc>
          <w:tcPr>
            <w:tcW w:w="4196" w:type="dxa"/>
            <w:vAlign w:val="center"/>
          </w:tcPr>
          <w:p w14:paraId="6E361977">
            <w:pPr>
              <w:jc w:val="center"/>
              <w:rPr>
                <w:rFonts w:hint="eastAsia" w:ascii="黑体" w:hAnsi="黑体" w:eastAsia="黑体" w:cs="黑体"/>
                <w:vertAlign w:val="baseline"/>
                <w:lang w:val="en-US" w:eastAsia="zh-CN"/>
              </w:rPr>
            </w:pPr>
            <w:r>
              <w:rPr>
                <w:rFonts w:hint="eastAsia" w:ascii="黑体" w:hAnsi="黑体" w:eastAsia="黑体" w:cs="黑体"/>
                <w:vertAlign w:val="baseline"/>
                <w:lang w:val="en-US" w:eastAsia="zh-CN"/>
              </w:rPr>
              <w:t>项目南侧</w:t>
            </w:r>
          </w:p>
        </w:tc>
      </w:tr>
    </w:tbl>
    <w:p w14:paraId="0379F917">
      <w:pPr>
        <w:jc w:val="center"/>
        <w:rPr>
          <w:rFonts w:hint="eastAsia" w:ascii="Times New Roman" w:hAnsi="Times New Roman" w:eastAsia="黑体" w:cs="Times New Roman"/>
          <w:b/>
          <w:bCs/>
          <w:kern w:val="2"/>
          <w:sz w:val="24"/>
          <w:szCs w:val="24"/>
          <w:lang w:val="en-US" w:eastAsia="zh-CN" w:bidi="ar-SA"/>
        </w:rPr>
      </w:pPr>
      <w:r>
        <w:rPr>
          <w:rFonts w:hint="eastAsia"/>
          <w:lang w:val="en-US" w:eastAsia="zh-CN"/>
        </w:rPr>
        <w:t xml:space="preserve">          </w:t>
      </w:r>
      <w:r>
        <w:rPr>
          <w:rFonts w:hint="eastAsia" w:ascii="Times New Roman" w:hAnsi="Times New Roman" w:eastAsia="黑体" w:cs="Times New Roman"/>
          <w:b/>
          <w:bCs/>
          <w:kern w:val="2"/>
          <w:sz w:val="24"/>
          <w:szCs w:val="24"/>
          <w:lang w:val="en-US" w:eastAsia="zh-CN" w:bidi="ar-SA"/>
        </w:rPr>
        <w:t xml:space="preserve"> </w:t>
      </w:r>
    </w:p>
    <w:p w14:paraId="4CF6607B">
      <w:pPr>
        <w:jc w:val="center"/>
        <w:rPr>
          <w:b/>
          <w:bCs/>
          <w:szCs w:val="32"/>
        </w:rPr>
      </w:pPr>
      <w:r>
        <w:rPr>
          <w:rFonts w:hint="eastAsia" w:ascii="Times New Roman" w:hAnsi="Times New Roman" w:eastAsia="黑体" w:cs="Times New Roman"/>
          <w:b/>
          <w:bCs/>
          <w:kern w:val="2"/>
          <w:sz w:val="24"/>
          <w:szCs w:val="24"/>
          <w:lang w:val="en-US" w:eastAsia="zh-CN" w:bidi="ar-SA"/>
        </w:rPr>
        <w:t>附图</w:t>
      </w:r>
      <w:r>
        <w:rPr>
          <w:rFonts w:hint="eastAsia" w:eastAsia="黑体" w:cs="Times New Roman"/>
          <w:b/>
          <w:bCs/>
          <w:kern w:val="2"/>
          <w:sz w:val="24"/>
          <w:szCs w:val="24"/>
          <w:lang w:val="en-US" w:eastAsia="zh-CN" w:bidi="ar-SA"/>
        </w:rPr>
        <w:t>5</w:t>
      </w:r>
      <w:r>
        <w:rPr>
          <w:rFonts w:hint="eastAsia" w:ascii="Times New Roman" w:hAnsi="Times New Roman" w:eastAsia="黑体" w:cs="Times New Roman"/>
          <w:b/>
          <w:bCs/>
          <w:kern w:val="2"/>
          <w:sz w:val="24"/>
          <w:szCs w:val="24"/>
          <w:lang w:val="en-US" w:eastAsia="zh-CN" w:bidi="ar-SA"/>
        </w:rPr>
        <w:t xml:space="preserve"> 项目厂区及周边状况照片</w:t>
      </w:r>
    </w:p>
    <w:p w14:paraId="38B6A0FE">
      <w:pPr>
        <w:rPr>
          <w:rFonts w:hint="default"/>
          <w:lang w:val="en-US" w:eastAsia="zh-CN"/>
        </w:rPr>
      </w:pPr>
      <w:r>
        <w:rPr>
          <w:rFonts w:hint="default"/>
          <w:lang w:val="en-US" w:eastAsia="zh-CN"/>
        </w:rPr>
        <w:br w:type="page"/>
      </w:r>
    </w:p>
    <w:p w14:paraId="1582549B">
      <w:pPr>
        <w:rPr>
          <w:b/>
          <w:bCs/>
          <w:sz w:val="28"/>
          <w:szCs w:val="28"/>
        </w:rPr>
      </w:pPr>
      <w:r>
        <w:rPr>
          <w:rFonts w:hint="eastAsia"/>
          <w:b/>
          <w:bCs/>
          <w:sz w:val="28"/>
          <w:szCs w:val="28"/>
        </w:rPr>
        <w:t>附件1委托书</w:t>
      </w:r>
    </w:p>
    <w:p w14:paraId="7E20B039">
      <w:pPr>
        <w:pStyle w:val="4"/>
        <w:rPr>
          <w:rFonts w:hint="default"/>
          <w:lang w:val="en-US" w:eastAsia="zh-CN"/>
        </w:rPr>
      </w:pPr>
      <w:r>
        <w:rPr>
          <w:rFonts w:hint="default"/>
          <w:lang w:val="en-US" w:eastAsia="zh-CN"/>
        </w:rPr>
        <w:drawing>
          <wp:inline distT="0" distB="0" distL="114300" distR="114300">
            <wp:extent cx="7995920" cy="5611495"/>
            <wp:effectExtent l="0" t="0" r="8255" b="5080"/>
            <wp:docPr id="28" name="图片 28" descr="委托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委托书"/>
                    <pic:cNvPicPr>
                      <a:picLocks noChangeAspect="1"/>
                    </pic:cNvPicPr>
                  </pic:nvPicPr>
                  <pic:blipFill>
                    <a:blip r:embed="rId36"/>
                    <a:stretch>
                      <a:fillRect/>
                    </a:stretch>
                  </pic:blipFill>
                  <pic:spPr>
                    <a:xfrm rot="5400000">
                      <a:off x="0" y="0"/>
                      <a:ext cx="7995920" cy="5611495"/>
                    </a:xfrm>
                    <a:prstGeom prst="rect">
                      <a:avLst/>
                    </a:prstGeom>
                  </pic:spPr>
                </pic:pic>
              </a:graphicData>
            </a:graphic>
          </wp:inline>
        </w:drawing>
      </w:r>
    </w:p>
    <w:p w14:paraId="6C03F682">
      <w:pPr>
        <w:rPr>
          <w:rFonts w:hint="default"/>
          <w:lang w:val="en-US" w:eastAsia="zh-CN"/>
        </w:rPr>
      </w:pPr>
      <w:r>
        <w:rPr>
          <w:rFonts w:hint="default"/>
          <w:lang w:val="en-US" w:eastAsia="zh-CN"/>
        </w:rPr>
        <w:br w:type="page"/>
      </w:r>
    </w:p>
    <w:p w14:paraId="4A61519A">
      <w:pPr>
        <w:rPr>
          <w:rFonts w:hint="eastAsia"/>
          <w:b/>
          <w:bCs/>
          <w:sz w:val="28"/>
          <w:szCs w:val="28"/>
        </w:rPr>
      </w:pPr>
      <w:r>
        <w:rPr>
          <w:rFonts w:hint="eastAsia"/>
          <w:b/>
          <w:bCs/>
          <w:sz w:val="28"/>
          <w:szCs w:val="28"/>
        </w:rPr>
        <w:t>附件2项目备案表</w:t>
      </w:r>
    </w:p>
    <w:p w14:paraId="2C0BBFD0">
      <w:pPr>
        <w:pStyle w:val="4"/>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5129530" cy="8306435"/>
            <wp:effectExtent l="0" t="0" r="13970" b="18415"/>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pic:cNvPicPr>
                      <a:picLocks noChangeAspect="1"/>
                    </pic:cNvPicPr>
                  </pic:nvPicPr>
                  <pic:blipFill>
                    <a:blip r:embed="rId37"/>
                    <a:stretch>
                      <a:fillRect/>
                    </a:stretch>
                  </pic:blipFill>
                  <pic:spPr>
                    <a:xfrm>
                      <a:off x="0" y="0"/>
                      <a:ext cx="5129530" cy="8306435"/>
                    </a:xfrm>
                    <a:prstGeom prst="rect">
                      <a:avLst/>
                    </a:prstGeom>
                    <a:noFill/>
                    <a:ln>
                      <a:noFill/>
                    </a:ln>
                  </pic:spPr>
                </pic:pic>
              </a:graphicData>
            </a:graphic>
          </wp:inline>
        </w:drawing>
      </w:r>
    </w:p>
    <w:p w14:paraId="7F3205E7">
      <w:pPr>
        <w:jc w:val="left"/>
        <w:rPr>
          <w:rFonts w:hint="eastAsia"/>
          <w:b/>
          <w:bCs/>
          <w:sz w:val="28"/>
          <w:szCs w:val="28"/>
          <w:lang w:val="en-US" w:eastAsia="zh-CN"/>
        </w:rPr>
      </w:pPr>
      <w:r>
        <w:rPr>
          <w:rFonts w:hint="eastAsia"/>
          <w:b/>
          <w:bCs/>
          <w:sz w:val="28"/>
          <w:szCs w:val="28"/>
        </w:rPr>
        <w:t>附件</w:t>
      </w:r>
      <w:r>
        <w:rPr>
          <w:rFonts w:hint="eastAsia"/>
          <w:b/>
          <w:bCs/>
          <w:sz w:val="28"/>
          <w:szCs w:val="28"/>
          <w:lang w:val="en-US" w:eastAsia="zh-CN"/>
        </w:rPr>
        <w:t>3建设用地规划许可证</w:t>
      </w:r>
    </w:p>
    <w:p w14:paraId="444310BB">
      <w:pPr>
        <w:jc w:val="center"/>
        <w:sectPr>
          <w:pgSz w:w="11906" w:h="16838"/>
          <w:pgMar w:top="1440" w:right="1800" w:bottom="1440" w:left="1800" w:header="851" w:footer="992" w:gutter="0"/>
          <w:pgNumType w:fmt="decimal"/>
          <w:cols w:space="425" w:num="1"/>
          <w:docGrid w:type="lines" w:linePitch="312" w:charSpace="0"/>
        </w:sectPr>
      </w:pPr>
      <w:r>
        <w:drawing>
          <wp:inline distT="0" distB="0" distL="114300" distR="114300">
            <wp:extent cx="8121015" cy="5307965"/>
            <wp:effectExtent l="0" t="0" r="6985" b="13335"/>
            <wp:docPr id="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1"/>
                    <pic:cNvPicPr>
                      <a:picLocks noChangeAspect="1"/>
                    </pic:cNvPicPr>
                  </pic:nvPicPr>
                  <pic:blipFill>
                    <a:blip r:embed="rId38"/>
                    <a:stretch>
                      <a:fillRect/>
                    </a:stretch>
                  </pic:blipFill>
                  <pic:spPr>
                    <a:xfrm rot="16200000">
                      <a:off x="0" y="0"/>
                      <a:ext cx="8121015" cy="5307965"/>
                    </a:xfrm>
                    <a:prstGeom prst="rect">
                      <a:avLst/>
                    </a:prstGeom>
                    <a:noFill/>
                    <a:ln>
                      <a:noFill/>
                    </a:ln>
                  </pic:spPr>
                </pic:pic>
              </a:graphicData>
            </a:graphic>
          </wp:inline>
        </w:drawing>
      </w:r>
      <w:bookmarkStart w:id="3" w:name="_GoBack"/>
      <w:bookmarkEnd w:id="3"/>
    </w:p>
    <w:p w14:paraId="2FFD2C76">
      <w:pPr>
        <w:rPr>
          <w:rFonts w:hint="default"/>
          <w:b/>
          <w:bCs/>
          <w:sz w:val="28"/>
          <w:szCs w:val="28"/>
          <w:lang w:val="en-US" w:eastAsia="zh-CN"/>
        </w:rPr>
      </w:pPr>
      <w:r>
        <w:rPr>
          <w:rFonts w:hint="eastAsia"/>
          <w:b/>
          <w:bCs/>
          <w:sz w:val="28"/>
          <w:szCs w:val="28"/>
        </w:rPr>
        <w:t>附件</w:t>
      </w:r>
      <w:r>
        <w:rPr>
          <w:rFonts w:hint="eastAsia"/>
          <w:b/>
          <w:bCs/>
          <w:sz w:val="28"/>
          <w:szCs w:val="28"/>
          <w:lang w:val="en-US" w:eastAsia="zh-CN"/>
        </w:rPr>
        <w:t>4不动产权证</w:t>
      </w:r>
    </w:p>
    <w:p w14:paraId="42E2AF2E">
      <w:pPr>
        <w:rPr>
          <w:rFonts w:hint="eastAsia"/>
          <w:b/>
          <w:bCs/>
          <w:sz w:val="28"/>
          <w:szCs w:val="28"/>
        </w:rPr>
      </w:pPr>
      <w:r>
        <w:drawing>
          <wp:inline distT="0" distB="0" distL="114300" distR="114300">
            <wp:extent cx="5803265" cy="8094345"/>
            <wp:effectExtent l="0" t="0" r="3175" b="1333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39"/>
                    <a:stretch>
                      <a:fillRect/>
                    </a:stretch>
                  </pic:blipFill>
                  <pic:spPr>
                    <a:xfrm>
                      <a:off x="0" y="0"/>
                      <a:ext cx="5803265" cy="8094345"/>
                    </a:xfrm>
                    <a:prstGeom prst="rect">
                      <a:avLst/>
                    </a:prstGeom>
                    <a:noFill/>
                    <a:ln>
                      <a:noFill/>
                    </a:ln>
                  </pic:spPr>
                </pic:pic>
              </a:graphicData>
            </a:graphic>
          </wp:inline>
        </w:drawing>
      </w:r>
      <w:r>
        <w:rPr>
          <w:rFonts w:hint="eastAsia"/>
          <w:b/>
          <w:bCs/>
          <w:sz w:val="28"/>
          <w:szCs w:val="28"/>
        </w:rPr>
        <w:br w:type="page"/>
      </w:r>
    </w:p>
    <w:p w14:paraId="220C7DCE">
      <w:pPr>
        <w:rPr>
          <w:rFonts w:hint="eastAsia"/>
          <w:b/>
          <w:bCs/>
          <w:sz w:val="28"/>
          <w:szCs w:val="28"/>
          <w:lang w:val="en-US" w:eastAsia="zh-CN"/>
        </w:rPr>
      </w:pPr>
      <w:r>
        <w:rPr>
          <w:rFonts w:hint="eastAsia"/>
          <w:b/>
          <w:bCs/>
          <w:sz w:val="28"/>
          <w:szCs w:val="28"/>
        </w:rPr>
        <w:t>附件</w:t>
      </w:r>
      <w:r>
        <w:rPr>
          <w:rFonts w:hint="eastAsia"/>
          <w:b/>
          <w:bCs/>
          <w:sz w:val="28"/>
          <w:szCs w:val="28"/>
          <w:lang w:val="en-US" w:eastAsia="zh-CN"/>
        </w:rPr>
        <w:t>5证明</w:t>
      </w:r>
    </w:p>
    <w:p w14:paraId="7D348717">
      <w:pPr>
        <w:rPr>
          <w:rFonts w:hint="eastAsia"/>
          <w:b/>
          <w:bCs/>
          <w:sz w:val="28"/>
          <w:szCs w:val="28"/>
        </w:rPr>
      </w:pPr>
      <w:r>
        <w:rPr>
          <w:rFonts w:hint="eastAsia"/>
          <w:b/>
          <w:bCs/>
          <w:sz w:val="28"/>
          <w:szCs w:val="28"/>
        </w:rPr>
        <w:drawing>
          <wp:inline distT="0" distB="0" distL="114300" distR="114300">
            <wp:extent cx="5829300" cy="8243570"/>
            <wp:effectExtent l="0" t="0" r="7620" b="1270"/>
            <wp:docPr id="42" name="图片 42" descr="入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入驻证明"/>
                    <pic:cNvPicPr>
                      <a:picLocks noChangeAspect="1"/>
                    </pic:cNvPicPr>
                  </pic:nvPicPr>
                  <pic:blipFill>
                    <a:blip r:embed="rId40"/>
                    <a:stretch>
                      <a:fillRect/>
                    </a:stretch>
                  </pic:blipFill>
                  <pic:spPr>
                    <a:xfrm>
                      <a:off x="0" y="0"/>
                      <a:ext cx="5829300" cy="8243570"/>
                    </a:xfrm>
                    <a:prstGeom prst="rect">
                      <a:avLst/>
                    </a:prstGeom>
                  </pic:spPr>
                </pic:pic>
              </a:graphicData>
            </a:graphic>
          </wp:inline>
        </w:drawing>
      </w:r>
      <w:r>
        <w:rPr>
          <w:rFonts w:hint="eastAsia"/>
          <w:b/>
          <w:bCs/>
          <w:sz w:val="28"/>
          <w:szCs w:val="28"/>
        </w:rPr>
        <w:br w:type="page"/>
      </w:r>
    </w:p>
    <w:p w14:paraId="445D493E">
      <w:pPr>
        <w:pStyle w:val="4"/>
        <w:jc w:val="left"/>
        <w:rPr>
          <w:rFonts w:hint="eastAsia"/>
          <w:b/>
          <w:bCs/>
          <w:sz w:val="28"/>
          <w:szCs w:val="28"/>
        </w:rPr>
      </w:pPr>
      <w:r>
        <w:rPr>
          <w:rFonts w:hint="eastAsia"/>
          <w:b/>
          <w:bCs/>
          <w:sz w:val="28"/>
          <w:szCs w:val="28"/>
        </w:rPr>
        <w:t>附件</w:t>
      </w:r>
      <w:r>
        <w:rPr>
          <w:rFonts w:hint="eastAsia"/>
          <w:b/>
          <w:bCs/>
          <w:sz w:val="28"/>
          <w:szCs w:val="28"/>
          <w:lang w:val="en-US" w:eastAsia="zh-CN"/>
        </w:rPr>
        <w:t>6确认</w:t>
      </w:r>
      <w:r>
        <w:rPr>
          <w:rFonts w:hint="eastAsia"/>
          <w:b/>
          <w:bCs/>
          <w:sz w:val="28"/>
          <w:szCs w:val="28"/>
        </w:rPr>
        <w:t>书</w:t>
      </w:r>
    </w:p>
    <w:p w14:paraId="6376F0CA">
      <w:pPr>
        <w:rPr>
          <w:rFonts w:hint="eastAsia" w:eastAsia="宋体"/>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eastAsia="宋体"/>
          <w:lang w:val="en-US" w:eastAsia="zh-CN"/>
        </w:rPr>
        <w:drawing>
          <wp:inline distT="0" distB="0" distL="114300" distR="114300">
            <wp:extent cx="5270500" cy="4633595"/>
            <wp:effectExtent l="0" t="0" r="6350" b="14605"/>
            <wp:docPr id="32" name="图片 32" descr="确认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确认书"/>
                    <pic:cNvPicPr>
                      <a:picLocks noChangeAspect="1"/>
                    </pic:cNvPicPr>
                  </pic:nvPicPr>
                  <pic:blipFill>
                    <a:blip r:embed="rId41"/>
                    <a:srcRect l="14117" t="12173" r="14045" b="43507"/>
                    <a:stretch>
                      <a:fillRect/>
                    </a:stretch>
                  </pic:blipFill>
                  <pic:spPr>
                    <a:xfrm>
                      <a:off x="0" y="0"/>
                      <a:ext cx="5270500" cy="4633595"/>
                    </a:xfrm>
                    <a:prstGeom prst="rect">
                      <a:avLst/>
                    </a:prstGeom>
                  </pic:spPr>
                </pic:pic>
              </a:graphicData>
            </a:graphic>
          </wp:inline>
        </w:drawing>
      </w:r>
    </w:p>
    <w:p w14:paraId="6E020DE9">
      <w:pPr>
        <w:rPr>
          <w:rFonts w:hint="eastAsia" w:eastAsia="宋体"/>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eastAsia="宋体"/>
          <w:lang w:val="en-US" w:eastAsia="zh-CN"/>
        </w:rPr>
        <w:drawing>
          <wp:inline distT="0" distB="0" distL="114300" distR="114300">
            <wp:extent cx="8456930" cy="5925185"/>
            <wp:effectExtent l="0" t="0" r="3175" b="1270"/>
            <wp:docPr id="35" name="图片 35" descr="审批意见-扫描件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审批意见-扫描件01"/>
                    <pic:cNvPicPr>
                      <a:picLocks noChangeAspect="1"/>
                    </pic:cNvPicPr>
                  </pic:nvPicPr>
                  <pic:blipFill>
                    <a:blip r:embed="rId42"/>
                    <a:stretch>
                      <a:fillRect/>
                    </a:stretch>
                  </pic:blipFill>
                  <pic:spPr>
                    <a:xfrm rot="16200000">
                      <a:off x="0" y="0"/>
                      <a:ext cx="8456930" cy="5925185"/>
                    </a:xfrm>
                    <a:prstGeom prst="rect">
                      <a:avLst/>
                    </a:prstGeom>
                  </pic:spPr>
                </pic:pic>
              </a:graphicData>
            </a:graphic>
          </wp:inline>
        </w:drawing>
      </w:r>
    </w:p>
    <w:p w14:paraId="748CD268">
      <w:pPr>
        <w:rPr>
          <w:rFonts w:hint="eastAsia" w:eastAsia="宋体"/>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eastAsia="宋体"/>
          <w:lang w:val="en-US" w:eastAsia="zh-CN"/>
        </w:rPr>
        <w:drawing>
          <wp:inline distT="0" distB="0" distL="114300" distR="114300">
            <wp:extent cx="8474710" cy="5932170"/>
            <wp:effectExtent l="0" t="0" r="11430" b="13970"/>
            <wp:docPr id="46" name="图片 46" descr="审批意见-扫描件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审批意见-扫描件02"/>
                    <pic:cNvPicPr>
                      <a:picLocks noChangeAspect="1"/>
                    </pic:cNvPicPr>
                  </pic:nvPicPr>
                  <pic:blipFill>
                    <a:blip r:embed="rId43"/>
                    <a:stretch>
                      <a:fillRect/>
                    </a:stretch>
                  </pic:blipFill>
                  <pic:spPr>
                    <a:xfrm rot="16200000">
                      <a:off x="0" y="0"/>
                      <a:ext cx="8474710" cy="5932170"/>
                    </a:xfrm>
                    <a:prstGeom prst="rect">
                      <a:avLst/>
                    </a:prstGeom>
                  </pic:spPr>
                </pic:pic>
              </a:graphicData>
            </a:graphic>
          </wp:inline>
        </w:drawing>
      </w:r>
    </w:p>
    <w:p w14:paraId="4B3359A7">
      <w:pPr>
        <w:rPr>
          <w:rFonts w:hint="eastAsia" w:eastAsia="宋体"/>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eastAsia="宋体"/>
          <w:lang w:val="en-US" w:eastAsia="zh-CN"/>
        </w:rPr>
        <w:drawing>
          <wp:inline distT="0" distB="0" distL="114300" distR="114300">
            <wp:extent cx="8437245" cy="5930900"/>
            <wp:effectExtent l="0" t="0" r="12700" b="5715"/>
            <wp:docPr id="48" name="图片 48" descr="专家复审意见-扫描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专家复审意见-扫描件"/>
                    <pic:cNvPicPr>
                      <a:picLocks noChangeAspect="1"/>
                    </pic:cNvPicPr>
                  </pic:nvPicPr>
                  <pic:blipFill>
                    <a:blip r:embed="rId44"/>
                    <a:stretch>
                      <a:fillRect/>
                    </a:stretch>
                  </pic:blipFill>
                  <pic:spPr>
                    <a:xfrm rot="16200000">
                      <a:off x="0" y="0"/>
                      <a:ext cx="8437245" cy="5930900"/>
                    </a:xfrm>
                    <a:prstGeom prst="rect">
                      <a:avLst/>
                    </a:prstGeom>
                  </pic:spPr>
                </pic:pic>
              </a:graphicData>
            </a:graphic>
          </wp:inline>
        </w:drawing>
      </w:r>
    </w:p>
    <w:p w14:paraId="1192F5CC">
      <w:pPr>
        <w:rPr>
          <w:rFonts w:hint="eastAsia" w:eastAsia="宋体"/>
          <w:lang w:val="en-US" w:eastAsia="zh-CN"/>
        </w:rPr>
        <w:sectPr>
          <w:pgSz w:w="16838" w:h="11906" w:orient="landscape"/>
          <w:pgMar w:top="1800" w:right="1440" w:bottom="1800" w:left="1440" w:header="851" w:footer="992" w:gutter="0"/>
          <w:pgNumType w:fmt="decimal"/>
          <w:cols w:space="425" w:num="1"/>
          <w:docGrid w:type="lines" w:linePitch="312" w:charSpace="0"/>
        </w:sectPr>
      </w:pPr>
      <w:r>
        <w:rPr>
          <w:rFonts w:hint="eastAsia" w:eastAsia="宋体"/>
          <w:lang w:val="en-US" w:eastAsia="zh-CN"/>
        </w:rPr>
        <w:drawing>
          <wp:inline distT="0" distB="0" distL="114300" distR="114300">
            <wp:extent cx="9432925" cy="4822825"/>
            <wp:effectExtent l="0" t="0" r="635" b="8255"/>
            <wp:docPr id="49" name="图片 49" descr="评审专家组名单-扫描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评审专家组名单-扫描件"/>
                    <pic:cNvPicPr>
                      <a:picLocks noChangeAspect="1"/>
                    </pic:cNvPicPr>
                  </pic:nvPicPr>
                  <pic:blipFill>
                    <a:blip r:embed="rId45"/>
                    <a:srcRect l="5507" t="16727" r="7394" b="19836"/>
                    <a:stretch>
                      <a:fillRect/>
                    </a:stretch>
                  </pic:blipFill>
                  <pic:spPr>
                    <a:xfrm>
                      <a:off x="0" y="0"/>
                      <a:ext cx="9432925" cy="4822825"/>
                    </a:xfrm>
                    <a:prstGeom prst="rect">
                      <a:avLst/>
                    </a:prstGeom>
                  </pic:spPr>
                </pic:pic>
              </a:graphicData>
            </a:graphic>
          </wp:inline>
        </w:drawing>
      </w:r>
    </w:p>
    <w:p w14:paraId="03A42562">
      <w:pPr>
        <w:jc w:val="center"/>
        <w:rPr>
          <w:rFonts w:hint="eastAsia" w:ascii="仿宋_GB2312" w:eastAsia="仿宋_GB2312"/>
          <w:b/>
          <w:bCs/>
          <w:sz w:val="28"/>
          <w:szCs w:val="28"/>
          <w:u w:val="none"/>
          <w:lang w:val="en-US" w:eastAsia="zh-CN"/>
        </w:rPr>
      </w:pPr>
      <w:r>
        <w:rPr>
          <w:rFonts w:hint="eastAsia" w:ascii="仿宋_GB2312" w:eastAsia="仿宋_GB2312"/>
          <w:b/>
          <w:bCs/>
          <w:sz w:val="28"/>
          <w:szCs w:val="28"/>
          <w:u w:val="none"/>
          <w:lang w:val="en-US" w:eastAsia="zh-CN"/>
        </w:rPr>
        <w:t>年产16万吨低温脆化技术固态再生资源综合利用项目环境影响报告表技术审批意见修改说明</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8"/>
        <w:gridCol w:w="3352"/>
      </w:tblGrid>
      <w:tr w14:paraId="06B1B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6978" w:type="dxa"/>
          </w:tcPr>
          <w:p w14:paraId="40086EFC">
            <w:pPr>
              <w:jc w:val="center"/>
              <w:rPr>
                <w:rFonts w:hint="default"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专家意见</w:t>
            </w:r>
          </w:p>
        </w:tc>
        <w:tc>
          <w:tcPr>
            <w:tcW w:w="3352" w:type="dxa"/>
          </w:tcPr>
          <w:p w14:paraId="11AA8D8F">
            <w:pPr>
              <w:jc w:val="center"/>
              <w:rPr>
                <w:rFonts w:hint="default"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修改说明</w:t>
            </w:r>
          </w:p>
        </w:tc>
      </w:tr>
      <w:tr w14:paraId="20559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8" w:type="dxa"/>
          </w:tcPr>
          <w:p w14:paraId="1CD91AA6">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default" w:ascii="仿宋_GB2312" w:eastAsia="仿宋_GB2312"/>
                <w:b/>
                <w:bCs/>
                <w:sz w:val="28"/>
                <w:szCs w:val="28"/>
                <w:u w:val="none"/>
                <w:vertAlign w:val="baseline"/>
                <w:lang w:val="en-US" w:eastAsia="zh-CN"/>
              </w:rPr>
            </w:pPr>
            <w:r>
              <w:rPr>
                <w:rFonts w:hint="default" w:ascii="Times New Roman" w:hAnsi="Times New Roman" w:eastAsia="仿宋" w:cs="Times New Roman"/>
                <w:sz w:val="28"/>
                <w:szCs w:val="28"/>
                <w:lang w:val="en-US" w:eastAsia="zh-CN"/>
              </w:rPr>
              <w:t>1、</w:t>
            </w:r>
            <w:r>
              <w:rPr>
                <w:rFonts w:hint="eastAsia" w:ascii="Times New Roman" w:hAnsi="Times New Roman" w:eastAsia="仿宋" w:cs="Times New Roman"/>
                <w:sz w:val="28"/>
                <w:szCs w:val="28"/>
                <w:lang w:val="en-US" w:eastAsia="zh-CN"/>
              </w:rPr>
              <w:t>调查核实南乐县产业集聚区最新规划及规划环评情况，据此分析本项目与南乐县产业集聚区规划及规划环评的相符性分析；</w:t>
            </w:r>
            <w:r>
              <w:rPr>
                <w:rFonts w:hint="default" w:ascii="Times New Roman" w:hAnsi="Times New Roman" w:eastAsia="仿宋" w:cs="Times New Roman"/>
                <w:sz w:val="28"/>
                <w:szCs w:val="28"/>
                <w:lang w:val="en-US" w:eastAsia="zh-CN"/>
              </w:rPr>
              <w:t>根据河南省最新环保政策，完善“三线一单”及项目所在区域分区管控情况分析</w:t>
            </w:r>
            <w:r>
              <w:rPr>
                <w:rFonts w:hint="eastAsia" w:ascii="Times New Roman" w:hAnsi="Times New Roman" w:eastAsia="仿宋" w:cs="Times New Roman"/>
                <w:sz w:val="28"/>
                <w:szCs w:val="28"/>
                <w:lang w:val="en-US" w:eastAsia="zh-CN"/>
              </w:rPr>
              <w:t>，补充本项目与重污染天气绩效分析指南相关内容分析，补充本项目与《废旧轮胎综合利用行业规范条件》等废旧轮胎回收利用相关政策相符性分析。</w:t>
            </w:r>
          </w:p>
        </w:tc>
        <w:tc>
          <w:tcPr>
            <w:tcW w:w="3352" w:type="dxa"/>
            <w:vAlign w:val="center"/>
          </w:tcPr>
          <w:p w14:paraId="6FC8DBF0">
            <w:pPr>
              <w:jc w:val="left"/>
              <w:rPr>
                <w:rFonts w:hint="default"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修改见报告P2-P4、P6-P9、P12-P13、P15、P17-P20、P22-P30黑色下划线部分</w:t>
            </w:r>
          </w:p>
        </w:tc>
      </w:tr>
      <w:tr w14:paraId="7027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8" w:type="dxa"/>
          </w:tcPr>
          <w:p w14:paraId="0364D8DA">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default" w:ascii="仿宋_GB2312" w:eastAsia="仿宋_GB2312"/>
                <w:b/>
                <w:bCs/>
                <w:sz w:val="28"/>
                <w:szCs w:val="28"/>
                <w:u w:val="none"/>
                <w:vertAlign w:val="baseline"/>
                <w:lang w:val="en-US" w:eastAsia="zh-CN"/>
              </w:rPr>
            </w:pPr>
            <w:r>
              <w:rPr>
                <w:rFonts w:hint="eastAsia" w:ascii="Times New Roman" w:hAnsi="Times New Roman" w:eastAsia="仿宋" w:cs="Times New Roman"/>
                <w:sz w:val="28"/>
                <w:szCs w:val="28"/>
                <w:lang w:val="en-US" w:eastAsia="zh-CN"/>
              </w:rPr>
              <w:t>2、细化本项目基本情况、项目组成等建设内容分析，明确废旧轮胎收集种类，补充本项目产品执行质量标准及符合性分析内容，完善环境质量现状调查，核实本项目污染物排放标准。</w:t>
            </w:r>
          </w:p>
        </w:tc>
        <w:tc>
          <w:tcPr>
            <w:tcW w:w="3352" w:type="dxa"/>
            <w:vAlign w:val="center"/>
          </w:tcPr>
          <w:p w14:paraId="72972AEB">
            <w:pPr>
              <w:jc w:val="left"/>
              <w:rPr>
                <w:rFonts w:hint="default"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修改见报告P34、P35-P36、P42-P43、P48-P49黑色下划线部分</w:t>
            </w:r>
          </w:p>
        </w:tc>
      </w:tr>
      <w:tr w14:paraId="5723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8" w:type="dxa"/>
          </w:tcPr>
          <w:p w14:paraId="1D710B2C">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default" w:ascii="仿宋_GB2312" w:eastAsia="仿宋_GB2312"/>
                <w:b/>
                <w:bCs/>
                <w:sz w:val="28"/>
                <w:szCs w:val="28"/>
                <w:u w:val="none"/>
                <w:vertAlign w:val="baseline"/>
                <w:lang w:val="en-US" w:eastAsia="zh-CN"/>
              </w:rPr>
            </w:pPr>
            <w:r>
              <w:rPr>
                <w:rFonts w:hint="eastAsia" w:ascii="Times New Roman" w:hAnsi="Times New Roman" w:eastAsia="仿宋" w:cs="Times New Roman"/>
                <w:sz w:val="28"/>
                <w:szCs w:val="28"/>
                <w:lang w:val="en-US" w:eastAsia="zh-CN"/>
              </w:rPr>
              <w:t>3、核实本项目物料平衡，细化本项目生产工艺及产排污环节分析，据此核实废物污染物产生因子，核实本项目废气源强核算依据，细化废气污染防治措施可行性分析，完善自行监测相关内容（废气、废水）。</w:t>
            </w:r>
          </w:p>
        </w:tc>
        <w:tc>
          <w:tcPr>
            <w:tcW w:w="3352" w:type="dxa"/>
            <w:vAlign w:val="center"/>
          </w:tcPr>
          <w:p w14:paraId="484562CB">
            <w:pPr>
              <w:jc w:val="left"/>
              <w:rPr>
                <w:rFonts w:hint="default"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修改见报告P54-P64黑色下划线部分</w:t>
            </w:r>
          </w:p>
        </w:tc>
      </w:tr>
      <w:tr w14:paraId="7C4CD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78" w:type="dxa"/>
          </w:tcPr>
          <w:p w14:paraId="4C59F40F">
            <w:pPr>
              <w:pStyle w:val="2"/>
              <w:ind w:left="0" w:leftChars="0" w:firstLine="0" w:firstLineChars="0"/>
              <w:rPr>
                <w:rFonts w:hint="default" w:ascii="仿宋_GB2312" w:eastAsia="仿宋_GB2312"/>
                <w:b/>
                <w:bCs/>
                <w:sz w:val="28"/>
                <w:szCs w:val="28"/>
                <w:u w:val="none"/>
                <w:vertAlign w:val="baseline"/>
                <w:lang w:val="en-US" w:eastAsia="zh-CN"/>
              </w:rPr>
            </w:pPr>
            <w:r>
              <w:rPr>
                <w:rFonts w:hint="eastAsia" w:ascii="Times New Roman" w:hAnsi="Times New Roman" w:eastAsia="仿宋" w:cs="Times New Roman"/>
                <w:sz w:val="28"/>
                <w:szCs w:val="28"/>
                <w:lang w:val="en-US" w:eastAsia="zh-CN"/>
              </w:rPr>
              <w:t>4、核实本项目噪声污染源，据此完善噪声环境影响分析，完善固体废物产生种类及产生量分析内容；补充本项目环境风险分析内容，完善相关附图附件。</w:t>
            </w:r>
          </w:p>
        </w:tc>
        <w:tc>
          <w:tcPr>
            <w:tcW w:w="3352" w:type="dxa"/>
            <w:vAlign w:val="center"/>
          </w:tcPr>
          <w:p w14:paraId="5BCC7758">
            <w:pPr>
              <w:jc w:val="left"/>
              <w:rPr>
                <w:rFonts w:hint="default" w:ascii="仿宋_GB2312" w:eastAsia="仿宋_GB2312"/>
                <w:b/>
                <w:bCs/>
                <w:sz w:val="28"/>
                <w:szCs w:val="28"/>
                <w:u w:val="none"/>
                <w:vertAlign w:val="baseline"/>
                <w:lang w:val="en-US" w:eastAsia="zh-CN"/>
              </w:rPr>
            </w:pPr>
            <w:r>
              <w:rPr>
                <w:rFonts w:hint="eastAsia" w:ascii="仿宋_GB2312" w:eastAsia="仿宋_GB2312"/>
                <w:b/>
                <w:bCs/>
                <w:sz w:val="28"/>
                <w:szCs w:val="28"/>
                <w:u w:val="none"/>
                <w:vertAlign w:val="baseline"/>
                <w:lang w:val="en-US" w:eastAsia="zh-CN"/>
              </w:rPr>
              <w:t>修改见报告P68、P71-P73、P76-P77黑色下划线部分及附图附件</w:t>
            </w:r>
          </w:p>
        </w:tc>
      </w:tr>
    </w:tbl>
    <w:p w14:paraId="1ADC9B7D">
      <w:pPr>
        <w:rPr>
          <w:rFonts w:hint="eastAsia" w:eastAsia="宋体"/>
          <w:lang w:val="en-US" w:eastAsia="zh-CN"/>
        </w:rPr>
      </w:pPr>
    </w:p>
    <w:sectPr>
      <w:pgSz w:w="11906" w:h="16838"/>
      <w:pgMar w:top="720" w:right="720" w:bottom="720" w:left="72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1385B">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FC3097">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CF2D58">
                          <w:pPr>
                            <w:pStyle w:val="12"/>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6FCF2D58">
                    <w:pPr>
                      <w:pStyle w:val="12"/>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CCC50">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CEC688">
                          <w:pPr>
                            <w:pStyle w:val="12"/>
                          </w:pPr>
                          <w:r>
                            <w:fldChar w:fldCharType="begin"/>
                          </w:r>
                          <w:r>
                            <w:instrText xml:space="preserve"> PAGE  \* MERGEFORMAT </w:instrText>
                          </w:r>
                          <w:r>
                            <w:fldChar w:fldCharType="separate"/>
                          </w:r>
                          <w:r>
                            <w:t>- 83 -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40CEC688">
                    <w:pPr>
                      <w:pStyle w:val="12"/>
                    </w:pPr>
                    <w:r>
                      <w:fldChar w:fldCharType="begin"/>
                    </w:r>
                    <w:r>
                      <w:instrText xml:space="preserve"> PAGE  \* MERGEFORMAT </w:instrText>
                    </w:r>
                    <w:r>
                      <w:fldChar w:fldCharType="separate"/>
                    </w:r>
                    <w:r>
                      <w:t>- 83 -</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C9F0F6"/>
    <w:multiLevelType w:val="singleLevel"/>
    <w:tmpl w:val="89C9F0F6"/>
    <w:lvl w:ilvl="0" w:tentative="0">
      <w:start w:val="1"/>
      <w:numFmt w:val="decimal"/>
      <w:suff w:val="nothing"/>
      <w:lvlText w:val="（%1）"/>
      <w:lvlJc w:val="left"/>
    </w:lvl>
  </w:abstractNum>
  <w:abstractNum w:abstractNumId="1">
    <w:nsid w:val="1EFF50C0"/>
    <w:multiLevelType w:val="multilevel"/>
    <w:tmpl w:val="1EFF50C0"/>
    <w:lvl w:ilvl="0" w:tentative="0">
      <w:start w:val="1"/>
      <w:numFmt w:val="decimal"/>
      <w:pStyle w:val="20"/>
      <w:lvlText w:val="表%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F7D7D05"/>
    <w:multiLevelType w:val="singleLevel"/>
    <w:tmpl w:val="3F7D7D05"/>
    <w:lvl w:ilvl="0" w:tentative="0">
      <w:start w:val="1"/>
      <w:numFmt w:val="decimal"/>
      <w:suff w:val="nothing"/>
      <w:lvlText w:val="%1、"/>
      <w:lvlJc w:val="left"/>
    </w:lvl>
  </w:abstractNum>
  <w:abstractNum w:abstractNumId="3">
    <w:nsid w:val="418CEFCE"/>
    <w:multiLevelType w:val="singleLevel"/>
    <w:tmpl w:val="418CEFCE"/>
    <w:lvl w:ilvl="0" w:tentative="0">
      <w:start w:val="1"/>
      <w:numFmt w:val="decimal"/>
      <w:pStyle w:val="26"/>
      <w:lvlText w:val="图%1"/>
      <w:lvlJc w:val="center"/>
      <w:pPr>
        <w:tabs>
          <w:tab w:val="left" w:pos="420"/>
        </w:tabs>
        <w:ind w:left="0" w:firstLine="0"/>
      </w:pPr>
      <w:rPr>
        <w:rFonts w:hint="default" w:ascii="宋体" w:hAnsi="宋体" w:eastAsia="宋体" w:cs="Times New Roman"/>
        <w:sz w:val="22"/>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mNjk2YzZiYTBmYTdmODcyMWI1NjdhYzI3YzI2NWYifQ=="/>
  </w:docVars>
  <w:rsids>
    <w:rsidRoot w:val="19096FA3"/>
    <w:rsid w:val="005D05AF"/>
    <w:rsid w:val="0132236E"/>
    <w:rsid w:val="01352B58"/>
    <w:rsid w:val="01617221"/>
    <w:rsid w:val="01635D69"/>
    <w:rsid w:val="016C07AD"/>
    <w:rsid w:val="01DA03AC"/>
    <w:rsid w:val="01F8440D"/>
    <w:rsid w:val="028E1C39"/>
    <w:rsid w:val="02C646E1"/>
    <w:rsid w:val="02F079B0"/>
    <w:rsid w:val="0345219F"/>
    <w:rsid w:val="03513122"/>
    <w:rsid w:val="03BF2FA7"/>
    <w:rsid w:val="03F57A09"/>
    <w:rsid w:val="04257844"/>
    <w:rsid w:val="04B95F48"/>
    <w:rsid w:val="05445596"/>
    <w:rsid w:val="05952729"/>
    <w:rsid w:val="05BB71C1"/>
    <w:rsid w:val="05F80A48"/>
    <w:rsid w:val="064C7E90"/>
    <w:rsid w:val="069A766F"/>
    <w:rsid w:val="069F7A54"/>
    <w:rsid w:val="06C82EF1"/>
    <w:rsid w:val="06EE445E"/>
    <w:rsid w:val="07A2250F"/>
    <w:rsid w:val="080F1A0A"/>
    <w:rsid w:val="0827380D"/>
    <w:rsid w:val="08771BE2"/>
    <w:rsid w:val="096A04BC"/>
    <w:rsid w:val="097E067B"/>
    <w:rsid w:val="09961545"/>
    <w:rsid w:val="0A257257"/>
    <w:rsid w:val="0A585724"/>
    <w:rsid w:val="0B9C72CF"/>
    <w:rsid w:val="0BB73477"/>
    <w:rsid w:val="0BBA5644"/>
    <w:rsid w:val="0BBC0587"/>
    <w:rsid w:val="0C002085"/>
    <w:rsid w:val="0C131DE7"/>
    <w:rsid w:val="0C1D123A"/>
    <w:rsid w:val="0C384042"/>
    <w:rsid w:val="0C3D6637"/>
    <w:rsid w:val="0C6555BA"/>
    <w:rsid w:val="0C9C519B"/>
    <w:rsid w:val="0CB101B0"/>
    <w:rsid w:val="0D1129FD"/>
    <w:rsid w:val="0D161BE8"/>
    <w:rsid w:val="0D895740"/>
    <w:rsid w:val="0D895B18"/>
    <w:rsid w:val="0DD83AFF"/>
    <w:rsid w:val="0E4F1A2E"/>
    <w:rsid w:val="0E6E1CE6"/>
    <w:rsid w:val="0E993FFD"/>
    <w:rsid w:val="0F122862"/>
    <w:rsid w:val="0F225395"/>
    <w:rsid w:val="0F780A05"/>
    <w:rsid w:val="0F9A2676"/>
    <w:rsid w:val="0FA26614"/>
    <w:rsid w:val="0FC80537"/>
    <w:rsid w:val="0FFA5EBA"/>
    <w:rsid w:val="10055973"/>
    <w:rsid w:val="10A35BEF"/>
    <w:rsid w:val="11444718"/>
    <w:rsid w:val="11A9428A"/>
    <w:rsid w:val="12403ECB"/>
    <w:rsid w:val="125A04F6"/>
    <w:rsid w:val="12C26F59"/>
    <w:rsid w:val="130D010A"/>
    <w:rsid w:val="13232B16"/>
    <w:rsid w:val="132D637A"/>
    <w:rsid w:val="13394A5B"/>
    <w:rsid w:val="134037BF"/>
    <w:rsid w:val="138D500E"/>
    <w:rsid w:val="139601B4"/>
    <w:rsid w:val="13AD008D"/>
    <w:rsid w:val="14AF7D7E"/>
    <w:rsid w:val="14DC1B42"/>
    <w:rsid w:val="158001C0"/>
    <w:rsid w:val="15D742BF"/>
    <w:rsid w:val="160449D6"/>
    <w:rsid w:val="164D01AB"/>
    <w:rsid w:val="167209B0"/>
    <w:rsid w:val="16D43912"/>
    <w:rsid w:val="174B21C0"/>
    <w:rsid w:val="1756297C"/>
    <w:rsid w:val="1795028A"/>
    <w:rsid w:val="179559FB"/>
    <w:rsid w:val="17E06A45"/>
    <w:rsid w:val="184D70AE"/>
    <w:rsid w:val="18C32183"/>
    <w:rsid w:val="18C547B7"/>
    <w:rsid w:val="18F93FCA"/>
    <w:rsid w:val="19096FA3"/>
    <w:rsid w:val="1943352F"/>
    <w:rsid w:val="194B77F9"/>
    <w:rsid w:val="19B65058"/>
    <w:rsid w:val="1A0347C5"/>
    <w:rsid w:val="1A183AD4"/>
    <w:rsid w:val="1A594FBD"/>
    <w:rsid w:val="1A7A5B12"/>
    <w:rsid w:val="1AAA261B"/>
    <w:rsid w:val="1BAF532C"/>
    <w:rsid w:val="1BB6133F"/>
    <w:rsid w:val="1BE04D9B"/>
    <w:rsid w:val="1C78247D"/>
    <w:rsid w:val="1CE02090"/>
    <w:rsid w:val="1CF00366"/>
    <w:rsid w:val="1D055BD3"/>
    <w:rsid w:val="1DA768DB"/>
    <w:rsid w:val="1DA962DF"/>
    <w:rsid w:val="1E4B75AE"/>
    <w:rsid w:val="1E983969"/>
    <w:rsid w:val="1EB12D29"/>
    <w:rsid w:val="1ECA1644"/>
    <w:rsid w:val="1EE162B8"/>
    <w:rsid w:val="1F094509"/>
    <w:rsid w:val="1F3B4D62"/>
    <w:rsid w:val="1FCF29CF"/>
    <w:rsid w:val="1FD61FB0"/>
    <w:rsid w:val="1FF3022C"/>
    <w:rsid w:val="20501175"/>
    <w:rsid w:val="207601C9"/>
    <w:rsid w:val="20BA2452"/>
    <w:rsid w:val="20FF4B6B"/>
    <w:rsid w:val="21326062"/>
    <w:rsid w:val="21C818F1"/>
    <w:rsid w:val="2208666C"/>
    <w:rsid w:val="22176285"/>
    <w:rsid w:val="221B356C"/>
    <w:rsid w:val="228F176B"/>
    <w:rsid w:val="22F50ADD"/>
    <w:rsid w:val="234B1D3C"/>
    <w:rsid w:val="234C4563"/>
    <w:rsid w:val="23744BD3"/>
    <w:rsid w:val="23FC42FE"/>
    <w:rsid w:val="240E783E"/>
    <w:rsid w:val="243D52A1"/>
    <w:rsid w:val="24833D88"/>
    <w:rsid w:val="2494468F"/>
    <w:rsid w:val="24C7189E"/>
    <w:rsid w:val="24EC07E4"/>
    <w:rsid w:val="24F34BB8"/>
    <w:rsid w:val="252C00A2"/>
    <w:rsid w:val="25337113"/>
    <w:rsid w:val="26F25829"/>
    <w:rsid w:val="26FF0278"/>
    <w:rsid w:val="27452713"/>
    <w:rsid w:val="276835AB"/>
    <w:rsid w:val="27A767A3"/>
    <w:rsid w:val="27B41158"/>
    <w:rsid w:val="27C6290A"/>
    <w:rsid w:val="280545CB"/>
    <w:rsid w:val="284F6542"/>
    <w:rsid w:val="28B9246E"/>
    <w:rsid w:val="28E33DA2"/>
    <w:rsid w:val="29065508"/>
    <w:rsid w:val="29102675"/>
    <w:rsid w:val="29997109"/>
    <w:rsid w:val="299D24FB"/>
    <w:rsid w:val="29BF43EA"/>
    <w:rsid w:val="2A1A1930"/>
    <w:rsid w:val="2A200A49"/>
    <w:rsid w:val="2A444622"/>
    <w:rsid w:val="2A58525D"/>
    <w:rsid w:val="2A8069E5"/>
    <w:rsid w:val="2AF53000"/>
    <w:rsid w:val="2B367DA6"/>
    <w:rsid w:val="2B732DA8"/>
    <w:rsid w:val="2B804492"/>
    <w:rsid w:val="2B8E3A74"/>
    <w:rsid w:val="2B992777"/>
    <w:rsid w:val="2BDD257A"/>
    <w:rsid w:val="2C626470"/>
    <w:rsid w:val="2C7943EA"/>
    <w:rsid w:val="2CF57955"/>
    <w:rsid w:val="2D1F1B60"/>
    <w:rsid w:val="2D3465F7"/>
    <w:rsid w:val="2DE54CD9"/>
    <w:rsid w:val="2E0B0794"/>
    <w:rsid w:val="2E5B1905"/>
    <w:rsid w:val="2E5C55A3"/>
    <w:rsid w:val="2E8B0FD4"/>
    <w:rsid w:val="2E9673A9"/>
    <w:rsid w:val="2F177F34"/>
    <w:rsid w:val="2F3565C7"/>
    <w:rsid w:val="2F454B1C"/>
    <w:rsid w:val="2F860AB3"/>
    <w:rsid w:val="2FA86D99"/>
    <w:rsid w:val="2FEB5ED5"/>
    <w:rsid w:val="2FEC2C86"/>
    <w:rsid w:val="30006B74"/>
    <w:rsid w:val="30533C5C"/>
    <w:rsid w:val="30A97FAF"/>
    <w:rsid w:val="30C14E91"/>
    <w:rsid w:val="30F535ED"/>
    <w:rsid w:val="31605B7D"/>
    <w:rsid w:val="31884247"/>
    <w:rsid w:val="31D80889"/>
    <w:rsid w:val="31F32344"/>
    <w:rsid w:val="322C1BF1"/>
    <w:rsid w:val="326B47EF"/>
    <w:rsid w:val="32EB0E5A"/>
    <w:rsid w:val="33885773"/>
    <w:rsid w:val="33CD42FF"/>
    <w:rsid w:val="33E64289"/>
    <w:rsid w:val="34526B95"/>
    <w:rsid w:val="347E08DF"/>
    <w:rsid w:val="351A4295"/>
    <w:rsid w:val="353114DA"/>
    <w:rsid w:val="35793E28"/>
    <w:rsid w:val="36016354"/>
    <w:rsid w:val="36347C65"/>
    <w:rsid w:val="36933996"/>
    <w:rsid w:val="36DF58D2"/>
    <w:rsid w:val="36E20F81"/>
    <w:rsid w:val="36F9333C"/>
    <w:rsid w:val="371A475B"/>
    <w:rsid w:val="371F7126"/>
    <w:rsid w:val="374B6C62"/>
    <w:rsid w:val="37850378"/>
    <w:rsid w:val="37941132"/>
    <w:rsid w:val="37CE6FB4"/>
    <w:rsid w:val="37EA3E3D"/>
    <w:rsid w:val="37F232A7"/>
    <w:rsid w:val="380F75E4"/>
    <w:rsid w:val="38125B1D"/>
    <w:rsid w:val="381B6DB3"/>
    <w:rsid w:val="386155CC"/>
    <w:rsid w:val="38A7698B"/>
    <w:rsid w:val="38E8026E"/>
    <w:rsid w:val="38F8075E"/>
    <w:rsid w:val="39085E41"/>
    <w:rsid w:val="39286244"/>
    <w:rsid w:val="396738D9"/>
    <w:rsid w:val="39B04A77"/>
    <w:rsid w:val="3A1D5794"/>
    <w:rsid w:val="3A602ECF"/>
    <w:rsid w:val="3A651C06"/>
    <w:rsid w:val="3B734516"/>
    <w:rsid w:val="3B894755"/>
    <w:rsid w:val="3BBD3634"/>
    <w:rsid w:val="3BE65708"/>
    <w:rsid w:val="3C0544B1"/>
    <w:rsid w:val="3C0820D9"/>
    <w:rsid w:val="3CDE399D"/>
    <w:rsid w:val="3D50170E"/>
    <w:rsid w:val="3D967B2B"/>
    <w:rsid w:val="3D9977F8"/>
    <w:rsid w:val="3D9B13AB"/>
    <w:rsid w:val="3DB62E0A"/>
    <w:rsid w:val="3DBE62DC"/>
    <w:rsid w:val="3DCB3DB2"/>
    <w:rsid w:val="3DEC2385"/>
    <w:rsid w:val="3DF360E5"/>
    <w:rsid w:val="3E4C7116"/>
    <w:rsid w:val="3E503CB1"/>
    <w:rsid w:val="3E7F0FA5"/>
    <w:rsid w:val="3F5B1E5A"/>
    <w:rsid w:val="3F9F3705"/>
    <w:rsid w:val="3FF86E38"/>
    <w:rsid w:val="40271B91"/>
    <w:rsid w:val="409D1AAB"/>
    <w:rsid w:val="40B42204"/>
    <w:rsid w:val="410C5AAF"/>
    <w:rsid w:val="41177372"/>
    <w:rsid w:val="41217DD1"/>
    <w:rsid w:val="415F59B5"/>
    <w:rsid w:val="416C54DD"/>
    <w:rsid w:val="41BE0DA2"/>
    <w:rsid w:val="41E53E7C"/>
    <w:rsid w:val="41F00D5C"/>
    <w:rsid w:val="420105BB"/>
    <w:rsid w:val="421B60E7"/>
    <w:rsid w:val="428F36FA"/>
    <w:rsid w:val="42A113B6"/>
    <w:rsid w:val="42AE051C"/>
    <w:rsid w:val="42CC4C77"/>
    <w:rsid w:val="42D261AF"/>
    <w:rsid w:val="438200F3"/>
    <w:rsid w:val="43ED7C8C"/>
    <w:rsid w:val="43FA61C5"/>
    <w:rsid w:val="442F5604"/>
    <w:rsid w:val="44547901"/>
    <w:rsid w:val="446361E6"/>
    <w:rsid w:val="447F6763"/>
    <w:rsid w:val="448677C0"/>
    <w:rsid w:val="449F0B2A"/>
    <w:rsid w:val="44C84817"/>
    <w:rsid w:val="44D06C41"/>
    <w:rsid w:val="451046AA"/>
    <w:rsid w:val="452B0FEE"/>
    <w:rsid w:val="456821E7"/>
    <w:rsid w:val="4571244C"/>
    <w:rsid w:val="459D6299"/>
    <w:rsid w:val="45A1758E"/>
    <w:rsid w:val="45D0177B"/>
    <w:rsid w:val="45DB72F2"/>
    <w:rsid w:val="462C7283"/>
    <w:rsid w:val="463B14DA"/>
    <w:rsid w:val="469352B1"/>
    <w:rsid w:val="46AE506C"/>
    <w:rsid w:val="4705068E"/>
    <w:rsid w:val="47185495"/>
    <w:rsid w:val="471B6109"/>
    <w:rsid w:val="475E207A"/>
    <w:rsid w:val="47C9212B"/>
    <w:rsid w:val="47FA3F5B"/>
    <w:rsid w:val="48210086"/>
    <w:rsid w:val="487A6DBA"/>
    <w:rsid w:val="48A2449A"/>
    <w:rsid w:val="48C70128"/>
    <w:rsid w:val="491F0FF4"/>
    <w:rsid w:val="492732ED"/>
    <w:rsid w:val="49710E08"/>
    <w:rsid w:val="4A277F46"/>
    <w:rsid w:val="4A5A0AF0"/>
    <w:rsid w:val="4B112895"/>
    <w:rsid w:val="4B1E3CEF"/>
    <w:rsid w:val="4B1E72B8"/>
    <w:rsid w:val="4B3D4C26"/>
    <w:rsid w:val="4BAF6F82"/>
    <w:rsid w:val="4BB072A9"/>
    <w:rsid w:val="4BC319C6"/>
    <w:rsid w:val="4C2A1432"/>
    <w:rsid w:val="4C374D22"/>
    <w:rsid w:val="4C497E27"/>
    <w:rsid w:val="4C4B422B"/>
    <w:rsid w:val="4C670B8F"/>
    <w:rsid w:val="4C761A50"/>
    <w:rsid w:val="4CDC22EE"/>
    <w:rsid w:val="4D274090"/>
    <w:rsid w:val="4D333749"/>
    <w:rsid w:val="4D5F4AE3"/>
    <w:rsid w:val="4D8C67FE"/>
    <w:rsid w:val="4D9B1753"/>
    <w:rsid w:val="4DB639B0"/>
    <w:rsid w:val="4DEC2508"/>
    <w:rsid w:val="4F1749C6"/>
    <w:rsid w:val="4F1B45D3"/>
    <w:rsid w:val="4F203FBC"/>
    <w:rsid w:val="4F3B332E"/>
    <w:rsid w:val="4F8968D4"/>
    <w:rsid w:val="4FF84CC2"/>
    <w:rsid w:val="50070750"/>
    <w:rsid w:val="502C5AE1"/>
    <w:rsid w:val="504862C3"/>
    <w:rsid w:val="506434FB"/>
    <w:rsid w:val="50744A6F"/>
    <w:rsid w:val="50B95C0A"/>
    <w:rsid w:val="50D23440"/>
    <w:rsid w:val="516276A2"/>
    <w:rsid w:val="516E193D"/>
    <w:rsid w:val="51921D62"/>
    <w:rsid w:val="51F8337F"/>
    <w:rsid w:val="5237795C"/>
    <w:rsid w:val="529945F3"/>
    <w:rsid w:val="52BE6724"/>
    <w:rsid w:val="52FC5148"/>
    <w:rsid w:val="530F1502"/>
    <w:rsid w:val="53962201"/>
    <w:rsid w:val="541A601C"/>
    <w:rsid w:val="546155E5"/>
    <w:rsid w:val="54951475"/>
    <w:rsid w:val="55A51501"/>
    <w:rsid w:val="55BE1200"/>
    <w:rsid w:val="56044479"/>
    <w:rsid w:val="562C2D44"/>
    <w:rsid w:val="562E0E8E"/>
    <w:rsid w:val="56A56CF6"/>
    <w:rsid w:val="56C854A7"/>
    <w:rsid w:val="57136A1D"/>
    <w:rsid w:val="57B7452B"/>
    <w:rsid w:val="57BD1BDD"/>
    <w:rsid w:val="57CB156A"/>
    <w:rsid w:val="57CB524D"/>
    <w:rsid w:val="58541464"/>
    <w:rsid w:val="586619E4"/>
    <w:rsid w:val="589324AE"/>
    <w:rsid w:val="5978263A"/>
    <w:rsid w:val="598112DB"/>
    <w:rsid w:val="5A846A32"/>
    <w:rsid w:val="5B7B5EBA"/>
    <w:rsid w:val="5BF93F19"/>
    <w:rsid w:val="5C187524"/>
    <w:rsid w:val="5CED5765"/>
    <w:rsid w:val="5CF73F5F"/>
    <w:rsid w:val="5D0D5092"/>
    <w:rsid w:val="5D6C7E01"/>
    <w:rsid w:val="5D8A2C44"/>
    <w:rsid w:val="5DA30A1C"/>
    <w:rsid w:val="5E033269"/>
    <w:rsid w:val="5E0968E6"/>
    <w:rsid w:val="5E255D89"/>
    <w:rsid w:val="5E2D6677"/>
    <w:rsid w:val="5E4942BA"/>
    <w:rsid w:val="5E7D08BB"/>
    <w:rsid w:val="5EE61E70"/>
    <w:rsid w:val="5F2D3E6A"/>
    <w:rsid w:val="5F4F0428"/>
    <w:rsid w:val="5F6D4B53"/>
    <w:rsid w:val="5F911DAE"/>
    <w:rsid w:val="5F93793A"/>
    <w:rsid w:val="603C2EAD"/>
    <w:rsid w:val="606D09DC"/>
    <w:rsid w:val="607E1F63"/>
    <w:rsid w:val="60800AF5"/>
    <w:rsid w:val="6089214B"/>
    <w:rsid w:val="60A720A4"/>
    <w:rsid w:val="61196267"/>
    <w:rsid w:val="6123048F"/>
    <w:rsid w:val="6147105C"/>
    <w:rsid w:val="61841CBD"/>
    <w:rsid w:val="61F5215D"/>
    <w:rsid w:val="62382470"/>
    <w:rsid w:val="62397085"/>
    <w:rsid w:val="623C49AC"/>
    <w:rsid w:val="62634B02"/>
    <w:rsid w:val="62C52F94"/>
    <w:rsid w:val="63211911"/>
    <w:rsid w:val="63A64DC2"/>
    <w:rsid w:val="64024F60"/>
    <w:rsid w:val="642C2FFF"/>
    <w:rsid w:val="64806ACA"/>
    <w:rsid w:val="64DD3099"/>
    <w:rsid w:val="64E21E2A"/>
    <w:rsid w:val="64F86587"/>
    <w:rsid w:val="652F5062"/>
    <w:rsid w:val="65DA1B9B"/>
    <w:rsid w:val="65F8742B"/>
    <w:rsid w:val="6614122B"/>
    <w:rsid w:val="663E7534"/>
    <w:rsid w:val="666660F1"/>
    <w:rsid w:val="66873AE4"/>
    <w:rsid w:val="668D2331"/>
    <w:rsid w:val="668F2039"/>
    <w:rsid w:val="66EA3D4E"/>
    <w:rsid w:val="67424619"/>
    <w:rsid w:val="677F2C41"/>
    <w:rsid w:val="67F33B77"/>
    <w:rsid w:val="68073CD7"/>
    <w:rsid w:val="68B17656"/>
    <w:rsid w:val="68E210E7"/>
    <w:rsid w:val="693D3DF8"/>
    <w:rsid w:val="695D7943"/>
    <w:rsid w:val="697414BE"/>
    <w:rsid w:val="698E619D"/>
    <w:rsid w:val="6A020672"/>
    <w:rsid w:val="6A447631"/>
    <w:rsid w:val="6A696B49"/>
    <w:rsid w:val="6A7910A0"/>
    <w:rsid w:val="6A8945F5"/>
    <w:rsid w:val="6AE22DA2"/>
    <w:rsid w:val="6B055B46"/>
    <w:rsid w:val="6B217424"/>
    <w:rsid w:val="6B724E0D"/>
    <w:rsid w:val="6B7608F0"/>
    <w:rsid w:val="6B7A6D98"/>
    <w:rsid w:val="6B910953"/>
    <w:rsid w:val="6C706FBA"/>
    <w:rsid w:val="6CCB38F3"/>
    <w:rsid w:val="6CF272CA"/>
    <w:rsid w:val="6D040C67"/>
    <w:rsid w:val="6D7901D4"/>
    <w:rsid w:val="6D930519"/>
    <w:rsid w:val="6DA417ED"/>
    <w:rsid w:val="6E62222D"/>
    <w:rsid w:val="6E837A4A"/>
    <w:rsid w:val="6E895AC7"/>
    <w:rsid w:val="6F4C284F"/>
    <w:rsid w:val="6F557998"/>
    <w:rsid w:val="6F9E1043"/>
    <w:rsid w:val="70A002C5"/>
    <w:rsid w:val="717C6FA7"/>
    <w:rsid w:val="723914F7"/>
    <w:rsid w:val="72F241FA"/>
    <w:rsid w:val="731D65F5"/>
    <w:rsid w:val="7347180C"/>
    <w:rsid w:val="73577778"/>
    <w:rsid w:val="73B82548"/>
    <w:rsid w:val="73FF6340"/>
    <w:rsid w:val="7417062C"/>
    <w:rsid w:val="74177616"/>
    <w:rsid w:val="74834C80"/>
    <w:rsid w:val="74E33DD3"/>
    <w:rsid w:val="74E4574A"/>
    <w:rsid w:val="74F41475"/>
    <w:rsid w:val="750E099D"/>
    <w:rsid w:val="75B45133"/>
    <w:rsid w:val="75B46939"/>
    <w:rsid w:val="75C07142"/>
    <w:rsid w:val="765C7562"/>
    <w:rsid w:val="768909AE"/>
    <w:rsid w:val="769E5BE5"/>
    <w:rsid w:val="76F454D8"/>
    <w:rsid w:val="77A11D45"/>
    <w:rsid w:val="77A20486"/>
    <w:rsid w:val="77F2651F"/>
    <w:rsid w:val="783A31AF"/>
    <w:rsid w:val="785C3B20"/>
    <w:rsid w:val="789F28EE"/>
    <w:rsid w:val="792F52ED"/>
    <w:rsid w:val="7988115E"/>
    <w:rsid w:val="79B84ADE"/>
    <w:rsid w:val="7A133D75"/>
    <w:rsid w:val="7A1E26D2"/>
    <w:rsid w:val="7A460B78"/>
    <w:rsid w:val="7C174418"/>
    <w:rsid w:val="7C260C9B"/>
    <w:rsid w:val="7C305DF5"/>
    <w:rsid w:val="7C61648A"/>
    <w:rsid w:val="7C720F54"/>
    <w:rsid w:val="7C97072C"/>
    <w:rsid w:val="7CBD6589"/>
    <w:rsid w:val="7D9642CC"/>
    <w:rsid w:val="7E065BAE"/>
    <w:rsid w:val="7E54309D"/>
    <w:rsid w:val="7E9F579F"/>
    <w:rsid w:val="7EC63CEF"/>
    <w:rsid w:val="7ECD56D2"/>
    <w:rsid w:val="7ED229A0"/>
    <w:rsid w:val="7EF95F68"/>
    <w:rsid w:val="7F0A2B15"/>
    <w:rsid w:val="7F211349"/>
    <w:rsid w:val="7FC6073D"/>
    <w:rsid w:val="7FCC7A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1"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33"/>
    <w:qFormat/>
    <w:uiPriority w:val="0"/>
    <w:pPr>
      <w:keepNext/>
      <w:jc w:val="center"/>
      <w:outlineLvl w:val="1"/>
    </w:pPr>
    <w:rPr>
      <w:rFonts w:ascii="Times New Roman" w:hAnsi="Times New Roman" w:eastAsia="黑体"/>
      <w:sz w:val="32"/>
      <w:szCs w:val="20"/>
    </w:rPr>
  </w:style>
  <w:style w:type="paragraph" w:styleId="5">
    <w:name w:val="heading 3"/>
    <w:basedOn w:val="1"/>
    <w:next w:val="1"/>
    <w:qFormat/>
    <w:uiPriority w:val="0"/>
    <w:pPr>
      <w:keepNext/>
      <w:outlineLvl w:val="2"/>
    </w:pPr>
    <w:rPr>
      <w:rFonts w:ascii="宋体" w:hAnsi="宋体"/>
      <w:b/>
      <w:bCs/>
      <w:sz w:val="28"/>
      <w:szCs w:val="20"/>
    </w:rPr>
  </w:style>
  <w:style w:type="paragraph" w:styleId="6">
    <w:name w:val="heading 4"/>
    <w:basedOn w:val="1"/>
    <w:next w:val="1"/>
    <w:qFormat/>
    <w:uiPriority w:val="1"/>
    <w:pPr>
      <w:spacing w:before="51"/>
      <w:ind w:left="212"/>
      <w:outlineLvl w:val="3"/>
    </w:pPr>
    <w:rPr>
      <w:rFonts w:ascii="宋体" w:hAnsi="宋体" w:eastAsia="宋体" w:cs="宋体"/>
      <w:b/>
      <w:bCs/>
      <w:sz w:val="24"/>
      <w:szCs w:val="24"/>
      <w:lang w:val="zh-CN" w:eastAsia="zh-CN" w:bidi="zh-CN"/>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Normal Indent"/>
    <w:basedOn w:val="1"/>
    <w:next w:val="1"/>
    <w:link w:val="32"/>
    <w:qFormat/>
    <w:uiPriority w:val="0"/>
    <w:pPr>
      <w:ind w:firstLine="420"/>
    </w:pPr>
    <w:rPr>
      <w:rFonts w:eastAsia="宋体"/>
      <w:kern w:val="2"/>
      <w:sz w:val="24"/>
      <w:lang w:val="en-US" w:eastAsia="zh-CN" w:bidi="ar-SA"/>
    </w:rPr>
  </w:style>
  <w:style w:type="paragraph" w:styleId="8">
    <w:name w:val="annotation text"/>
    <w:basedOn w:val="1"/>
    <w:qFormat/>
    <w:uiPriority w:val="0"/>
    <w:pPr>
      <w:jc w:val="left"/>
    </w:pPr>
  </w:style>
  <w:style w:type="paragraph" w:styleId="9">
    <w:name w:val="Body Text"/>
    <w:basedOn w:val="1"/>
    <w:qFormat/>
    <w:uiPriority w:val="0"/>
    <w:pPr>
      <w:widowControl/>
      <w:snapToGrid w:val="0"/>
      <w:spacing w:before="60" w:after="160" w:line="259" w:lineRule="auto"/>
      <w:ind w:right="113"/>
    </w:pPr>
    <w:rPr>
      <w:kern w:val="0"/>
      <w:sz w:val="18"/>
      <w:szCs w:val="20"/>
    </w:rPr>
  </w:style>
  <w:style w:type="paragraph" w:styleId="10">
    <w:name w:val="Body Text Indent"/>
    <w:basedOn w:val="1"/>
    <w:next w:val="11"/>
    <w:qFormat/>
    <w:uiPriority w:val="0"/>
    <w:pPr>
      <w:spacing w:after="120"/>
      <w:ind w:left="420" w:leftChars="200"/>
    </w:pPr>
    <w:rPr>
      <w:kern w:val="0"/>
      <w:sz w:val="24"/>
      <w:szCs w:val="20"/>
    </w:rPr>
  </w:style>
  <w:style w:type="paragraph" w:customStyle="1" w:styleId="11">
    <w:name w:val="样式 正文文本缩进 + 行距: 1.5 倍行距"/>
    <w:basedOn w:val="1"/>
    <w:qFormat/>
    <w:uiPriority w:val="0"/>
    <w:pPr>
      <w:spacing w:after="120" w:afterLines="0" w:line="360" w:lineRule="auto"/>
      <w:ind w:left="90" w:leftChars="32" w:firstLine="560" w:firstLineChars="200"/>
    </w:pPr>
    <w:rPr>
      <w:rFonts w:cs="宋体"/>
      <w:sz w:val="24"/>
    </w:rPr>
  </w:style>
  <w:style w:type="paragraph" w:styleId="12">
    <w:name w:val="footer"/>
    <w:basedOn w:val="1"/>
    <w:qFormat/>
    <w:uiPriority w:val="99"/>
    <w:pPr>
      <w:tabs>
        <w:tab w:val="center" w:pos="4153"/>
        <w:tab w:val="right" w:pos="8306"/>
      </w:tabs>
      <w:snapToGrid w:val="0"/>
      <w:jc w:val="left"/>
    </w:pPr>
    <w:rPr>
      <w:kern w:val="0"/>
      <w:sz w:val="18"/>
      <w:szCs w:val="20"/>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5">
    <w:name w:val="Body Text First Indent 2"/>
    <w:basedOn w:val="10"/>
    <w:next w:val="1"/>
    <w:unhideWhenUsed/>
    <w:qFormat/>
    <w:uiPriority w:val="99"/>
    <w:pPr>
      <w:ind w:firstLine="420" w:firstLineChars="200"/>
    </w:pPr>
  </w:style>
  <w:style w:type="table" w:styleId="17">
    <w:name w:val="Table Grid"/>
    <w:basedOn w:val="16"/>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style>
  <w:style w:type="paragraph" w:customStyle="1" w:styleId="20">
    <w:name w:val="biaotou"/>
    <w:basedOn w:val="21"/>
    <w:qFormat/>
    <w:uiPriority w:val="0"/>
    <w:pPr>
      <w:numPr>
        <w:ilvl w:val="0"/>
        <w:numId w:val="1"/>
      </w:numPr>
      <w:autoSpaceDE w:val="0"/>
      <w:autoSpaceDN w:val="0"/>
      <w:adjustRightInd w:val="0"/>
      <w:spacing w:before="50" w:beforeLines="50"/>
      <w:jc w:val="center"/>
    </w:pPr>
    <w:rPr>
      <w:rFonts w:ascii="黑体" w:hAnsi="宋体" w:eastAsia="黑体"/>
      <w:sz w:val="22"/>
      <w:lang w:val="zh-CN"/>
    </w:rPr>
  </w:style>
  <w:style w:type="paragraph" w:customStyle="1" w:styleId="21">
    <w:name w:val="正"/>
    <w:basedOn w:val="1"/>
    <w:qFormat/>
    <w:uiPriority w:val="0"/>
    <w:pPr>
      <w:adjustRightInd w:val="0"/>
      <w:spacing w:line="360" w:lineRule="auto"/>
      <w:ind w:left="23" w:leftChars="11" w:firstLine="480" w:firstLineChars="200"/>
    </w:pPr>
    <w:rPr>
      <w:sz w:val="24"/>
    </w:rPr>
  </w:style>
  <w:style w:type="paragraph" w:customStyle="1" w:styleId="22">
    <w:name w:val="表内 定"/>
    <w:basedOn w:val="1"/>
    <w:qFormat/>
    <w:uiPriority w:val="0"/>
    <w:rPr>
      <w:rFonts w:cs="Times New Roman"/>
      <w:color w:val="000000"/>
    </w:rPr>
  </w:style>
  <w:style w:type="table" w:customStyle="1" w:styleId="23">
    <w:name w:val="Table Normal"/>
    <w:unhideWhenUsed/>
    <w:qFormat/>
    <w:uiPriority w:val="0"/>
    <w:tblPr>
      <w:tblCellMar>
        <w:top w:w="0" w:type="dxa"/>
        <w:left w:w="0" w:type="dxa"/>
        <w:bottom w:w="0" w:type="dxa"/>
        <w:right w:w="0" w:type="dxa"/>
      </w:tblCellMar>
    </w:tblPr>
  </w:style>
  <w:style w:type="paragraph" w:customStyle="1" w:styleId="24">
    <w:name w:val="文本块11"/>
    <w:basedOn w:val="1"/>
    <w:qFormat/>
    <w:uiPriority w:val="0"/>
    <w:pPr>
      <w:autoSpaceDE w:val="0"/>
      <w:autoSpaceDN w:val="0"/>
      <w:adjustRightInd w:val="0"/>
      <w:spacing w:before="1" w:beforeLines="0" w:line="537" w:lineRule="exact"/>
      <w:ind w:left="88" w:right="6"/>
    </w:pPr>
    <w:rPr>
      <w:kern w:val="0"/>
      <w:sz w:val="28"/>
      <w:szCs w:val="20"/>
    </w:rPr>
  </w:style>
  <w:style w:type="paragraph" w:customStyle="1" w:styleId="25">
    <w:name w:val="正   文"/>
    <w:basedOn w:val="1"/>
    <w:qFormat/>
    <w:uiPriority w:val="0"/>
    <w:pPr>
      <w:adjustRightInd w:val="0"/>
      <w:snapToGrid w:val="0"/>
    </w:pPr>
    <w:rPr>
      <w:rFonts w:ascii="Times New Roman" w:hAnsi="Times New Roman"/>
      <w:color w:val="000000"/>
      <w:kern w:val="0"/>
      <w:szCs w:val="24"/>
    </w:rPr>
  </w:style>
  <w:style w:type="paragraph" w:customStyle="1" w:styleId="26">
    <w:name w:val="表头"/>
    <w:basedOn w:val="1"/>
    <w:next w:val="1"/>
    <w:qFormat/>
    <w:uiPriority w:val="0"/>
    <w:pPr>
      <w:numPr>
        <w:ilvl w:val="0"/>
        <w:numId w:val="2"/>
      </w:numPr>
      <w:ind w:firstLine="0" w:firstLineChars="0"/>
      <w:jc w:val="center"/>
    </w:pPr>
    <w:rPr>
      <w:rFonts w:ascii="Times New Roman" w:hAnsi="Times New Roman"/>
      <w:b/>
      <w:szCs w:val="21"/>
    </w:rPr>
  </w:style>
  <w:style w:type="paragraph" w:customStyle="1" w:styleId="27">
    <w:name w:val="表格啊啊"/>
    <w:basedOn w:val="1"/>
    <w:qFormat/>
    <w:uiPriority w:val="0"/>
    <w:pPr>
      <w:autoSpaceDE w:val="0"/>
      <w:autoSpaceDN w:val="0"/>
      <w:adjustRightInd w:val="0"/>
      <w:snapToGrid w:val="0"/>
      <w:jc w:val="center"/>
    </w:pPr>
    <w:rPr>
      <w:rFonts w:hAnsi="宋体"/>
      <w:szCs w:val="21"/>
    </w:rPr>
  </w:style>
  <w:style w:type="paragraph" w:customStyle="1" w:styleId="28">
    <w:name w:val="Table Paragraph"/>
    <w:basedOn w:val="1"/>
    <w:qFormat/>
    <w:uiPriority w:val="1"/>
    <w:pPr>
      <w:jc w:val="center"/>
    </w:pPr>
    <w:rPr>
      <w:rFonts w:ascii="宋体" w:hAnsi="宋体" w:eastAsia="宋体" w:cs="宋体"/>
    </w:rPr>
  </w:style>
  <w:style w:type="paragraph" w:customStyle="1" w:styleId="29">
    <w:name w:val="报告正文"/>
    <w:basedOn w:val="1"/>
    <w:qFormat/>
    <w:uiPriority w:val="0"/>
    <w:pPr>
      <w:spacing w:line="480" w:lineRule="exact"/>
      <w:ind w:firstLine="200" w:firstLineChars="200"/>
    </w:pPr>
    <w:rPr>
      <w:color w:val="000000"/>
      <w:sz w:val="24"/>
      <w:lang w:val="en-US" w:eastAsia="zh-CN"/>
    </w:rPr>
  </w:style>
  <w:style w:type="paragraph" w:customStyle="1" w:styleId="30">
    <w:name w:val="报告书正文"/>
    <w:qFormat/>
    <w:uiPriority w:val="0"/>
    <w:pPr>
      <w:autoSpaceDE w:val="0"/>
      <w:autoSpaceDN w:val="0"/>
      <w:ind w:firstLine="200" w:firstLineChars="200"/>
    </w:pPr>
    <w:rPr>
      <w:rFonts w:ascii="Times New Roman" w:hAnsi="Times New Roman" w:eastAsia="宋体" w:cs="Times New Roman"/>
      <w:szCs w:val="28"/>
      <w:lang w:val="en-US" w:eastAsia="zh-CN" w:bidi="ar-SA"/>
    </w:rPr>
  </w:style>
  <w:style w:type="paragraph" w:customStyle="1" w:styleId="31">
    <w:name w:val="正文格式"/>
    <w:basedOn w:val="1"/>
    <w:qFormat/>
    <w:uiPriority w:val="0"/>
    <w:pPr>
      <w:spacing w:line="360" w:lineRule="auto"/>
      <w:ind w:firstLine="544" w:firstLineChars="200"/>
    </w:pPr>
    <w:rPr>
      <w:szCs w:val="24"/>
    </w:rPr>
  </w:style>
  <w:style w:type="character" w:customStyle="1" w:styleId="32">
    <w:name w:val="正文缩进 Char"/>
    <w:link w:val="2"/>
    <w:qFormat/>
    <w:uiPriority w:val="0"/>
    <w:rPr>
      <w:rFonts w:eastAsia="宋体"/>
      <w:kern w:val="2"/>
      <w:sz w:val="24"/>
      <w:lang w:val="en-US" w:eastAsia="zh-CN" w:bidi="ar-SA"/>
    </w:rPr>
  </w:style>
  <w:style w:type="character" w:customStyle="1" w:styleId="33">
    <w:name w:val="标题 2 Char"/>
    <w:link w:val="4"/>
    <w:qFormat/>
    <w:uiPriority w:val="0"/>
    <w:rPr>
      <w:rFonts w:ascii="Times New Roman" w:hAnsi="Times New Roman" w:eastAsia="黑体"/>
      <w:sz w:val="32"/>
      <w:szCs w:val="20"/>
      <w:lang w:val="en-US" w:eastAsia="zh-CN"/>
    </w:rPr>
  </w:style>
  <w:style w:type="paragraph" w:customStyle="1" w:styleId="34">
    <w:name w:val="表格"/>
    <w:basedOn w:val="2"/>
    <w:next w:val="1"/>
    <w:qFormat/>
    <w:uiPriority w:val="0"/>
    <w:pPr>
      <w:jc w:val="center"/>
    </w:pPr>
    <w:rPr>
      <w:sz w:val="21"/>
      <w:szCs w:val="24"/>
    </w:rPr>
  </w:style>
  <w:style w:type="paragraph" w:customStyle="1" w:styleId="35">
    <w:name w:val="中文报告书样式"/>
    <w:basedOn w:val="1"/>
    <w:qFormat/>
    <w:uiPriority w:val="0"/>
    <w:pPr>
      <w:adjustRightInd w:val="0"/>
      <w:spacing w:line="480" w:lineRule="atLeast"/>
      <w:ind w:firstLine="482"/>
      <w:textAlignment w:val="baseline"/>
    </w:pPr>
    <w:rPr>
      <w:kern w:val="24"/>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jpeg"/><Relationship Id="rId25" Type="http://schemas.openxmlformats.org/officeDocument/2006/relationships/image" Target="media/image14.wmf"/><Relationship Id="rId24" Type="http://schemas.openxmlformats.org/officeDocument/2006/relationships/oleObject" Target="embeddings/oleObject5.bin"/><Relationship Id="rId23" Type="http://schemas.openxmlformats.org/officeDocument/2006/relationships/image" Target="media/image13.wmf"/><Relationship Id="rId22" Type="http://schemas.openxmlformats.org/officeDocument/2006/relationships/oleObject" Target="embeddings/oleObject4.bin"/><Relationship Id="rId21" Type="http://schemas.openxmlformats.org/officeDocument/2006/relationships/image" Target="media/image12.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2.bin"/><Relationship Id="rId17" Type="http://schemas.openxmlformats.org/officeDocument/2006/relationships/image" Target="media/image10.wmf"/><Relationship Id="rId16" Type="http://schemas.openxmlformats.org/officeDocument/2006/relationships/oleObject" Target="embeddings/oleObject1.bin"/><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105</Pages>
  <Words>47662</Words>
  <Characters>54512</Characters>
  <Lines>0</Lines>
  <Paragraphs>0</Paragraphs>
  <TotalTime>55</TotalTime>
  <ScaleCrop>false</ScaleCrop>
  <LinksUpToDate>false</LinksUpToDate>
  <CharactersWithSpaces>55121</CharactersWithSpaces>
  <Application>WPS Office_12.1.0.17813_F1E327BC-269C-435d-A152-05C5408002CA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2024-03-04T03:26:00Z</dcterms:created>
  <dc:creator>ThinkPad</dc:creator>
  <cp:lastModifiedBy>WPS_1714375220</cp:lastModifiedBy>
  <cp:lastPrinted>2024-07-26T02:01:00Z</cp:lastPrinted>
  <dcterms:modified xsi:type="dcterms:W3CDTF">2024-07-26T02:50:13Z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2052-12.1.0.17813</vt:lpwstr>
  </property>
  <property fmtid="{D5CDD505-2E9C-101B-9397-08002B2CF9AE}" pid="3" name="ICV">
    <vt:lpwstr>0BB75E710A1B49868E37E7D83717D5D5_13</vt:lpwstr>
  </property>
</Properties>
</file>