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default" w:ascii="Times New Roman" w:hAnsi="Times New Roman" w:eastAsia="宋体" w:cs="Times New Roman"/>
          <w:b/>
          <w:color w:val="000000" w:themeColor="text1"/>
          <w:sz w:val="52"/>
          <w:lang w:val="en-US" w:eastAsia="zh-CN"/>
          <w14:textFill>
            <w14:solidFill>
              <w14:schemeClr w14:val="tx1"/>
            </w14:solidFill>
          </w14:textFill>
        </w:rPr>
      </w:pPr>
      <w:r>
        <w:rPr>
          <w:rFonts w:hint="default" w:ascii="Times New Roman" w:hAnsi="Times New Roman" w:eastAsia="宋体" w:cs="Times New Roman"/>
        </w:rPr>
        <w:drawing>
          <wp:anchor distT="0" distB="0" distL="114300" distR="114300" simplePos="0" relativeHeight="257524736" behindDoc="1" locked="0" layoutInCell="1" allowOverlap="1">
            <wp:simplePos x="0" y="0"/>
            <wp:positionH relativeFrom="column">
              <wp:posOffset>33020</wp:posOffset>
            </wp:positionH>
            <wp:positionV relativeFrom="paragraph">
              <wp:posOffset>-5080</wp:posOffset>
            </wp:positionV>
            <wp:extent cx="5272405" cy="7459345"/>
            <wp:effectExtent l="0" t="0" r="4445" b="8255"/>
            <wp:wrapTight wrapText="bothSides">
              <wp:wrapPolygon>
                <wp:start x="0" y="0"/>
                <wp:lineTo x="0" y="21569"/>
                <wp:lineTo x="21540" y="21569"/>
                <wp:lineTo x="21540" y="0"/>
                <wp:lineTo x="0" y="0"/>
              </wp:wrapPolygon>
            </wp:wrapTight>
            <wp:docPr id="6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8"/>
                    <pic:cNvPicPr>
                      <a:picLocks noChangeAspect="1"/>
                    </pic:cNvPicPr>
                  </pic:nvPicPr>
                  <pic:blipFill>
                    <a:blip r:embed="rId6"/>
                    <a:stretch>
                      <a:fillRect/>
                    </a:stretch>
                  </pic:blipFill>
                  <pic:spPr>
                    <a:xfrm>
                      <a:off x="0" y="0"/>
                      <a:ext cx="5272405" cy="7459345"/>
                    </a:xfrm>
                    <a:prstGeom prst="rect">
                      <a:avLst/>
                    </a:prstGeom>
                    <a:noFill/>
                    <a:ln>
                      <a:noFill/>
                    </a:ln>
                  </pic:spPr>
                </pic:pic>
              </a:graphicData>
            </a:graphic>
          </wp:anchor>
        </w:drawing>
      </w:r>
    </w:p>
    <w:p>
      <w:pPr>
        <w:spacing w:line="800" w:lineRule="exact"/>
        <w:ind w:left="1758" w:leftChars="304" w:hanging="1120" w:hangingChars="350"/>
        <w:jc w:val="center"/>
        <w:rPr>
          <w:rFonts w:hint="default" w:ascii="Times New Roman" w:hAnsi="Times New Roman" w:eastAsia="宋体" w:cs="Times New Roman"/>
          <w:bCs/>
          <w:color w:val="000000" w:themeColor="text1"/>
          <w:sz w:val="32"/>
          <w:szCs w:val="32"/>
          <w:lang w:val="en-US" w:eastAsia="zh-CN"/>
          <w14:textFill>
            <w14:solidFill>
              <w14:schemeClr w14:val="tx1"/>
            </w14:solidFill>
          </w14:textFill>
        </w:rPr>
      </w:pPr>
    </w:p>
    <w:p>
      <w:pPr>
        <w:pStyle w:val="9"/>
        <w:ind w:left="0" w:leftChars="0" w:firstLine="0" w:firstLineChars="0"/>
        <w:rPr>
          <w:rFonts w:hint="default" w:ascii="Times New Roman" w:hAnsi="Times New Roman" w:eastAsia="宋体" w:cs="Times New Roman"/>
          <w:color w:val="000000" w:themeColor="text1"/>
          <w:lang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p>
      <w:pPr>
        <w:rPr>
          <w:rFonts w:hint="default" w:ascii="Times New Roman" w:hAnsi="Times New Roman" w:eastAsia="宋体" w:cs="Times New Roman"/>
          <w:color w:val="000000" w:themeColor="text1"/>
          <w:lang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r>
        <w:rPr>
          <w:rFonts w:hint="default"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5262245" cy="7444105"/>
            <wp:effectExtent l="0" t="0" r="14605" b="4445"/>
            <wp:docPr id="63" name="图片 63" descr="图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图片"/>
                    <pic:cNvPicPr>
                      <a:picLocks noChangeAspect="1"/>
                    </pic:cNvPicPr>
                  </pic:nvPicPr>
                  <pic:blipFill>
                    <a:blip r:embed="rId7"/>
                    <a:stretch>
                      <a:fillRect/>
                    </a:stretch>
                  </pic:blipFill>
                  <pic:spPr>
                    <a:xfrm>
                      <a:off x="0" y="0"/>
                      <a:ext cx="5262245" cy="7444105"/>
                    </a:xfrm>
                    <a:prstGeom prst="rect">
                      <a:avLst/>
                    </a:prstGeom>
                  </pic:spPr>
                </pic:pic>
              </a:graphicData>
            </a:graphic>
          </wp:inline>
        </w:drawing>
      </w:r>
      <w:r>
        <w:rPr>
          <w:rFonts w:hint="default" w:ascii="Times New Roman" w:hAnsi="Times New Roman" w:eastAsia="宋体" w:cs="Times New Roman"/>
        </w:rPr>
        <w:drawing>
          <wp:inline distT="0" distB="0" distL="114300" distR="114300">
            <wp:extent cx="7289800" cy="5149850"/>
            <wp:effectExtent l="0" t="0" r="12700" b="6350"/>
            <wp:docPr id="69" name="图片 69" descr="31ff71b2f23692c34e94ecfb74aac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31ff71b2f23692c34e94ecfb74aacad"/>
                    <pic:cNvPicPr>
                      <a:picLocks noChangeAspect="1"/>
                    </pic:cNvPicPr>
                  </pic:nvPicPr>
                  <pic:blipFill>
                    <a:blip r:embed="rId8"/>
                    <a:stretch>
                      <a:fillRect/>
                    </a:stretch>
                  </pic:blipFill>
                  <pic:spPr>
                    <a:xfrm rot="16200000">
                      <a:off x="0" y="0"/>
                      <a:ext cx="7289800" cy="5149850"/>
                    </a:xfrm>
                    <a:prstGeom prst="rect">
                      <a:avLst/>
                    </a:prstGeom>
                  </pic:spPr>
                </pic:pic>
              </a:graphicData>
            </a:graphic>
          </wp:inline>
        </w:drawing>
      </w:r>
      <w:r>
        <w:rPr>
          <w:rFonts w:hint="default" w:ascii="Times New Roman" w:hAnsi="Times New Roman" w:eastAsia="宋体" w:cs="Times New Roman"/>
        </w:rPr>
        <w:drawing>
          <wp:inline distT="0" distB="0" distL="114300" distR="114300">
            <wp:extent cx="5262245" cy="7444105"/>
            <wp:effectExtent l="0" t="0" r="14605" b="4445"/>
            <wp:docPr id="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
                    <pic:cNvPicPr>
                      <a:picLocks noChangeAspect="1"/>
                    </pic:cNvPicPr>
                  </pic:nvPicPr>
                  <pic:blipFill>
                    <a:blip r:embed="rId9"/>
                    <a:stretch>
                      <a:fillRect/>
                    </a:stretch>
                  </pic:blipFill>
                  <pic:spPr>
                    <a:xfrm>
                      <a:off x="0" y="0"/>
                      <a:ext cx="5262245" cy="7444105"/>
                    </a:xfrm>
                    <a:prstGeom prst="rect">
                      <a:avLst/>
                    </a:prstGeom>
                    <a:noFill/>
                    <a:ln>
                      <a:noFill/>
                    </a:ln>
                  </pic:spPr>
                </pic:pic>
              </a:graphicData>
            </a:graphic>
          </wp:inline>
        </w:drawing>
      </w:r>
      <w:r>
        <w:rPr>
          <w:rFonts w:hint="default" w:ascii="Times New Roman" w:hAnsi="Times New Roman" w:eastAsia="宋体" w:cs="Times New Roman"/>
        </w:rPr>
        <w:drawing>
          <wp:inline distT="0" distB="0" distL="114300" distR="114300">
            <wp:extent cx="5019675" cy="7067550"/>
            <wp:effectExtent l="0" t="0" r="9525" b="0"/>
            <wp:docPr id="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7"/>
                    <pic:cNvPicPr>
                      <a:picLocks noChangeAspect="1"/>
                    </pic:cNvPicPr>
                  </pic:nvPicPr>
                  <pic:blipFill>
                    <a:blip r:embed="rId10"/>
                    <a:stretch>
                      <a:fillRect/>
                    </a:stretch>
                  </pic:blipFill>
                  <pic:spPr>
                    <a:xfrm>
                      <a:off x="0" y="0"/>
                      <a:ext cx="5019675" cy="7067550"/>
                    </a:xfrm>
                    <a:prstGeom prst="rect">
                      <a:avLst/>
                    </a:prstGeom>
                    <a:noFill/>
                    <a:ln>
                      <a:noFill/>
                    </a:ln>
                  </pic:spPr>
                </pic:pic>
              </a:graphicData>
            </a:graphic>
          </wp:inline>
        </w:drawing>
      </w:r>
      <w:r>
        <w:rPr>
          <w:rFonts w:hint="default" w:ascii="Times New Roman" w:hAnsi="Times New Roman" w:eastAsia="宋体" w:cs="Times New Roman"/>
          <w:color w:val="000000" w:themeColor="text1"/>
          <w:lang w:eastAsia="zh-CN"/>
          <w14:textFill>
            <w14:solidFill>
              <w14:schemeClr w14:val="tx1"/>
            </w14:solidFill>
          </w14:textFill>
        </w:rPr>
        <w:drawing>
          <wp:inline distT="0" distB="0" distL="114300" distR="114300">
            <wp:extent cx="5267960" cy="7452360"/>
            <wp:effectExtent l="0" t="0" r="8890" b="15240"/>
            <wp:docPr id="8" name="图片 8" descr="修改清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修改清单_01"/>
                    <pic:cNvPicPr>
                      <a:picLocks noChangeAspect="1"/>
                    </pic:cNvPicPr>
                  </pic:nvPicPr>
                  <pic:blipFill>
                    <a:blip r:embed="rId11"/>
                    <a:stretch>
                      <a:fillRect/>
                    </a:stretch>
                  </pic:blipFill>
                  <pic:spPr>
                    <a:xfrm>
                      <a:off x="0" y="0"/>
                      <a:ext cx="5267960" cy="7452360"/>
                    </a:xfrm>
                    <a:prstGeom prst="rect">
                      <a:avLst/>
                    </a:prstGeom>
                  </pic:spPr>
                </pic:pic>
              </a:graphicData>
            </a:graphic>
          </wp:inline>
        </w:drawing>
      </w:r>
    </w:p>
    <w:p>
      <w:pPr>
        <w:jc w:val="center"/>
        <w:rPr>
          <w:rFonts w:hint="default" w:ascii="Times New Roman" w:hAnsi="Times New Roman" w:eastAsia="宋体" w:cs="Times New Roman"/>
          <w:b/>
          <w:bCs/>
          <w:color w:val="000000" w:themeColor="text1"/>
          <w:sz w:val="28"/>
          <w:szCs w:val="36"/>
          <w:lang w:val="en-US" w:eastAsia="zh-CN"/>
          <w14:textFill>
            <w14:solidFill>
              <w14:schemeClr w14:val="tx1"/>
            </w14:solidFill>
          </w14:textFill>
        </w:rPr>
      </w:pPr>
      <w:r>
        <w:rPr>
          <w:rFonts w:hint="default" w:ascii="Times New Roman" w:hAnsi="Times New Roman" w:eastAsia="宋体" w:cs="Times New Roman"/>
          <w:b/>
          <w:bCs/>
          <w:color w:val="000000" w:themeColor="text1"/>
          <w:sz w:val="28"/>
          <w:szCs w:val="36"/>
          <w:lang w:val="en-US" w:eastAsia="zh-CN"/>
          <w14:textFill>
            <w14:solidFill>
              <w14:schemeClr w14:val="tx1"/>
            </w14:solidFill>
          </w14:textFill>
        </w:rPr>
        <w:t>一、建设项目基本情况</w:t>
      </w:r>
    </w:p>
    <w:tbl>
      <w:tblPr>
        <w:tblStyle w:val="1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2"/>
        <w:gridCol w:w="2328"/>
        <w:gridCol w:w="1698"/>
        <w:gridCol w:w="32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212"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建设项目名称</w:t>
            </w:r>
          </w:p>
        </w:tc>
        <w:tc>
          <w:tcPr>
            <w:tcW w:w="7310"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国胜机械内燃机滤芯及钻采配件项目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212"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项目代码</w:t>
            </w:r>
          </w:p>
        </w:tc>
        <w:tc>
          <w:tcPr>
            <w:tcW w:w="7310"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2407-410902-04-01-200120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建设单位联系人</w:t>
            </w:r>
          </w:p>
        </w:tc>
        <w:tc>
          <w:tcPr>
            <w:tcW w:w="232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高仁杰</w:t>
            </w:r>
          </w:p>
        </w:tc>
        <w:tc>
          <w:tcPr>
            <w:tcW w:w="169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联系方式</w:t>
            </w:r>
          </w:p>
        </w:tc>
        <w:tc>
          <w:tcPr>
            <w:tcW w:w="328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18739386669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建设地点</w:t>
            </w:r>
          </w:p>
        </w:tc>
        <w:tc>
          <w:tcPr>
            <w:tcW w:w="7310"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濮阳市华龙区惠寨路西、高阳大道北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地理坐标</w:t>
            </w:r>
          </w:p>
        </w:tc>
        <w:tc>
          <w:tcPr>
            <w:tcW w:w="7310"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32"/>
                <w:u w:val="single"/>
                <w:vertAlign w:val="baseline"/>
                <w:lang w:val="en-US" w:eastAsia="zh-CN"/>
                <w14:textFill>
                  <w14:solidFill>
                    <w14:schemeClr w14:val="tx1"/>
                  </w14:solidFill>
                </w14:textFill>
              </w:rPr>
              <w:t>115</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度</w:t>
            </w:r>
            <w:r>
              <w:rPr>
                <w:rFonts w:hint="default" w:ascii="Times New Roman" w:hAnsi="Times New Roman" w:eastAsia="宋体" w:cs="Times New Roman"/>
                <w:color w:val="000000" w:themeColor="text1"/>
                <w:sz w:val="24"/>
                <w:szCs w:val="32"/>
                <w:u w:val="single"/>
                <w:vertAlign w:val="baseline"/>
                <w:lang w:val="en-US" w:eastAsia="zh-CN"/>
                <w14:textFill>
                  <w14:solidFill>
                    <w14:schemeClr w14:val="tx1"/>
                  </w14:solidFill>
                </w14:textFill>
              </w:rPr>
              <w:t>07</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分</w:t>
            </w:r>
            <w:r>
              <w:rPr>
                <w:rFonts w:hint="default" w:ascii="Times New Roman" w:hAnsi="Times New Roman" w:eastAsia="宋体" w:cs="Times New Roman"/>
                <w:color w:val="000000" w:themeColor="text1"/>
                <w:sz w:val="24"/>
                <w:szCs w:val="32"/>
                <w:u w:val="single"/>
                <w:vertAlign w:val="baseline"/>
                <w:lang w:val="en-US" w:eastAsia="zh-CN"/>
                <w14:textFill>
                  <w14:solidFill>
                    <w14:schemeClr w14:val="tx1"/>
                  </w14:solidFill>
                </w14:textFill>
              </w:rPr>
              <w:t>49.841</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秒，</w:t>
            </w:r>
            <w:r>
              <w:rPr>
                <w:rFonts w:hint="default" w:ascii="Times New Roman" w:hAnsi="Times New Roman" w:eastAsia="宋体" w:cs="Times New Roman"/>
                <w:color w:val="000000" w:themeColor="text1"/>
                <w:sz w:val="24"/>
                <w:szCs w:val="32"/>
                <w:u w:val="single"/>
                <w:vertAlign w:val="baseline"/>
                <w:lang w:val="en-US" w:eastAsia="zh-CN"/>
                <w14:textFill>
                  <w14:solidFill>
                    <w14:schemeClr w14:val="tx1"/>
                  </w14:solidFill>
                </w14:textFill>
              </w:rPr>
              <w:t>35</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度</w:t>
            </w:r>
            <w:r>
              <w:rPr>
                <w:rFonts w:hint="default" w:ascii="Times New Roman" w:hAnsi="Times New Roman" w:eastAsia="宋体" w:cs="Times New Roman"/>
                <w:color w:val="000000" w:themeColor="text1"/>
                <w:sz w:val="24"/>
                <w:szCs w:val="32"/>
                <w:u w:val="single"/>
                <w:vertAlign w:val="baseline"/>
                <w:lang w:val="en-US" w:eastAsia="zh-CN"/>
                <w14:textFill>
                  <w14:solidFill>
                    <w14:schemeClr w14:val="tx1"/>
                  </w14:solidFill>
                </w14:textFill>
              </w:rPr>
              <w:t>48</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分</w:t>
            </w:r>
            <w:r>
              <w:rPr>
                <w:rFonts w:hint="default" w:ascii="Times New Roman" w:hAnsi="Times New Roman" w:eastAsia="宋体" w:cs="Times New Roman"/>
                <w:color w:val="000000" w:themeColor="text1"/>
                <w:sz w:val="24"/>
                <w:szCs w:val="32"/>
                <w:u w:val="single"/>
                <w:vertAlign w:val="baseline"/>
                <w:lang w:val="en-US" w:eastAsia="zh-CN"/>
                <w14:textFill>
                  <w14:solidFill>
                    <w14:schemeClr w14:val="tx1"/>
                  </w14:solidFill>
                </w14:textFill>
              </w:rPr>
              <w:t>23.770</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国民经济行业类别</w:t>
            </w:r>
          </w:p>
        </w:tc>
        <w:tc>
          <w:tcPr>
            <w:tcW w:w="232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C3512 石油钻采专用设备制造</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C3499 其他未列明通用设备制造业</w:t>
            </w:r>
          </w:p>
        </w:tc>
        <w:tc>
          <w:tcPr>
            <w:tcW w:w="169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建设项目行业类别</w:t>
            </w:r>
          </w:p>
        </w:tc>
        <w:tc>
          <w:tcPr>
            <w:tcW w:w="328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三十一、通用设备制造业34中“69.其他未列明通用设备制造业349”</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三十二、专用设备制造业35中“70.采矿、冶金、建筑专用设备制造351”；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建设性质</w:t>
            </w:r>
          </w:p>
        </w:tc>
        <w:tc>
          <w:tcPr>
            <w:tcW w:w="232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sym w:font="Wingdings 2" w:char="0052"/>
            </w:r>
            <w:r>
              <w:rPr>
                <w:rFonts w:hint="default" w:ascii="Times New Roman" w:hAnsi="Times New Roman" w:eastAsia="宋体" w:cs="Times New Roman"/>
                <w:color w:val="000000" w:themeColor="text1"/>
                <w:sz w:val="24"/>
                <w:szCs w:val="24"/>
                <w14:textFill>
                  <w14:solidFill>
                    <w14:schemeClr w14:val="tx1"/>
                  </w14:solidFill>
                </w14:textFill>
              </w:rPr>
              <w:t>新建（迁建）</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改建</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sym w:font="Wingdings 2" w:char="00A3"/>
            </w:r>
            <w:r>
              <w:rPr>
                <w:rFonts w:hint="default" w:ascii="Times New Roman" w:hAnsi="Times New Roman" w:eastAsia="宋体" w:cs="Times New Roman"/>
                <w:color w:val="000000" w:themeColor="text1"/>
                <w:sz w:val="24"/>
                <w:szCs w:val="24"/>
                <w14:textFill>
                  <w14:solidFill>
                    <w14:schemeClr w14:val="tx1"/>
                  </w14:solidFill>
                </w14:textFill>
              </w:rPr>
              <w:t>扩建</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□技术改造</w:t>
            </w:r>
          </w:p>
        </w:tc>
        <w:tc>
          <w:tcPr>
            <w:tcW w:w="169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建设项目申报情形</w:t>
            </w:r>
          </w:p>
        </w:tc>
        <w:tc>
          <w:tcPr>
            <w:tcW w:w="328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首次申报项目</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□不予批准后再次申报项目</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□超五年重新审核项目</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5" w:hRule="atLeast"/>
        </w:trPr>
        <w:tc>
          <w:tcPr>
            <w:tcW w:w="1212"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项目审批（核准/备案）部门（选填）</w:t>
            </w:r>
          </w:p>
        </w:tc>
        <w:tc>
          <w:tcPr>
            <w:tcW w:w="232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濮阳高新技术产业开发区管理委员会</w:t>
            </w:r>
          </w:p>
        </w:tc>
        <w:tc>
          <w:tcPr>
            <w:tcW w:w="169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项目审批（核准/备案）文号（选填）</w:t>
            </w:r>
          </w:p>
        </w:tc>
        <w:tc>
          <w:tcPr>
            <w:tcW w:w="328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总投资（万元）</w:t>
            </w:r>
          </w:p>
        </w:tc>
        <w:tc>
          <w:tcPr>
            <w:tcW w:w="232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5000</w:t>
            </w:r>
          </w:p>
        </w:tc>
        <w:tc>
          <w:tcPr>
            <w:tcW w:w="169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环保投资（万元）</w:t>
            </w:r>
          </w:p>
        </w:tc>
        <w:tc>
          <w:tcPr>
            <w:tcW w:w="328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trPr>
        <w:tc>
          <w:tcPr>
            <w:tcW w:w="1212"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环保投资占比（%）</w:t>
            </w:r>
          </w:p>
        </w:tc>
        <w:tc>
          <w:tcPr>
            <w:tcW w:w="232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1</w:t>
            </w:r>
          </w:p>
        </w:tc>
        <w:tc>
          <w:tcPr>
            <w:tcW w:w="169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施工工期</w:t>
            </w:r>
          </w:p>
        </w:tc>
        <w:tc>
          <w:tcPr>
            <w:tcW w:w="3284"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3个月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是否开工建设</w:t>
            </w:r>
          </w:p>
        </w:tc>
        <w:tc>
          <w:tcPr>
            <w:tcW w:w="232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否</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□是：</w:t>
            </w:r>
            <w:r>
              <w:rPr>
                <w:rFonts w:hint="default" w:ascii="Times New Roman" w:hAnsi="Times New Roman" w:eastAsia="宋体" w:cs="Times New Roman"/>
                <w:color w:val="000000" w:themeColor="text1"/>
                <w:sz w:val="24"/>
                <w:szCs w:val="24"/>
                <w:u w:val="single"/>
                <w14:textFill>
                  <w14:solidFill>
                    <w14:schemeClr w14:val="tx1"/>
                  </w14:solidFill>
                </w14:textFill>
              </w:rPr>
              <w:t xml:space="preserve">       </w:t>
            </w:r>
          </w:p>
        </w:tc>
        <w:tc>
          <w:tcPr>
            <w:tcW w:w="169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用地（用海）面积（m</w:t>
            </w:r>
            <w:r>
              <w:rPr>
                <w:rFonts w:hint="default" w:ascii="Times New Roman" w:hAnsi="Times New Roman" w:eastAsia="宋体" w:cs="Times New Roman"/>
                <w:b/>
                <w:bCs/>
                <w:color w:val="000000" w:themeColor="text1"/>
                <w:sz w:val="24"/>
                <w:szCs w:val="32"/>
                <w:vertAlign w:val="superscript"/>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w:t>
            </w:r>
          </w:p>
        </w:tc>
        <w:tc>
          <w:tcPr>
            <w:tcW w:w="3284" w:type="dxa"/>
            <w:vAlign w:val="center"/>
          </w:tcPr>
          <w:p>
            <w:pPr>
              <w:keepNext w:val="0"/>
              <w:keepLines w:val="0"/>
              <w:widowControl/>
              <w:suppressLineNumbers w:val="0"/>
              <w:jc w:val="cente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13333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专项评价设置情况</w:t>
            </w:r>
          </w:p>
        </w:tc>
        <w:tc>
          <w:tcPr>
            <w:tcW w:w="7310"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规划情况</w:t>
            </w:r>
          </w:p>
        </w:tc>
        <w:tc>
          <w:tcPr>
            <w:tcW w:w="7310"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default" w:ascii="Times New Roman" w:hAnsi="Times New Roman" w:eastAsia="宋体" w:cs="Times New Roman"/>
                <w:color w:val="000000" w:themeColor="text1"/>
                <w:sz w:val="24"/>
                <w:szCs w:val="32"/>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highlight w:val="none"/>
                <w:vertAlign w:val="baseline"/>
                <w:lang w:val="en-US" w:eastAsia="zh-CN"/>
                <w14:textFill>
                  <w14:solidFill>
                    <w14:schemeClr w14:val="tx1"/>
                  </w14:solidFill>
                </w14:textFill>
              </w:rPr>
              <w:t>2012年6月由濮阳市发改委提出《关于调整濮阳高新技术产业开发区发展规划的请示》（濮发改工业〔2012〕300号），并于2012年10月取得了《河南省发展和改革委员会关于濮阳高新技术产业开发区总体发展规划调整方案的批复》（豫发改工业〔2012〕1603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jc w:val="both"/>
              <w:textAlignment w:val="auto"/>
              <w:rPr>
                <w:rFonts w:hint="default" w:ascii="Times New Roman" w:hAnsi="Times New Roman" w:eastAsia="宋体" w:cs="Times New Roman"/>
                <w:color w:val="000000" w:themeColor="text1"/>
                <w:sz w:val="24"/>
                <w:szCs w:val="32"/>
                <w:highlight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highlight w:val="none"/>
                <w:vertAlign w:val="baseline"/>
                <w:lang w:val="en-US" w:eastAsia="zh-CN"/>
                <w14:textFill>
                  <w14:solidFill>
                    <w14:schemeClr w14:val="tx1"/>
                  </w14:solidFill>
                </w14:textFill>
              </w:rPr>
              <w:t>2021年7月17日，河南省人民政府印发《关于设立濮阳高新技术产业开发区的批复》，文件提出同意以濮阳高新技术产业开发区为基础设立省级高新技术产业开发区，定名为濮阳高新技术产业开发区。</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2" w:firstLineChars="200"/>
              <w:jc w:val="both"/>
              <w:textAlignment w:val="auto"/>
              <w:rPr>
                <w:rFonts w:hint="default" w:ascii="Times New Roman" w:hAnsi="Times New Roman" w:eastAsia="宋体" w:cs="Times New Roman"/>
                <w:color w:val="000000" w:themeColor="text1"/>
                <w:sz w:val="24"/>
                <w:szCs w:val="32"/>
                <w:highlight w:val="yellow"/>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highlight w:val="none"/>
                <w:u w:val="single"/>
                <w:vertAlign w:val="baseline"/>
                <w:lang w:val="en-US" w:eastAsia="zh-CN"/>
                <w14:textFill>
                  <w14:solidFill>
                    <w14:schemeClr w14:val="tx1"/>
                  </w14:solidFill>
                </w14:textFill>
              </w:rPr>
              <w:t>2022年2月15日，河南省发展和改革委员会印发《关于同意濮阳市开发区整合方案的函》，文件提出濮阳高新技术产业开发区（濮阳高新技术产业开发区）整合为濮阳高新技术产业开发区，主导产业为：装备制造及工程服务、新能源装备、新一代信息技术。2022年，由河南省城乡规划设计研究总院有限公司编制了《濮阳高新技术产业开发区发展规划（2022-2035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规划环境影响评价情况</w:t>
            </w:r>
          </w:p>
        </w:tc>
        <w:tc>
          <w:tcPr>
            <w:tcW w:w="7310"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14:textFill>
                  <w14:solidFill>
                    <w14:schemeClr w14:val="tx1"/>
                  </w14:solidFill>
                </w14:textFill>
              </w:rPr>
            </w:pPr>
            <w:r>
              <w:rPr>
                <w:rFonts w:hint="default" w:ascii="Times New Roman" w:hAnsi="Times New Roman" w:eastAsia="宋体" w:cs="Times New Roman"/>
                <w:color w:val="000000" w:themeColor="text1"/>
                <w:sz w:val="24"/>
                <w:szCs w:val="32"/>
                <w14:textFill>
                  <w14:solidFill>
                    <w14:schemeClr w14:val="tx1"/>
                  </w14:solidFill>
                </w14:textFill>
              </w:rPr>
              <w:t>2013年9月委托河南省城乡规划设计研究总院有限公司编制了《</w:t>
            </w:r>
            <w:r>
              <w:rPr>
                <w:rFonts w:hint="default" w:ascii="Times New Roman" w:hAnsi="Times New Roman" w:eastAsia="宋体" w:cs="Times New Roman"/>
                <w:color w:val="000000" w:themeColor="text1"/>
                <w:sz w:val="24"/>
                <w:szCs w:val="32"/>
                <w:lang w:eastAsia="zh-CN"/>
                <w14:textFill>
                  <w14:solidFill>
                    <w14:schemeClr w14:val="tx1"/>
                  </w14:solidFill>
                </w14:textFill>
              </w:rPr>
              <w:t>濮阳高新技术产业开发区</w:t>
            </w:r>
            <w:r>
              <w:rPr>
                <w:rFonts w:hint="default" w:ascii="Times New Roman" w:hAnsi="Times New Roman" w:eastAsia="宋体" w:cs="Times New Roman"/>
                <w:color w:val="000000" w:themeColor="text1"/>
                <w:sz w:val="24"/>
                <w:szCs w:val="32"/>
                <w14:textFill>
                  <w14:solidFill>
                    <w14:schemeClr w14:val="tx1"/>
                  </w14:solidFill>
                </w14:textFill>
              </w:rPr>
              <w:t>发展规划（调整）空间发展规划(2012-2020)》。2013年，委托济源蓝天科技有限责任公司编制了《</w:t>
            </w:r>
            <w:r>
              <w:rPr>
                <w:rFonts w:hint="default" w:ascii="Times New Roman" w:hAnsi="Times New Roman" w:eastAsia="宋体" w:cs="Times New Roman"/>
                <w:color w:val="000000" w:themeColor="text1"/>
                <w:sz w:val="24"/>
                <w:szCs w:val="32"/>
                <w:lang w:eastAsia="zh-CN"/>
                <w14:textFill>
                  <w14:solidFill>
                    <w14:schemeClr w14:val="tx1"/>
                  </w14:solidFill>
                </w14:textFill>
              </w:rPr>
              <w:t>濮阳高新技术产业开发区</w:t>
            </w:r>
            <w:r>
              <w:rPr>
                <w:rFonts w:hint="default" w:ascii="Times New Roman" w:hAnsi="Times New Roman" w:eastAsia="宋体" w:cs="Times New Roman"/>
                <w:color w:val="000000" w:themeColor="text1"/>
                <w:sz w:val="24"/>
                <w:szCs w:val="32"/>
                <w14:textFill>
                  <w14:solidFill>
                    <w14:schemeClr w14:val="tx1"/>
                  </w14:solidFill>
                </w14:textFill>
              </w:rPr>
              <w:t>发展规划（调整）环境影响报告书》并于2014年10月26日通过河南省环境保护厅审查（豫环审〔2014〕26号）。</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color w:val="000000" w:themeColor="text1"/>
                <w:sz w:val="24"/>
                <w:szCs w:val="32"/>
                <w:highlight w:val="yellow"/>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14:textFill>
                  <w14:solidFill>
                    <w14:schemeClr w14:val="tx1"/>
                  </w14:solidFill>
                </w14:textFill>
              </w:rPr>
              <w:t>2022年12月，濮阳高新技术产业开发区正式委托光远检测有限公司开展《濮阳高新技术产业开发区发展规划（2022-2035年）》的环境影响评价工作，并于2023年08月完成《濮阳高新技术产业开发区发展规划（2022-2035）环境影响评价报告书》，</w:t>
            </w:r>
            <w:r>
              <w:rPr>
                <w:rFonts w:hint="default" w:ascii="Times New Roman" w:hAnsi="Times New Roman" w:eastAsia="宋体" w:cs="Times New Roman"/>
                <w:b/>
                <w:bCs/>
                <w:color w:val="000000" w:themeColor="text1"/>
                <w:sz w:val="24"/>
                <w:szCs w:val="32"/>
                <w:u w:val="single"/>
                <w:lang w:val="en-US" w:eastAsia="zh-CN"/>
                <w14:textFill>
                  <w14:solidFill>
                    <w14:schemeClr w14:val="tx1"/>
                  </w14:solidFill>
                </w14:textFill>
              </w:rPr>
              <w:t>2024年12月11日，濮阳市生态环境局以濮环审[2024]17号出具了《关于濮阳高新技术产业开发区发展规划（2022~2035）环境影响报告书的审查意见》</w:t>
            </w:r>
            <w:r>
              <w:rPr>
                <w:rFonts w:hint="default" w:ascii="Times New Roman" w:hAnsi="Times New Roman" w:eastAsia="宋体" w:cs="Times New Roman"/>
                <w:b/>
                <w:bCs/>
                <w:color w:val="000000" w:themeColor="text1"/>
                <w:sz w:val="24"/>
                <w:szCs w:val="32"/>
                <w:u w:val="singl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12" w:type="dxa"/>
            <w:vAlign w:val="center"/>
          </w:tcPr>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规划及规划环境影响评价符合性分析</w:t>
            </w:r>
          </w:p>
        </w:tc>
        <w:tc>
          <w:tcPr>
            <w:tcW w:w="7310" w:type="dxa"/>
            <w:gridSpan w:val="3"/>
            <w:vAlign w:val="center"/>
          </w:tcPr>
          <w:p>
            <w:pPr>
              <w:autoSpaceDE w:val="0"/>
              <w:autoSpaceDN w:val="0"/>
              <w:adjustRightInd w:val="0"/>
              <w:spacing w:line="360" w:lineRule="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14:textFill>
                  <w14:solidFill>
                    <w14:schemeClr w14:val="tx1"/>
                  </w14:solidFill>
                </w14:textFill>
              </w:rPr>
              <w:t>一、与《濮阳高新技术产业开发区发展规划（2022-2035）环境影响评价报告书》相符性分析</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根据《濮阳高新技术产业开发区发展规划（2022-2035）环境影响评价报告书》。本项目与濮阳高新技术产业开发区规划及其环评相符性分析见下表。</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本项目与规划及环评建议相符性分析一览表</w:t>
            </w:r>
          </w:p>
          <w:tbl>
            <w:tblPr>
              <w:tblStyle w:val="1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58"/>
              <w:gridCol w:w="695"/>
              <w:gridCol w:w="3579"/>
              <w:gridCol w:w="1773"/>
              <w:gridCol w:w="6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1" w:hRule="atLeast"/>
                <w:jc w:val="center"/>
              </w:trPr>
              <w:tc>
                <w:tcPr>
                  <w:tcW w:w="253"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序号</w:t>
                  </w:r>
                </w:p>
              </w:tc>
              <w:tc>
                <w:tcPr>
                  <w:tcW w:w="490"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规划</w:t>
                  </w:r>
                </w:p>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目标</w:t>
                  </w:r>
                </w:p>
              </w:tc>
              <w:tc>
                <w:tcPr>
                  <w:tcW w:w="2525"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濮阳高新技术产业开发区规划内容及环评建议</w:t>
                  </w:r>
                </w:p>
              </w:tc>
              <w:tc>
                <w:tcPr>
                  <w:tcW w:w="1251"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项目情况</w:t>
                  </w:r>
                </w:p>
              </w:tc>
              <w:tc>
                <w:tcPr>
                  <w:tcW w:w="478"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89" w:hRule="atLeast"/>
                <w:jc w:val="center"/>
              </w:trPr>
              <w:tc>
                <w:tcPr>
                  <w:tcW w:w="253" w:type="pct"/>
                  <w:noWrap w:val="0"/>
                  <w:vAlign w:val="center"/>
                </w:tcPr>
                <w:p>
                  <w:pPr>
                    <w:pStyle w:val="30"/>
                    <w:keepNext w:val="0"/>
                    <w:keepLines w:val="0"/>
                    <w:pageBreakBefore w:val="0"/>
                    <w:widowControl w:val="0"/>
                    <w:numPr>
                      <w:ilvl w:val="0"/>
                      <w:numId w:val="3"/>
                    </w:numPr>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p>
              </w:tc>
              <w:tc>
                <w:tcPr>
                  <w:tcW w:w="490"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位置及规划范围</w:t>
                  </w:r>
                </w:p>
              </w:tc>
              <w:tc>
                <w:tcPr>
                  <w:tcW w:w="2525"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濮阳高新技术产业开发区位于濮阳市华龙区东部，范围北起范辉高速公路、南到黄河路、西起文化路、东至经四路，建设用地总面积19.25km</w:t>
                  </w:r>
                  <w:r>
                    <w:rPr>
                      <w:rFonts w:hint="default" w:ascii="Times New Roman" w:hAnsi="Times New Roman" w:eastAsia="宋体" w:cs="Times New Roman"/>
                      <w:b/>
                      <w:bCs/>
                      <w:color w:val="000000" w:themeColor="text1"/>
                      <w:szCs w:val="21"/>
                      <w:u w:val="single"/>
                      <w:vertAlign w:val="superscript"/>
                      <w:lang w:eastAsia="zh-CN"/>
                      <w14:textFill>
                        <w14:solidFill>
                          <w14:schemeClr w14:val="tx1"/>
                        </w14:solidFill>
                      </w14:textFill>
                    </w:rPr>
                    <w:t>2</w:t>
                  </w: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（不含106国道绿化带）。</w:t>
                  </w:r>
                </w:p>
              </w:tc>
              <w:tc>
                <w:tcPr>
                  <w:tcW w:w="1251"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highlight w:val="none"/>
                      <w:u w:val="single"/>
                      <w:lang w:eastAsia="zh-CN"/>
                      <w14:textFill>
                        <w14:solidFill>
                          <w14:schemeClr w14:val="tx1"/>
                        </w14:solidFill>
                      </w14:textFill>
                    </w:rPr>
                  </w:pPr>
                  <w:r>
                    <w:rPr>
                      <w:rFonts w:hint="default" w:ascii="Times New Roman" w:hAnsi="Times New Roman" w:eastAsia="宋体" w:cs="Times New Roman"/>
                      <w:b/>
                      <w:bCs/>
                      <w:color w:val="000000" w:themeColor="text1"/>
                      <w:kern w:val="2"/>
                      <w:szCs w:val="21"/>
                      <w:highlight w:val="none"/>
                      <w:u w:val="single"/>
                      <w:lang w:eastAsia="zh-CN"/>
                      <w14:textFill>
                        <w14:solidFill>
                          <w14:schemeClr w14:val="tx1"/>
                        </w14:solidFill>
                      </w14:textFill>
                    </w:rPr>
                    <w:t>本项目</w:t>
                  </w:r>
                  <w:r>
                    <w:rPr>
                      <w:rFonts w:hint="default" w:ascii="Times New Roman" w:hAnsi="Times New Roman" w:eastAsia="宋体" w:cs="Times New Roman"/>
                      <w:b/>
                      <w:bCs/>
                      <w:color w:val="000000" w:themeColor="text1"/>
                      <w:kern w:val="2"/>
                      <w:szCs w:val="21"/>
                      <w:highlight w:val="none"/>
                      <w:u w:val="single"/>
                      <w:lang w:val="en-US" w:eastAsia="zh-CN"/>
                      <w14:textFill>
                        <w14:solidFill>
                          <w14:schemeClr w14:val="tx1"/>
                        </w14:solidFill>
                      </w14:textFill>
                    </w:rPr>
                    <w:t>位于</w:t>
                  </w:r>
                  <w:r>
                    <w:rPr>
                      <w:rFonts w:hint="default" w:ascii="Times New Roman" w:hAnsi="Times New Roman" w:eastAsia="宋体" w:cs="Times New Roman"/>
                      <w:b/>
                      <w:bCs/>
                      <w:color w:val="000000" w:themeColor="text1"/>
                      <w:kern w:val="2"/>
                      <w:szCs w:val="21"/>
                      <w:highlight w:val="none"/>
                      <w:u w:val="single"/>
                      <w:lang w:eastAsia="zh-CN"/>
                      <w14:textFill>
                        <w14:solidFill>
                          <w14:schemeClr w14:val="tx1"/>
                        </w14:solidFill>
                      </w14:textFill>
                    </w:rPr>
                    <w:t>惠寨路西、高阳大道北，位于</w:t>
                  </w:r>
                  <w:r>
                    <w:rPr>
                      <w:rFonts w:hint="eastAsia" w:ascii="Times New Roman" w:hAnsi="Times New Roman" w:cs="Times New Roman"/>
                      <w:b/>
                      <w:bCs/>
                      <w:color w:val="000000" w:themeColor="text1"/>
                      <w:kern w:val="2"/>
                      <w:szCs w:val="21"/>
                      <w:highlight w:val="none"/>
                      <w:u w:val="single"/>
                      <w:lang w:eastAsia="zh-CN"/>
                      <w14:textFill>
                        <w14:solidFill>
                          <w14:schemeClr w14:val="tx1"/>
                        </w14:solidFill>
                      </w14:textFill>
                    </w:rPr>
                    <w:t>装备制造及工程服务区</w:t>
                  </w:r>
                  <w:r>
                    <w:rPr>
                      <w:rFonts w:hint="default" w:ascii="Times New Roman" w:hAnsi="Times New Roman" w:eastAsia="宋体" w:cs="Times New Roman"/>
                      <w:b/>
                      <w:bCs/>
                      <w:color w:val="000000" w:themeColor="text1"/>
                      <w:kern w:val="2"/>
                      <w:szCs w:val="21"/>
                      <w:highlight w:val="none"/>
                      <w:u w:val="single"/>
                      <w:lang w:val="en-US" w:eastAsia="zh-CN"/>
                      <w14:textFill>
                        <w14:solidFill>
                          <w14:schemeClr w14:val="tx1"/>
                        </w14:solidFill>
                      </w14:textFill>
                    </w:rPr>
                    <w:t>。</w:t>
                  </w:r>
                </w:p>
              </w:tc>
              <w:tc>
                <w:tcPr>
                  <w:tcW w:w="478"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01" w:hRule="atLeast"/>
                <w:jc w:val="center"/>
              </w:trPr>
              <w:tc>
                <w:tcPr>
                  <w:tcW w:w="253" w:type="pct"/>
                  <w:noWrap w:val="0"/>
                  <w:vAlign w:val="center"/>
                </w:tcPr>
                <w:p>
                  <w:pPr>
                    <w:pStyle w:val="30"/>
                    <w:keepNext w:val="0"/>
                    <w:keepLines w:val="0"/>
                    <w:pageBreakBefore w:val="0"/>
                    <w:widowControl w:val="0"/>
                    <w:numPr>
                      <w:ilvl w:val="0"/>
                      <w:numId w:val="3"/>
                    </w:numPr>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p>
              </w:tc>
              <w:tc>
                <w:tcPr>
                  <w:tcW w:w="490"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产业</w:t>
                  </w:r>
                </w:p>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定位</w:t>
                  </w:r>
                </w:p>
              </w:tc>
              <w:tc>
                <w:tcPr>
                  <w:tcW w:w="2525"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以石油机械装备制造和商贸物流为主导产业的、濮阳市生态良好、功能齐全、适宜居住、又具有创业环境的与濮阳中心城区密切联系的现代化和生态化的产业集聚区。</w:t>
                  </w:r>
                </w:p>
              </w:tc>
              <w:tc>
                <w:tcPr>
                  <w:tcW w:w="1251"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highlight w:val="none"/>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eastAsia="zh-CN"/>
                      <w14:textFill>
                        <w14:solidFill>
                          <w14:schemeClr w14:val="tx1"/>
                        </w14:solidFill>
                      </w14:textFill>
                    </w:rPr>
                    <w:t>本项目属于石油钻采专用设备制造及</w:t>
                  </w: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滤芯制造</w:t>
                  </w:r>
                  <w:r>
                    <w:rPr>
                      <w:rFonts w:hint="default" w:ascii="Times New Roman" w:hAnsi="Times New Roman" w:eastAsia="宋体" w:cs="Times New Roman"/>
                      <w:b/>
                      <w:bCs/>
                      <w:color w:val="000000" w:themeColor="text1"/>
                      <w:szCs w:val="21"/>
                      <w:highlight w:val="none"/>
                      <w:u w:val="single"/>
                      <w:lang w:eastAsia="zh-CN"/>
                      <w14:textFill>
                        <w14:solidFill>
                          <w14:schemeClr w14:val="tx1"/>
                        </w14:solidFill>
                      </w14:textFill>
                    </w:rPr>
                    <w:t>项目，</w:t>
                  </w:r>
                  <w:r>
                    <w:rPr>
                      <w:rFonts w:hint="default" w:ascii="Times New Roman" w:hAnsi="Times New Roman" w:eastAsia="宋体" w:cs="Times New Roman"/>
                      <w:b/>
                      <w:bCs/>
                      <w:color w:val="000000" w:themeColor="text1"/>
                      <w:kern w:val="2"/>
                      <w:szCs w:val="21"/>
                      <w:highlight w:val="none"/>
                      <w:u w:val="single"/>
                      <w:lang w:eastAsia="zh-CN"/>
                      <w14:textFill>
                        <w14:solidFill>
                          <w14:schemeClr w14:val="tx1"/>
                        </w14:solidFill>
                      </w14:textFill>
                    </w:rPr>
                    <w:t>位于</w:t>
                  </w:r>
                  <w:r>
                    <w:rPr>
                      <w:rFonts w:hint="eastAsia" w:ascii="Times New Roman" w:hAnsi="Times New Roman" w:cs="Times New Roman"/>
                      <w:b/>
                      <w:bCs/>
                      <w:color w:val="000000" w:themeColor="text1"/>
                      <w:kern w:val="2"/>
                      <w:szCs w:val="21"/>
                      <w:highlight w:val="none"/>
                      <w:u w:val="single"/>
                      <w:lang w:eastAsia="zh-CN"/>
                      <w14:textFill>
                        <w14:solidFill>
                          <w14:schemeClr w14:val="tx1"/>
                        </w14:solidFill>
                      </w14:textFill>
                    </w:rPr>
                    <w:t>装备制造及工程服务区</w:t>
                  </w:r>
                  <w:r>
                    <w:rPr>
                      <w:rFonts w:hint="default" w:ascii="Times New Roman" w:hAnsi="Times New Roman" w:eastAsia="宋体" w:cs="Times New Roman"/>
                      <w:b/>
                      <w:bCs/>
                      <w:color w:val="000000" w:themeColor="text1"/>
                      <w:kern w:val="2"/>
                      <w:szCs w:val="21"/>
                      <w:highlight w:val="none"/>
                      <w:u w:val="single"/>
                      <w:lang w:eastAsia="zh-CN"/>
                      <w14:textFill>
                        <w14:solidFill>
                          <w14:schemeClr w14:val="tx1"/>
                        </w14:solidFill>
                      </w14:textFill>
                    </w:rPr>
                    <w:t>，符合濮阳高新技术产业开发区总体发展规划，符合产业定位和土地使用规划</w:t>
                  </w:r>
                  <w:r>
                    <w:rPr>
                      <w:rFonts w:hint="default" w:ascii="Times New Roman" w:hAnsi="Times New Roman" w:eastAsia="宋体" w:cs="Times New Roman"/>
                      <w:b/>
                      <w:bCs/>
                      <w:color w:val="000000" w:themeColor="text1"/>
                      <w:kern w:val="2"/>
                      <w:szCs w:val="21"/>
                      <w:highlight w:val="none"/>
                      <w:u w:val="single"/>
                      <w:lang w:val="en-US" w:eastAsia="zh-CN"/>
                      <w14:textFill>
                        <w14:solidFill>
                          <w14:schemeClr w14:val="tx1"/>
                        </w14:solidFill>
                      </w14:textFill>
                    </w:rPr>
                    <w:t>。</w:t>
                  </w:r>
                </w:p>
              </w:tc>
              <w:tc>
                <w:tcPr>
                  <w:tcW w:w="478"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0" w:hRule="atLeast"/>
                <w:jc w:val="center"/>
              </w:trPr>
              <w:tc>
                <w:tcPr>
                  <w:tcW w:w="253" w:type="pct"/>
                  <w:noWrap w:val="0"/>
                  <w:vAlign w:val="center"/>
                </w:tcPr>
                <w:p>
                  <w:pPr>
                    <w:pStyle w:val="30"/>
                    <w:keepNext w:val="0"/>
                    <w:keepLines w:val="0"/>
                    <w:pageBreakBefore w:val="0"/>
                    <w:widowControl w:val="0"/>
                    <w:numPr>
                      <w:ilvl w:val="0"/>
                      <w:numId w:val="3"/>
                    </w:numPr>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p>
              </w:tc>
              <w:tc>
                <w:tcPr>
                  <w:tcW w:w="490"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总体布局结构</w:t>
                  </w:r>
                </w:p>
              </w:tc>
              <w:tc>
                <w:tcPr>
                  <w:tcW w:w="2525"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“一心”是以中央生态公园及其周边商业用地、行政办公用地和文化娱乐用地等公共空间共同组成的综合服务休闲区为核心的区域；</w:t>
                  </w:r>
                </w:p>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两轴”：强调“一横一纵”的轴向关系。“一横”是指贯穿规划区中部核心区域与中心城区相连的东西向城市空间发展轴，“一纵”是指以新东路为依托、纵贯南北的产业发展轴，两轴相交于濮阳高新技术产业开发区的综合服务中心；</w:t>
                  </w:r>
                </w:p>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w:t>
                  </w: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两廊</w:t>
                  </w: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”：东环路（106国道）两侧绿带与龙乡路以东的规划基础设施廊道纵贯整个规划区，将整个濮阳高新技术产业开发区分割成西、中、东三大片区，形成防护绿廊，同时也是规划区内纵贯南北的自然景观廊道；</w:t>
                  </w:r>
                </w:p>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w:t>
                  </w: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多组团</w:t>
                  </w: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”：规划区内形成四类主要功能组团，分别为：工业组团、仓储物流组团、综合服务中心组团和生活服务组团；</w:t>
                  </w:r>
                </w:p>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w:t>
                  </w: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功能布局</w:t>
                  </w: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”：西北部为商贸物流区，中北部及东北部为机械加工区及电子轻工加工区，综合服务区位于整个集聚区的中部，生活服务区主要分布于绿城路以南区域。</w:t>
                  </w:r>
                </w:p>
              </w:tc>
              <w:tc>
                <w:tcPr>
                  <w:tcW w:w="1251"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eastAsia="zh-CN"/>
                      <w14:textFill>
                        <w14:solidFill>
                          <w14:schemeClr w14:val="tx1"/>
                        </w14:solidFill>
                      </w14:textFill>
                    </w:rPr>
                    <w:t>本项目位于惠寨路西、高阳大道北，符合濮阳高新技术产业开发区总体发展规划。</w:t>
                  </w:r>
                </w:p>
              </w:tc>
              <w:tc>
                <w:tcPr>
                  <w:tcW w:w="478"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80" w:hRule="atLeast"/>
                <w:jc w:val="center"/>
              </w:trPr>
              <w:tc>
                <w:tcPr>
                  <w:tcW w:w="253" w:type="pct"/>
                  <w:noWrap w:val="0"/>
                  <w:vAlign w:val="center"/>
                </w:tcPr>
                <w:p>
                  <w:pPr>
                    <w:pStyle w:val="30"/>
                    <w:keepNext w:val="0"/>
                    <w:keepLines w:val="0"/>
                    <w:pageBreakBefore w:val="0"/>
                    <w:widowControl w:val="0"/>
                    <w:numPr>
                      <w:ilvl w:val="0"/>
                      <w:numId w:val="3"/>
                    </w:numPr>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p>
              </w:tc>
              <w:tc>
                <w:tcPr>
                  <w:tcW w:w="490"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供水工程规划</w:t>
                  </w:r>
                </w:p>
              </w:tc>
              <w:tc>
                <w:tcPr>
                  <w:tcW w:w="2525"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用水量预测：</w:t>
                  </w: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9.72</w:t>
                  </w: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万m</w:t>
                  </w:r>
                  <w:r>
                    <w:rPr>
                      <w:rFonts w:hint="default" w:ascii="Times New Roman" w:hAnsi="Times New Roman" w:eastAsia="宋体" w:cs="Times New Roman"/>
                      <w:b/>
                      <w:bCs/>
                      <w:color w:val="000000" w:themeColor="text1"/>
                      <w:szCs w:val="21"/>
                      <w:u w:val="single"/>
                      <w:vertAlign w:val="superscript"/>
                      <w:lang w:eastAsia="zh-CN"/>
                      <w14:textFill>
                        <w14:solidFill>
                          <w14:schemeClr w14:val="tx1"/>
                        </w14:solidFill>
                      </w14:textFill>
                    </w:rPr>
                    <w:t>3</w:t>
                  </w: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/d</w:t>
                  </w:r>
                </w:p>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水源选择：近期采用</w:t>
                  </w: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濮阳市</w:t>
                  </w: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第二水厂作为饮用和工业水源，远期生活用水来自濮阳市第三水厂，水源为南水北调水。</w:t>
                  </w:r>
                </w:p>
              </w:tc>
              <w:tc>
                <w:tcPr>
                  <w:tcW w:w="1251"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本项目供水由濮阳高新技术产业开发区</w:t>
                  </w: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供水管网</w:t>
                  </w: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统一供给。</w:t>
                  </w:r>
                </w:p>
              </w:tc>
              <w:tc>
                <w:tcPr>
                  <w:tcW w:w="478" w:type="pct"/>
                  <w:noWrap w:val="0"/>
                  <w:vAlign w:val="center"/>
                </w:tcPr>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01" w:hRule="atLeast"/>
                <w:jc w:val="center"/>
              </w:trPr>
              <w:tc>
                <w:tcPr>
                  <w:tcW w:w="253" w:type="pct"/>
                  <w:noWrap w:val="0"/>
                  <w:vAlign w:val="center"/>
                </w:tcPr>
                <w:p>
                  <w:pPr>
                    <w:pStyle w:val="30"/>
                    <w:keepNext w:val="0"/>
                    <w:keepLines w:val="0"/>
                    <w:pageBreakBefore w:val="0"/>
                    <w:widowControl w:val="0"/>
                    <w:numPr>
                      <w:ilvl w:val="0"/>
                      <w:numId w:val="3"/>
                    </w:numPr>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p>
              </w:tc>
              <w:tc>
                <w:tcPr>
                  <w:tcW w:w="490"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排水工程规划</w:t>
                  </w:r>
                </w:p>
              </w:tc>
              <w:tc>
                <w:tcPr>
                  <w:tcW w:w="2525"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污水处理规划：结合濮阳市城市总体规划及濮阳市产业集聚区总体规划，本集聚区污水采用分区采集，根据产业集聚区提供的相关情况，西区和中区</w:t>
                  </w:r>
                  <w:r>
                    <w:rPr>
                      <w:rFonts w:hint="default" w:ascii="Times New Roman" w:hAnsi="Times New Roman" w:eastAsia="宋体" w:cs="Times New Roman"/>
                      <w:b/>
                      <w:bCs/>
                      <w:color w:val="000000" w:themeColor="text1"/>
                      <w:sz w:val="21"/>
                      <w:szCs w:val="21"/>
                      <w:u w:val="single"/>
                      <w:lang w:val="en-US"/>
                      <w14:textFill>
                        <w14:solidFill>
                          <w14:schemeClr w14:val="tx1"/>
                        </w14:solidFill>
                      </w14:textFill>
                    </w:rPr>
                    <w:t>的污水</w:t>
                  </w:r>
                  <w:r>
                    <w:rPr>
                      <w:rFonts w:hint="default" w:ascii="Times New Roman" w:hAnsi="Times New Roman" w:eastAsia="宋体" w:cs="Times New Roman"/>
                      <w:b/>
                      <w:bCs/>
                      <w:color w:val="000000" w:themeColor="text1"/>
                      <w:sz w:val="21"/>
                      <w:szCs w:val="21"/>
                      <w:u w:val="single"/>
                      <w14:textFill>
                        <w14:solidFill>
                          <w14:schemeClr w14:val="tx1"/>
                        </w14:solidFill>
                      </w14:textFill>
                    </w:rPr>
                    <w:t>进入市区污水管</w:t>
                  </w:r>
                  <w:r>
                    <w:rPr>
                      <w:rFonts w:hint="default" w:ascii="Times New Roman" w:hAnsi="Times New Roman" w:eastAsia="宋体" w:cs="Times New Roman"/>
                      <w:b/>
                      <w:bCs/>
                      <w:color w:val="000000" w:themeColor="text1"/>
                      <w:sz w:val="21"/>
                      <w:szCs w:val="21"/>
                      <w:u w:val="single"/>
                      <w:lang w:val="en-US"/>
                      <w14:textFill>
                        <w14:solidFill>
                          <w14:schemeClr w14:val="tx1"/>
                        </w14:solidFill>
                      </w14:textFill>
                    </w:rPr>
                    <w:t>网</w:t>
                  </w:r>
                  <w:r>
                    <w:rPr>
                      <w:rFonts w:hint="default" w:ascii="Times New Roman" w:hAnsi="Times New Roman" w:eastAsia="宋体" w:cs="Times New Roman"/>
                      <w:b/>
                      <w:bCs/>
                      <w:color w:val="000000" w:themeColor="text1"/>
                      <w:sz w:val="21"/>
                      <w:szCs w:val="21"/>
                      <w:u w:val="single"/>
                      <w14:textFill>
                        <w14:solidFill>
                          <w14:schemeClr w14:val="tx1"/>
                        </w14:solidFill>
                      </w14:textFill>
                    </w:rPr>
                    <w:t>送至濮阳市污水处理厂、东区的污水</w:t>
                  </w:r>
                  <w:r>
                    <w:rPr>
                      <w:rFonts w:hint="default" w:ascii="Times New Roman" w:hAnsi="Times New Roman" w:eastAsia="宋体" w:cs="Times New Roman"/>
                      <w:b/>
                      <w:bCs/>
                      <w:color w:val="000000" w:themeColor="text1"/>
                      <w:sz w:val="21"/>
                      <w:szCs w:val="21"/>
                      <w:u w:val="single"/>
                      <w:lang w:val="en-US"/>
                      <w14:textFill>
                        <w14:solidFill>
                          <w14:schemeClr w14:val="tx1"/>
                        </w14:solidFill>
                      </w14:textFill>
                    </w:rPr>
                    <w:t>进入</w:t>
                  </w:r>
                  <w:r>
                    <w:rPr>
                      <w:rFonts w:hint="default" w:ascii="Times New Roman" w:hAnsi="Times New Roman" w:eastAsia="宋体" w:cs="Times New Roman"/>
                      <w:b/>
                      <w:bCs/>
                      <w:color w:val="000000" w:themeColor="text1"/>
                      <w:sz w:val="21"/>
                      <w:szCs w:val="21"/>
                      <w:u w:val="single"/>
                      <w14:textFill>
                        <w14:solidFill>
                          <w14:schemeClr w14:val="tx1"/>
                        </w14:solidFill>
                      </w14:textFill>
                    </w:rPr>
                    <w:t>濮阳市产业集聚区污水管道，</w:t>
                  </w:r>
                  <w:r>
                    <w:rPr>
                      <w:rFonts w:hint="default" w:ascii="Times New Roman" w:hAnsi="Times New Roman" w:eastAsia="宋体" w:cs="Times New Roman"/>
                      <w:b/>
                      <w:bCs/>
                      <w:color w:val="000000" w:themeColor="text1"/>
                      <w:sz w:val="21"/>
                      <w:szCs w:val="21"/>
                      <w:u w:val="single"/>
                      <w:lang w:val="en-US"/>
                      <w14:textFill>
                        <w14:solidFill>
                          <w14:schemeClr w14:val="tx1"/>
                        </w14:solidFill>
                      </w14:textFill>
                    </w:rPr>
                    <w:t>送至</w:t>
                  </w:r>
                  <w:r>
                    <w:rPr>
                      <w:rFonts w:hint="default" w:ascii="Times New Roman" w:hAnsi="Times New Roman" w:eastAsia="宋体" w:cs="Times New Roman"/>
                      <w:b/>
                      <w:bCs/>
                      <w:color w:val="000000" w:themeColor="text1"/>
                      <w:sz w:val="21"/>
                      <w:szCs w:val="21"/>
                      <w:u w:val="single"/>
                      <w14:textFill>
                        <w14:solidFill>
                          <w14:schemeClr w14:val="tx1"/>
                        </w14:solidFill>
                      </w14:textFill>
                    </w:rPr>
                    <w:t>濮阳市工业园</w:t>
                  </w:r>
                  <w:r>
                    <w:rPr>
                      <w:rFonts w:hint="default" w:ascii="Times New Roman" w:hAnsi="Times New Roman" w:eastAsia="宋体" w:cs="Times New Roman"/>
                      <w:b/>
                      <w:bCs/>
                      <w:color w:val="000000" w:themeColor="text1"/>
                      <w:sz w:val="21"/>
                      <w:szCs w:val="21"/>
                      <w:u w:val="single"/>
                      <w:lang w:val="en-US"/>
                      <w14:textFill>
                        <w14:solidFill>
                          <w14:schemeClr w14:val="tx1"/>
                        </w14:solidFill>
                      </w14:textFill>
                    </w:rPr>
                    <w:t>区</w:t>
                  </w:r>
                  <w:r>
                    <w:rPr>
                      <w:rFonts w:hint="default" w:ascii="Times New Roman" w:hAnsi="Times New Roman" w:eastAsia="宋体" w:cs="Times New Roman"/>
                      <w:b/>
                      <w:bCs/>
                      <w:color w:val="000000" w:themeColor="text1"/>
                      <w:sz w:val="21"/>
                      <w:szCs w:val="21"/>
                      <w:u w:val="single"/>
                      <w14:textFill>
                        <w14:solidFill>
                          <w14:schemeClr w14:val="tx1"/>
                        </w14:solidFill>
                      </w14:textFill>
                    </w:rPr>
                    <w:t>污水处理厂处理。</w:t>
                  </w:r>
                </w:p>
              </w:tc>
              <w:tc>
                <w:tcPr>
                  <w:tcW w:w="1251"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本项目无生产废水外排，生活污水经化粪池预处理后进濮阳市第三污水厂</w:t>
                  </w:r>
                </w:p>
              </w:tc>
              <w:tc>
                <w:tcPr>
                  <w:tcW w:w="478" w:type="pct"/>
                  <w:noWrap w:val="0"/>
                  <w:vAlign w:val="center"/>
                </w:tcPr>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83" w:hRule="atLeast"/>
                <w:jc w:val="center"/>
              </w:trPr>
              <w:tc>
                <w:tcPr>
                  <w:tcW w:w="253" w:type="pct"/>
                  <w:noWrap w:val="0"/>
                  <w:vAlign w:val="center"/>
                </w:tcPr>
                <w:p>
                  <w:pPr>
                    <w:pStyle w:val="30"/>
                    <w:keepNext w:val="0"/>
                    <w:keepLines w:val="0"/>
                    <w:pageBreakBefore w:val="0"/>
                    <w:widowControl w:val="0"/>
                    <w:numPr>
                      <w:ilvl w:val="0"/>
                      <w:numId w:val="3"/>
                    </w:numPr>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p>
              </w:tc>
              <w:tc>
                <w:tcPr>
                  <w:tcW w:w="490"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供电工程规划</w:t>
                  </w:r>
                </w:p>
              </w:tc>
              <w:tc>
                <w:tcPr>
                  <w:tcW w:w="2525"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电源规划：</w:t>
                  </w: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近期</w:t>
                  </w: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在</w:t>
                  </w: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经二</w:t>
                  </w: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路与</w:t>
                  </w: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纬五</w:t>
                  </w: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路</w:t>
                  </w: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交叉口西北角</w:t>
                  </w: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新建110千伏变电站，</w:t>
                  </w: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远期在开通公路和纬六路东南角</w:t>
                  </w: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新建110千伏变电站。</w:t>
                  </w:r>
                </w:p>
              </w:tc>
              <w:tc>
                <w:tcPr>
                  <w:tcW w:w="1251"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本项目供电由濮阳高新技术产业开发区</w:t>
                  </w: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供电电网</w:t>
                  </w: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统一供给。</w:t>
                  </w:r>
                </w:p>
              </w:tc>
              <w:tc>
                <w:tcPr>
                  <w:tcW w:w="478" w:type="pct"/>
                  <w:noWrap w:val="0"/>
                  <w:vAlign w:val="center"/>
                </w:tcPr>
                <w:p>
                  <w:pPr>
                    <w:keepNext w:val="0"/>
                    <w:keepLines w:val="0"/>
                    <w:pageBreakBefore w:val="0"/>
                    <w:widowControl w:val="0"/>
                    <w:suppressLineNumbers w:val="0"/>
                    <w:kinsoku/>
                    <w:wordWrap/>
                    <w:overflowPunct/>
                    <w:topLinePunct w:val="0"/>
                    <w:autoSpaceDE/>
                    <w:autoSpaceDN/>
                    <w:bidi w:val="0"/>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t>符合</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项目与规划环评提出的环境准入条件满足性分析见下表。</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本项目与规划环评提出环境准入条件满足性分析一览表</w:t>
            </w:r>
          </w:p>
          <w:tbl>
            <w:tblPr>
              <w:tblStyle w:val="52"/>
              <w:tblW w:w="4997"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72"/>
              <w:gridCol w:w="4211"/>
              <w:gridCol w:w="1602"/>
              <w:gridCol w:w="699"/>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5" w:hRule="atLeast"/>
              </w:trPr>
              <w:tc>
                <w:tcPr>
                  <w:tcW w:w="404" w:type="pct"/>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项目</w:t>
                  </w:r>
                </w:p>
              </w:tc>
              <w:tc>
                <w:tcPr>
                  <w:tcW w:w="2971" w:type="pct"/>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环境准入条件</w:t>
                  </w:r>
                </w:p>
              </w:tc>
              <w:tc>
                <w:tcPr>
                  <w:tcW w:w="1130" w:type="pct"/>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本项目情况</w:t>
                  </w:r>
                </w:p>
              </w:tc>
              <w:tc>
                <w:tcPr>
                  <w:tcW w:w="493" w:type="pct"/>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满足性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679" w:hRule="atLeast"/>
              </w:trPr>
              <w:tc>
                <w:tcPr>
                  <w:tcW w:w="404" w:type="pc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产业发展要求</w:t>
                  </w:r>
                </w:p>
              </w:tc>
              <w:tc>
                <w:tcPr>
                  <w:tcW w:w="2971" w:type="pct"/>
                  <w:vAlign w:val="center"/>
                </w:tcPr>
                <w:p>
                  <w:pPr>
                    <w:jc w:val="both"/>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濮阳高新技术产业开发区规划其产业发展以石油机械装备制造、现代物流为主导产业。</w:t>
                  </w:r>
                </w:p>
                <w:p>
                  <w:pPr>
                    <w:jc w:val="both"/>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鼓励发展以石油机械为重点，提高科技含量，生产具有创新和性能优越的石油机械及相关仪器的生产；依靠濮阳高新技术产业开发区优越的地理位置，加大引入物流行业进入区内，物流行业的发展还能带动相关产业的发展。允许有利于濮阳高新技术产业开发区总体产业链条延伸的项目、高新技术产业、市政基础设施、利于濮阳高新技术产业开发区产生的固体废物综合利用项目、有利于节能减排的技术改造项目进入。</w:t>
                  </w:r>
                </w:p>
              </w:tc>
              <w:tc>
                <w:tcPr>
                  <w:tcW w:w="1130" w:type="pct"/>
                  <w:vAlign w:val="center"/>
                </w:tcPr>
                <w:p>
                  <w:pPr>
                    <w:jc w:val="both"/>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本项目</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属于石油钻采专用设备制造及</w:t>
                  </w: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滤芯制造</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项目，位于</w:t>
                  </w:r>
                  <w:r>
                    <w:rPr>
                      <w:rFonts w:hint="eastAsia" w:ascii="Times New Roman" w:hAnsi="Times New Roman" w:cs="Times New Roman"/>
                      <w:b/>
                      <w:bCs/>
                      <w:color w:val="000000" w:themeColor="text1"/>
                      <w:sz w:val="21"/>
                      <w:szCs w:val="21"/>
                      <w:u w:val="single"/>
                      <w:lang w:val="en-US" w:eastAsia="zh-CN"/>
                      <w14:textFill>
                        <w14:solidFill>
                          <w14:schemeClr w14:val="tx1"/>
                        </w14:solidFill>
                      </w14:textFill>
                    </w:rPr>
                    <w:t>装备制造及工程服务区</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，符合濮阳高新技术产业开发区总体发展规划，符合产业定位和土地使用规划</w:t>
                  </w:r>
                  <w:r>
                    <w:rPr>
                      <w:rFonts w:hint="default" w:ascii="Times New Roman" w:hAnsi="Times New Roman" w:eastAsia="宋体" w:cs="Times New Roman"/>
                      <w:b/>
                      <w:bCs/>
                      <w:color w:val="000000" w:themeColor="text1"/>
                      <w:kern w:val="0"/>
                      <w:sz w:val="21"/>
                      <w:szCs w:val="21"/>
                      <w:highlight w:val="none"/>
                      <w:u w:val="single"/>
                      <w:lang w:val="en-US" w:eastAsia="zh-CN" w:bidi="ar-SA"/>
                      <w14:textFill>
                        <w14:solidFill>
                          <w14:schemeClr w14:val="tx1"/>
                        </w14:solidFill>
                      </w14:textFill>
                    </w:rPr>
                    <w:t>。</w:t>
                  </w:r>
                </w:p>
              </w:tc>
              <w:tc>
                <w:tcPr>
                  <w:tcW w:w="493" w:type="pct"/>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满足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7" w:hRule="atLeast"/>
              </w:trPr>
              <w:tc>
                <w:tcPr>
                  <w:tcW w:w="404" w:type="pct"/>
                  <w:vMerge w:val="restart"/>
                  <w:tcBorders>
                    <w:bottom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生产规模和工</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艺技术先进性</w:t>
                  </w:r>
                </w:p>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要求</w:t>
                  </w:r>
                </w:p>
              </w:tc>
              <w:tc>
                <w:tcPr>
                  <w:tcW w:w="2971" w:type="pct"/>
                  <w:vAlign w:val="center"/>
                </w:tcPr>
                <w:p>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工艺技术水平，要求入驻集聚区项目达到国内同行业领先水平、或具备国际先进水平；</w:t>
                  </w:r>
                </w:p>
              </w:tc>
              <w:tc>
                <w:tcPr>
                  <w:tcW w:w="1130" w:type="pct"/>
                  <w:vAlign w:val="center"/>
                </w:tcPr>
                <w:p>
                  <w:pP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工艺技术达到国内</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先进</w:t>
                  </w:r>
                  <w:r>
                    <w:rPr>
                      <w:rFonts w:hint="default" w:ascii="Times New Roman" w:hAnsi="Times New Roman" w:eastAsia="宋体" w:cs="Times New Roman"/>
                      <w:b/>
                      <w:bCs/>
                      <w:color w:val="000000" w:themeColor="text1"/>
                      <w:sz w:val="21"/>
                      <w:szCs w:val="21"/>
                      <w:u w:val="single"/>
                      <w14:textFill>
                        <w14:solidFill>
                          <w14:schemeClr w14:val="tx1"/>
                        </w14:solidFill>
                      </w14:textFill>
                    </w:rPr>
                    <w:t>水平</w:t>
                  </w:r>
                </w:p>
              </w:tc>
              <w:tc>
                <w:tcPr>
                  <w:tcW w:w="493" w:type="pct"/>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满足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4" w:hRule="atLeast"/>
              </w:trPr>
              <w:tc>
                <w:tcPr>
                  <w:tcW w:w="404" w:type="pct"/>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2971" w:type="pct"/>
                  <w:vAlign w:val="center"/>
                </w:tcPr>
                <w:p>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建设规模符合国家产业政策的最小经济规模要求；</w:t>
                  </w:r>
                </w:p>
              </w:tc>
              <w:tc>
                <w:tcPr>
                  <w:tcW w:w="1130" w:type="pct"/>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满足相应产业政策</w:t>
                  </w:r>
                </w:p>
              </w:tc>
              <w:tc>
                <w:tcPr>
                  <w:tcW w:w="493" w:type="pct"/>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满足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07" w:hRule="atLeast"/>
              </w:trPr>
              <w:tc>
                <w:tcPr>
                  <w:tcW w:w="404"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2971" w:type="pct"/>
                  <w:vAlign w:val="center"/>
                </w:tcPr>
                <w:p>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环保搬迁入驻集聚区内的企业应进行产品和生产技术的升级改造，达到国家相关规定的要求。</w:t>
                  </w:r>
                </w:p>
              </w:tc>
              <w:tc>
                <w:tcPr>
                  <w:tcW w:w="1130" w:type="pct"/>
                  <w:vAlign w:val="center"/>
                </w:tcPr>
                <w:p>
                  <w:pPr>
                    <w:jc w:val="center"/>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493" w:type="pct"/>
                  <w:vAlign w:val="center"/>
                </w:tcPr>
                <w:p>
                  <w:pPr>
                    <w:jc w:val="center"/>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24" w:hRule="atLeast"/>
              </w:trPr>
              <w:tc>
                <w:tcPr>
                  <w:tcW w:w="404" w:type="pct"/>
                  <w:vMerge w:val="restart"/>
                  <w:tcBorders>
                    <w:bottom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清洁生产水平</w:t>
                  </w:r>
                </w:p>
              </w:tc>
              <w:tc>
                <w:tcPr>
                  <w:tcW w:w="2971" w:type="pct"/>
                  <w:vAlign w:val="center"/>
                </w:tcPr>
                <w:p>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符合国家相关产业政策，国家和行业环境保护标准和清洁生产标准要求，其生产规模应符合国家产业政策的最小经济规模要求，其工艺技术应达到国内同行业先进清洁生产水平以上水平；</w:t>
                  </w:r>
                </w:p>
              </w:tc>
              <w:tc>
                <w:tcPr>
                  <w:tcW w:w="1130" w:type="pct"/>
                  <w:vAlign w:val="center"/>
                </w:tcPr>
                <w:p>
                  <w:pP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满足相应产业政策</w:t>
                  </w:r>
                </w:p>
              </w:tc>
              <w:tc>
                <w:tcPr>
                  <w:tcW w:w="493" w:type="pct"/>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满足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605" w:hRule="atLeast"/>
              </w:trPr>
              <w:tc>
                <w:tcPr>
                  <w:tcW w:w="404" w:type="pct"/>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2971" w:type="pct"/>
                  <w:vAlign w:val="center"/>
                </w:tcPr>
                <w:p>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科技含量高、污染小、能耗物耗少，生产工艺、设备及环保设施处于先进水平；</w:t>
                  </w:r>
                </w:p>
              </w:tc>
              <w:tc>
                <w:tcPr>
                  <w:tcW w:w="1130" w:type="pct"/>
                  <w:vAlign w:val="center"/>
                </w:tcPr>
                <w:p>
                  <w:pP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工艺技术达到国内先进水平</w:t>
                  </w:r>
                </w:p>
              </w:tc>
              <w:tc>
                <w:tcPr>
                  <w:tcW w:w="493" w:type="pct"/>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满足</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878" w:hRule="atLeast"/>
              </w:trPr>
              <w:tc>
                <w:tcPr>
                  <w:tcW w:w="404"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2971" w:type="pct"/>
                  <w:vAlign w:val="top"/>
                </w:tcPr>
                <w:p>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选择使用原料和产品为环境友好性的项目，避免集聚区大规模建设造成的不良辐射效应，避免国家明令禁止项目在集聚区内出现。</w:t>
                  </w:r>
                </w:p>
              </w:tc>
              <w:tc>
                <w:tcPr>
                  <w:tcW w:w="1130" w:type="pct"/>
                  <w:vAlign w:val="center"/>
                </w:tcPr>
                <w:p>
                  <w:pPr>
                    <w:jc w:val="cente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493" w:type="pct"/>
                  <w:vAlign w:val="center"/>
                </w:tcPr>
                <w:p>
                  <w:pPr>
                    <w:jc w:val="cente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1151" w:hRule="atLeast"/>
              </w:trPr>
              <w:tc>
                <w:tcPr>
                  <w:tcW w:w="404" w:type="pct"/>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污染物排放总量控制</w:t>
                  </w:r>
                </w:p>
              </w:tc>
              <w:tc>
                <w:tcPr>
                  <w:tcW w:w="2971" w:type="pct"/>
                  <w:vAlign w:val="top"/>
                </w:tcPr>
                <w:p>
                  <w:pPr>
                    <w:keepNext w:val="0"/>
                    <w:keepLines w:val="0"/>
                    <w:pageBreakBefore w:val="0"/>
                    <w:widowControl w:val="0"/>
                    <w:kinsoku/>
                    <w:wordWrap/>
                    <w:overflowPunct/>
                    <w:topLinePunct w:val="0"/>
                    <w:autoSpaceDE/>
                    <w:autoSpaceDN/>
                    <w:bidi w:val="0"/>
                    <w:adjustRightInd w:val="0"/>
                    <w:snapToGrid w:val="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新建、环保搬迁项目的大气污染物和水污染物的排放指标必须在提高区域内现有工业污染负荷削减量或城市污染负荷削减量中调剂，做到区域增产减污或增产不增污。</w:t>
                  </w:r>
                </w:p>
              </w:tc>
              <w:tc>
                <w:tcPr>
                  <w:tcW w:w="1130" w:type="pct"/>
                  <w:vAlign w:val="center"/>
                </w:tcPr>
                <w:p>
                  <w:pP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三废治理技术较为成熟</w:t>
                  </w:r>
                </w:p>
              </w:tc>
              <w:tc>
                <w:tcPr>
                  <w:tcW w:w="493" w:type="pct"/>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满足</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由上表可以看出，本项目符合濮阳高新技术产业开发区规划及其环评的相关要求。</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根据调整后的濮阳高新技术产业开发区规划和规划环评提出的负面清单，分析对比见下表。对比分析认为本项目不属于濮阳高新技术产业开发区负面清单项目。</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项目与濮阳高新技术产业开发区产负面清单对比一览表</w:t>
            </w:r>
          </w:p>
          <w:tbl>
            <w:tblPr>
              <w:tblStyle w:val="52"/>
              <w:tblW w:w="4999" w:type="pct"/>
              <w:tblInd w:w="0" w:type="dxa"/>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Layout w:type="fixed"/>
              <w:tblCellMar>
                <w:top w:w="0" w:type="dxa"/>
                <w:left w:w="0" w:type="dxa"/>
                <w:bottom w:w="0" w:type="dxa"/>
                <w:right w:w="0" w:type="dxa"/>
              </w:tblCellMar>
            </w:tblPr>
            <w:tblGrid>
              <w:gridCol w:w="517"/>
              <w:gridCol w:w="5032"/>
              <w:gridCol w:w="1534"/>
            </w:tblGrid>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365" w:type="pct"/>
                  <w:tcBorders>
                    <w:righ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类别</w:t>
                  </w:r>
                </w:p>
              </w:tc>
              <w:tc>
                <w:tcPr>
                  <w:tcW w:w="3551" w:type="pct"/>
                  <w:tcBorders>
                    <w:left w:val="single" w:color="000000" w:sz="4" w:space="0"/>
                    <w:righ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负面清单</w:t>
                  </w:r>
                </w:p>
              </w:tc>
              <w:tc>
                <w:tcPr>
                  <w:tcW w:w="1082" w:type="pct"/>
                  <w:tcBorders>
                    <w:lef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相符性</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365" w:type="pct"/>
                  <w:vMerge w:val="restart"/>
                  <w:tcBorders>
                    <w:righ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限制及禁止类</w:t>
                  </w:r>
                </w:p>
              </w:tc>
              <w:tc>
                <w:tcPr>
                  <w:tcW w:w="3551" w:type="pct"/>
                  <w:tcBorders>
                    <w:left w:val="single" w:color="000000" w:sz="4" w:space="0"/>
                    <w:righ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生产工艺或生产设备不符合国家产业政策或命令禁止淘汰的工业项目</w:t>
                  </w:r>
                </w:p>
              </w:tc>
              <w:tc>
                <w:tcPr>
                  <w:tcW w:w="1082" w:type="pct"/>
                  <w:tcBorders>
                    <w:lef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lang w:val="en-US" w:eastAsia="zh-CN"/>
                      <w14:textFill>
                        <w14:solidFill>
                          <w14:schemeClr w14:val="tx1"/>
                        </w14:solidFill>
                      </w14:textFill>
                    </w:rPr>
                    <w:t>本项目</w:t>
                  </w:r>
                  <w:r>
                    <w:rPr>
                      <w:rFonts w:hint="default" w:ascii="Times New Roman" w:hAnsi="Times New Roman" w:eastAsia="宋体" w:cs="Times New Roman"/>
                      <w:b/>
                      <w:bCs/>
                      <w:color w:val="000000" w:themeColor="text1"/>
                      <w:u w:val="single"/>
                      <w14:textFill>
                        <w14:solidFill>
                          <w14:schemeClr w14:val="tx1"/>
                        </w14:solidFill>
                      </w14:textFill>
                    </w:rPr>
                    <w:t>不属于限制禁止类项目</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365" w:type="pct"/>
                  <w:vMerge w:val="continue"/>
                  <w:tcBorders>
                    <w:righ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p>
              </w:tc>
              <w:tc>
                <w:tcPr>
                  <w:tcW w:w="3551" w:type="pct"/>
                  <w:tcBorders>
                    <w:left w:val="single" w:color="000000" w:sz="4" w:space="0"/>
                    <w:righ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投资强度不能满足国土资发【2008】24号文《关于发布和实施工业项目建设用地控制指标的通知》要求的项目</w:t>
                  </w:r>
                </w:p>
              </w:tc>
              <w:tc>
                <w:tcPr>
                  <w:tcW w:w="1082" w:type="pct"/>
                  <w:tcBorders>
                    <w:lef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lang w:val="en-US" w:eastAsia="zh-CN"/>
                      <w14:textFill>
                        <w14:solidFill>
                          <w14:schemeClr w14:val="tx1"/>
                        </w14:solidFill>
                      </w14:textFill>
                    </w:rPr>
                    <w:t>本项目</w:t>
                  </w:r>
                  <w:r>
                    <w:rPr>
                      <w:rFonts w:hint="default" w:ascii="Times New Roman" w:hAnsi="Times New Roman" w:eastAsia="宋体" w:cs="Times New Roman"/>
                      <w:b/>
                      <w:bCs/>
                      <w:color w:val="000000" w:themeColor="text1"/>
                      <w:u w:val="single"/>
                      <w14:textFill>
                        <w14:solidFill>
                          <w14:schemeClr w14:val="tx1"/>
                        </w14:solidFill>
                      </w14:textFill>
                    </w:rPr>
                    <w:t>不属于限制禁止类项目</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365" w:type="pct"/>
                  <w:vMerge w:val="continue"/>
                  <w:tcBorders>
                    <w:righ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p>
              </w:tc>
              <w:tc>
                <w:tcPr>
                  <w:tcW w:w="3551" w:type="pct"/>
                  <w:tcBorders>
                    <w:left w:val="single" w:color="000000" w:sz="4" w:space="0"/>
                    <w:righ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不符合国家清洁生产标准要求的建设项目，限制高耗能、高排放的工业项目</w:t>
                  </w:r>
                </w:p>
              </w:tc>
              <w:tc>
                <w:tcPr>
                  <w:tcW w:w="1082" w:type="pct"/>
                  <w:tcBorders>
                    <w:lef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lang w:val="en-US" w:eastAsia="zh-CN"/>
                      <w14:textFill>
                        <w14:solidFill>
                          <w14:schemeClr w14:val="tx1"/>
                        </w14:solidFill>
                      </w14:textFill>
                    </w:rPr>
                    <w:t>本项目</w:t>
                  </w:r>
                  <w:r>
                    <w:rPr>
                      <w:rFonts w:hint="default" w:ascii="Times New Roman" w:hAnsi="Times New Roman" w:eastAsia="宋体" w:cs="Times New Roman"/>
                      <w:b/>
                      <w:bCs/>
                      <w:color w:val="000000" w:themeColor="text1"/>
                      <w:u w:val="single"/>
                      <w14:textFill>
                        <w14:solidFill>
                          <w14:schemeClr w14:val="tx1"/>
                        </w14:solidFill>
                      </w14:textFill>
                    </w:rPr>
                    <w:t>不属于限制禁止类项目</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365" w:type="pct"/>
                  <w:vMerge w:val="continue"/>
                  <w:tcBorders>
                    <w:righ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p>
              </w:tc>
              <w:tc>
                <w:tcPr>
                  <w:tcW w:w="3551" w:type="pct"/>
                  <w:tcBorders>
                    <w:left w:val="single" w:color="000000" w:sz="4" w:space="0"/>
                    <w:righ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不符合集聚区功能定位的项目，其中包括：污染重的化工项目，含氰、含铬电镀以及其他污染重的建设项目(例如，含酸洗等表面处理可能产生难处理废水类项目、使用含磷洗涤剂产生含磷废水排放和清洗过程产生重金属排放的表面清洗项目)</w:t>
                  </w:r>
                </w:p>
              </w:tc>
              <w:tc>
                <w:tcPr>
                  <w:tcW w:w="1082" w:type="pct"/>
                  <w:tcBorders>
                    <w:lef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lang w:val="en-US" w:eastAsia="zh-CN"/>
                      <w14:textFill>
                        <w14:solidFill>
                          <w14:schemeClr w14:val="tx1"/>
                        </w14:solidFill>
                      </w14:textFill>
                    </w:rPr>
                    <w:t>本项目</w:t>
                  </w:r>
                  <w:r>
                    <w:rPr>
                      <w:rFonts w:hint="default" w:ascii="Times New Roman" w:hAnsi="Times New Roman" w:eastAsia="宋体" w:cs="Times New Roman"/>
                      <w:b/>
                      <w:bCs/>
                      <w:color w:val="000000" w:themeColor="text1"/>
                      <w:u w:val="single"/>
                      <w14:textFill>
                        <w14:solidFill>
                          <w14:schemeClr w14:val="tx1"/>
                        </w14:solidFill>
                      </w14:textFill>
                    </w:rPr>
                    <w:t>不属于限制禁止类项目</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365" w:type="pct"/>
                  <w:vMerge w:val="continue"/>
                  <w:tcBorders>
                    <w:righ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p>
              </w:tc>
              <w:tc>
                <w:tcPr>
                  <w:tcW w:w="3551" w:type="pct"/>
                  <w:tcBorders>
                    <w:left w:val="single" w:color="000000" w:sz="4" w:space="0"/>
                    <w:righ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生产过程中涉及到危险品大量储存或运输以及产生大量危险固废的项目；</w:t>
                  </w:r>
                </w:p>
              </w:tc>
              <w:tc>
                <w:tcPr>
                  <w:tcW w:w="1082" w:type="pct"/>
                  <w:tcBorders>
                    <w:lef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lang w:val="en-US" w:eastAsia="zh-CN"/>
                      <w14:textFill>
                        <w14:solidFill>
                          <w14:schemeClr w14:val="tx1"/>
                        </w14:solidFill>
                      </w14:textFill>
                    </w:rPr>
                    <w:t>本项目</w:t>
                  </w:r>
                  <w:r>
                    <w:rPr>
                      <w:rFonts w:hint="default" w:ascii="Times New Roman" w:hAnsi="Times New Roman" w:eastAsia="宋体" w:cs="Times New Roman"/>
                      <w:b/>
                      <w:bCs/>
                      <w:color w:val="000000" w:themeColor="text1"/>
                      <w:u w:val="single"/>
                      <w14:textFill>
                        <w14:solidFill>
                          <w14:schemeClr w14:val="tx1"/>
                        </w14:solidFill>
                      </w14:textFill>
                    </w:rPr>
                    <w:t>不属于限制禁止类项目</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365" w:type="pct"/>
                  <w:vMerge w:val="continue"/>
                  <w:tcBorders>
                    <w:righ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p>
              </w:tc>
              <w:tc>
                <w:tcPr>
                  <w:tcW w:w="3551" w:type="pct"/>
                  <w:tcBorders>
                    <w:left w:val="single" w:color="000000" w:sz="4" w:space="0"/>
                    <w:righ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因集聚区石油机械装备制造区位于居住服务区次主导风向的上风向，限制集聚区入驻高废气产生量的项目，禁止入驻工艺废气中含有难处理的项目</w:t>
                  </w:r>
                </w:p>
              </w:tc>
              <w:tc>
                <w:tcPr>
                  <w:tcW w:w="1082" w:type="pct"/>
                  <w:tcBorders>
                    <w:lef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lang w:val="en-US" w:eastAsia="zh-CN"/>
                      <w14:textFill>
                        <w14:solidFill>
                          <w14:schemeClr w14:val="tx1"/>
                        </w14:solidFill>
                      </w14:textFill>
                    </w:rPr>
                    <w:t>本项目</w:t>
                  </w:r>
                  <w:r>
                    <w:rPr>
                      <w:rFonts w:hint="default" w:ascii="Times New Roman" w:hAnsi="Times New Roman" w:eastAsia="宋体" w:cs="Times New Roman"/>
                      <w:b/>
                      <w:bCs/>
                      <w:color w:val="000000" w:themeColor="text1"/>
                      <w:u w:val="single"/>
                      <w14:textFill>
                        <w14:solidFill>
                          <w14:schemeClr w14:val="tx1"/>
                        </w14:solidFill>
                      </w14:textFill>
                    </w:rPr>
                    <w:t>不属于限制禁止类项目</w:t>
                  </w:r>
                </w:p>
              </w:tc>
            </w:tr>
            <w:tr>
              <w:tblPrEx>
                <w:tblBorders>
                  <w:top w:val="single" w:color="auto" w:sz="4" w:space="0"/>
                  <w:left w:val="single" w:color="auto" w:sz="4" w:space="0"/>
                  <w:bottom w:val="single" w:color="auto" w:sz="4" w:space="0"/>
                  <w:right w:val="single" w:color="auto" w:sz="4"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365" w:type="pct"/>
                  <w:vMerge w:val="continue"/>
                  <w:tcBorders>
                    <w:righ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p>
              </w:tc>
              <w:tc>
                <w:tcPr>
                  <w:tcW w:w="3551" w:type="pct"/>
                  <w:tcBorders>
                    <w:left w:val="single" w:color="000000" w:sz="4" w:space="0"/>
                    <w:righ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控制入驻高耗水、高排水建设项目和污水处理后达不到集聚区集中污水处理厂收水水质标准的建设项目</w:t>
                  </w:r>
                </w:p>
              </w:tc>
              <w:tc>
                <w:tcPr>
                  <w:tcW w:w="1082" w:type="pct"/>
                  <w:tcBorders>
                    <w:left w:val="single" w:color="000000" w:sz="4" w:space="0"/>
                  </w:tcBorders>
                  <w:vAlign w:val="center"/>
                </w:tcPr>
                <w:p>
                  <w:pPr>
                    <w:jc w:val="center"/>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lang w:val="en-US" w:eastAsia="zh-CN"/>
                      <w14:textFill>
                        <w14:solidFill>
                          <w14:schemeClr w14:val="tx1"/>
                        </w14:solidFill>
                      </w14:textFill>
                    </w:rPr>
                    <w:t>本项目</w:t>
                  </w:r>
                  <w:r>
                    <w:rPr>
                      <w:rFonts w:hint="default" w:ascii="Times New Roman" w:hAnsi="Times New Roman" w:eastAsia="宋体" w:cs="Times New Roman"/>
                      <w:b/>
                      <w:bCs/>
                      <w:color w:val="000000" w:themeColor="text1"/>
                      <w:u w:val="single"/>
                      <w14:textFill>
                        <w14:solidFill>
                          <w14:schemeClr w14:val="tx1"/>
                        </w14:solidFill>
                      </w14:textFill>
                    </w:rPr>
                    <w:t>不属于限制禁止类项目</w:t>
                  </w:r>
                </w:p>
              </w:tc>
            </w:tr>
          </w:tbl>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濮阳高新技术产业开发区内限制发展项目一览表</w:t>
            </w:r>
          </w:p>
          <w:tbl>
            <w:tblPr>
              <w:tblStyle w:val="52"/>
              <w:tblW w:w="4995"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582"/>
              <w:gridCol w:w="1272"/>
              <w:gridCol w:w="837"/>
              <w:gridCol w:w="2674"/>
              <w:gridCol w:w="1717"/>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40" w:hRule="atLeast"/>
              </w:trPr>
              <w:tc>
                <w:tcPr>
                  <w:tcW w:w="411"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序号</w:t>
                  </w:r>
                </w:p>
              </w:tc>
              <w:tc>
                <w:tcPr>
                  <w:tcW w:w="898"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要求</w:t>
                  </w:r>
                </w:p>
              </w:tc>
              <w:tc>
                <w:tcPr>
                  <w:tcW w:w="591"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行业</w:t>
                  </w:r>
                </w:p>
              </w:tc>
              <w:tc>
                <w:tcPr>
                  <w:tcW w:w="1887"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禁止发展项目</w:t>
                  </w:r>
                </w:p>
              </w:tc>
              <w:tc>
                <w:tcPr>
                  <w:tcW w:w="1211"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相符性</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93" w:hRule="atLeast"/>
              </w:trPr>
              <w:tc>
                <w:tcPr>
                  <w:tcW w:w="411"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1</w:t>
                  </w:r>
                </w:p>
              </w:tc>
              <w:tc>
                <w:tcPr>
                  <w:tcW w:w="898" w:type="pct"/>
                  <w:vMerge w:val="restart"/>
                  <w:tcBorders>
                    <w:bottom w:val="nil"/>
                  </w:tcBorders>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不符合产业政策、国家政策、属于淘汰工艺及产品、用水量大、废气产生量大、产业规模达不到要求及国家限制发展行业</w:t>
                  </w:r>
                </w:p>
              </w:tc>
              <w:tc>
                <w:tcPr>
                  <w:tcW w:w="591"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石油</w:t>
                  </w:r>
                </w:p>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化工</w:t>
                  </w:r>
                </w:p>
              </w:tc>
              <w:tc>
                <w:tcPr>
                  <w:tcW w:w="1887"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无组织排放大量的恶臭的化工项目，难以收集治理项目；产生嘧啶、光气、萘等“三致”污染物的项目；有机化学农药及中间体、燃料</w:t>
                  </w:r>
                </w:p>
              </w:tc>
              <w:tc>
                <w:tcPr>
                  <w:tcW w:w="1211"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u w:val="single"/>
                      <w:lang w:val="en-US" w:eastAsia="zh-CN"/>
                      <w14:textFill>
                        <w14:solidFill>
                          <w14:schemeClr w14:val="tx1"/>
                        </w14:solidFill>
                      </w14:textFill>
                    </w:rPr>
                    <w:t>本项目</w:t>
                  </w:r>
                  <w:r>
                    <w:rPr>
                      <w:rFonts w:hint="default" w:ascii="Times New Roman" w:hAnsi="Times New Roman" w:eastAsia="宋体" w:cs="Times New Roman"/>
                      <w:b/>
                      <w:bCs/>
                      <w:color w:val="000000" w:themeColor="text1"/>
                      <w:u w:val="single"/>
                      <w14:textFill>
                        <w14:solidFill>
                          <w14:schemeClr w14:val="tx1"/>
                        </w14:solidFill>
                      </w14:textFill>
                    </w:rPr>
                    <w:t>不属于</w:t>
                  </w:r>
                  <w:r>
                    <w:rPr>
                      <w:rFonts w:hint="default" w:ascii="Times New Roman" w:hAnsi="Times New Roman" w:eastAsia="宋体" w:cs="Times New Roman"/>
                      <w:b/>
                      <w:bCs/>
                      <w:color w:val="000000" w:themeColor="text1"/>
                      <w:u w:val="single"/>
                      <w:lang w:val="en-US" w:eastAsia="zh-CN"/>
                      <w14:textFill>
                        <w14:solidFill>
                          <w14:schemeClr w14:val="tx1"/>
                        </w14:solidFill>
                      </w14:textFill>
                    </w:rPr>
                    <w:t>石化项目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366" w:hRule="atLeast"/>
              </w:trPr>
              <w:tc>
                <w:tcPr>
                  <w:tcW w:w="411"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2</w:t>
                  </w:r>
                </w:p>
              </w:tc>
              <w:tc>
                <w:tcPr>
                  <w:tcW w:w="898" w:type="pct"/>
                  <w:vMerge w:val="continue"/>
                  <w:tcBorders>
                    <w:top w:val="nil"/>
                    <w:bottom w:val="nil"/>
                  </w:tcBorders>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p>
              </w:tc>
              <w:tc>
                <w:tcPr>
                  <w:tcW w:w="591"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机电</w:t>
                  </w:r>
                </w:p>
              </w:tc>
              <w:tc>
                <w:tcPr>
                  <w:tcW w:w="1887"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重污染或涉重金属污染的电镀项目；淘汰、限制类的如普通高速钢钻头、铣刀、锯片、丝锥、板牙项目、普通微小型球轴承制造项目；芯片制造和封装项目</w:t>
                  </w:r>
                </w:p>
              </w:tc>
              <w:tc>
                <w:tcPr>
                  <w:tcW w:w="1211"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u w:val="single"/>
                      <w:lang w:val="en-US" w:eastAsia="zh-CN"/>
                      <w14:textFill>
                        <w14:solidFill>
                          <w14:schemeClr w14:val="tx1"/>
                        </w14:solidFill>
                      </w14:textFill>
                    </w:rPr>
                    <w:t>本项目不属于电镀项目，不属于淘汰、限制类项目，不属于芯片制造和封装项目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49" w:hRule="atLeast"/>
              </w:trPr>
              <w:tc>
                <w:tcPr>
                  <w:tcW w:w="411"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3</w:t>
                  </w:r>
                </w:p>
              </w:tc>
              <w:tc>
                <w:tcPr>
                  <w:tcW w:w="898" w:type="pct"/>
                  <w:vMerge w:val="continue"/>
                  <w:tcBorders>
                    <w:top w:val="nil"/>
                  </w:tcBorders>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p>
              </w:tc>
              <w:tc>
                <w:tcPr>
                  <w:tcW w:w="591"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食品</w:t>
                  </w:r>
                </w:p>
              </w:tc>
              <w:tc>
                <w:tcPr>
                  <w:tcW w:w="1887"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排水量大的淀粉生产、酿造及屠宰等食品加工企业</w:t>
                  </w:r>
                </w:p>
              </w:tc>
              <w:tc>
                <w:tcPr>
                  <w:tcW w:w="1211"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u w:val="single"/>
                      <w:lang w:val="en-US" w:eastAsia="zh-CN"/>
                      <w14:textFill>
                        <w14:solidFill>
                          <w14:schemeClr w14:val="tx1"/>
                        </w14:solidFill>
                      </w14:textFill>
                    </w:rPr>
                    <w:t>本项目</w:t>
                  </w:r>
                  <w:r>
                    <w:rPr>
                      <w:rFonts w:hint="default" w:ascii="Times New Roman" w:hAnsi="Times New Roman" w:eastAsia="宋体" w:cs="Times New Roman"/>
                      <w:b/>
                      <w:bCs/>
                      <w:color w:val="000000" w:themeColor="text1"/>
                      <w:u w:val="single"/>
                      <w14:textFill>
                        <w14:solidFill>
                          <w14:schemeClr w14:val="tx1"/>
                        </w14:solidFill>
                      </w14:textFill>
                    </w:rPr>
                    <w:t>不属于</w:t>
                  </w:r>
                  <w:r>
                    <w:rPr>
                      <w:rFonts w:hint="default" w:ascii="Times New Roman" w:hAnsi="Times New Roman" w:eastAsia="宋体" w:cs="Times New Roman"/>
                      <w:b/>
                      <w:bCs/>
                      <w:color w:val="000000" w:themeColor="text1"/>
                      <w:u w:val="single"/>
                      <w:lang w:val="en-US" w:eastAsia="zh-CN"/>
                      <w14:textFill>
                        <w14:solidFill>
                          <w14:schemeClr w14:val="tx1"/>
                        </w14:solidFill>
                      </w14:textFill>
                    </w:rPr>
                    <w:t>食品项目</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553" w:hRule="atLeast"/>
              </w:trPr>
              <w:tc>
                <w:tcPr>
                  <w:tcW w:w="411"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4</w:t>
                  </w:r>
                </w:p>
              </w:tc>
              <w:tc>
                <w:tcPr>
                  <w:tcW w:w="898"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不在产业定位中的项目</w:t>
                  </w:r>
                </w:p>
              </w:tc>
              <w:tc>
                <w:tcPr>
                  <w:tcW w:w="591"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其它</w:t>
                  </w:r>
                </w:p>
              </w:tc>
              <w:tc>
                <w:tcPr>
                  <w:tcW w:w="1887"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14:textFill>
                        <w14:solidFill>
                          <w14:schemeClr w14:val="tx1"/>
                        </w14:solidFill>
                      </w14:textFill>
                    </w:rPr>
                  </w:pPr>
                  <w:r>
                    <w:rPr>
                      <w:rFonts w:hint="default" w:ascii="Times New Roman" w:hAnsi="Times New Roman" w:eastAsia="宋体" w:cs="Times New Roman"/>
                      <w:b/>
                      <w:bCs/>
                      <w:color w:val="000000" w:themeColor="text1"/>
                      <w:u w:val="single"/>
                      <w14:textFill>
                        <w14:solidFill>
                          <w14:schemeClr w14:val="tx1"/>
                        </w14:solidFill>
                      </w14:textFill>
                    </w:rPr>
                    <w:t>其他不在集聚区产业定位内的项目，如制革、化纤浆粕、焦化等</w:t>
                  </w:r>
                </w:p>
              </w:tc>
              <w:tc>
                <w:tcPr>
                  <w:tcW w:w="1211" w:type="pct"/>
                  <w:vAlign w:val="center"/>
                </w:tcPr>
                <w:p>
                  <w:pPr>
                    <w:keepNext w:val="0"/>
                    <w:keepLines w:val="0"/>
                    <w:pageBreakBefore w:val="0"/>
                    <w:widowControl w:val="0"/>
                    <w:kinsoku/>
                    <w:wordWrap/>
                    <w:overflowPunct/>
                    <w:topLinePunct w:val="0"/>
                    <w:autoSpaceDE/>
                    <w:autoSpaceDN/>
                    <w:bidi w:val="0"/>
                    <w:adjustRightInd w:val="0"/>
                    <w:snapToGrid/>
                    <w:jc w:val="center"/>
                    <w:textAlignment w:val="auto"/>
                    <w:rPr>
                      <w:rFonts w:hint="default" w:ascii="Times New Roman" w:hAnsi="Times New Roman" w:eastAsia="宋体" w:cs="Times New Roman"/>
                      <w:b/>
                      <w:bCs/>
                      <w:color w:val="000000" w:themeColor="text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t>本项目属于石油钻采专用设备制造及滤芯制造项目</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，位于</w:t>
                  </w:r>
                  <w:r>
                    <w:rPr>
                      <w:rFonts w:hint="eastAsia" w:ascii="Times New Roman" w:hAnsi="Times New Roman" w:cs="Times New Roman"/>
                      <w:b/>
                      <w:bCs/>
                      <w:color w:val="000000" w:themeColor="text1"/>
                      <w:sz w:val="21"/>
                      <w:szCs w:val="21"/>
                      <w:u w:val="single"/>
                      <w:lang w:val="en-US" w:eastAsia="zh-CN"/>
                      <w14:textFill>
                        <w14:solidFill>
                          <w14:schemeClr w14:val="tx1"/>
                        </w14:solidFill>
                      </w14:textFill>
                    </w:rPr>
                    <w:t>装备制造及工程服务区</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，符合濮阳高新技术产业开发区总体发展规划，符合产业定位和土地使用规划</w:t>
                  </w:r>
                  <w:r>
                    <w:rPr>
                      <w:rFonts w:hint="default" w:ascii="Times New Roman" w:hAnsi="Times New Roman" w:eastAsia="宋体" w:cs="Times New Roman"/>
                      <w:b/>
                      <w:bCs/>
                      <w:color w:val="000000" w:themeColor="text1"/>
                      <w:kern w:val="0"/>
                      <w:sz w:val="21"/>
                      <w:szCs w:val="21"/>
                      <w:highlight w:val="none"/>
                      <w:u w:val="single"/>
                      <w:lang w:val="en-US" w:eastAsia="zh-CN" w:bidi="ar-SA"/>
                      <w14:textFill>
                        <w14:solidFill>
                          <w14:schemeClr w14:val="tx1"/>
                        </w14:solidFill>
                      </w14:textFill>
                    </w:rPr>
                    <w:t>。</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根据分析，本项目为于石油钻采专用设备制造及滤芯制造项目，不属于濮阳高新技术产业开发区限制及禁止类项目，符合产业集聚区环境准入条件，符合产业定位和土地使用规划。</w:t>
            </w:r>
          </w:p>
          <w:p>
            <w:pPr>
              <w:autoSpaceDE w:val="0"/>
              <w:autoSpaceDN w:val="0"/>
              <w:adjustRightInd w:val="0"/>
              <w:spacing w:line="360" w:lineRule="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二</w:t>
            </w:r>
            <w:r>
              <w:rPr>
                <w:rFonts w:hint="default" w:ascii="Times New Roman" w:hAnsi="Times New Roman" w:eastAsia="宋体" w:cs="Times New Roman"/>
                <w:b/>
                <w:bCs/>
                <w:color w:val="000000" w:themeColor="text1"/>
                <w:sz w:val="24"/>
                <w14:textFill>
                  <w14:solidFill>
                    <w14:schemeClr w14:val="tx1"/>
                  </w14:solidFill>
                </w14:textFill>
              </w:rPr>
              <w:t>、与《濮阳高新技术产业开发区发展规划（2022-2035）环境影响评价报告书》</w:t>
            </w:r>
            <w:r>
              <w:rPr>
                <w:rFonts w:hint="default" w:ascii="Times New Roman" w:hAnsi="Times New Roman" w:eastAsia="宋体" w:cs="Times New Roman"/>
                <w:b/>
                <w:bCs/>
                <w:color w:val="000000" w:themeColor="text1"/>
                <w:sz w:val="24"/>
                <w:lang w:val="en-US" w:eastAsia="zh-CN"/>
                <w14:textFill>
                  <w14:solidFill>
                    <w14:schemeClr w14:val="tx1"/>
                  </w14:solidFill>
                </w14:textFill>
              </w:rPr>
              <w:t>审查意见</w:t>
            </w:r>
            <w:r>
              <w:rPr>
                <w:rFonts w:hint="default" w:ascii="Times New Roman" w:hAnsi="Times New Roman" w:eastAsia="宋体" w:cs="Times New Roman"/>
                <w:b/>
                <w:bCs/>
                <w:color w:val="000000" w:themeColor="text1"/>
                <w:sz w:val="24"/>
                <w14:textFill>
                  <w14:solidFill>
                    <w14:schemeClr w14:val="tx1"/>
                  </w14:solidFill>
                </w14:textFill>
              </w:rPr>
              <w:t>相符性分析</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根据《濮阳高新技术产业开发区发展规划（2022-2035）环境影响评价报告书》审查意见。本项目与审查意见相符性分析见下表。</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本项目与规划环评审查意见相符性分析一览表</w:t>
            </w:r>
          </w:p>
          <w:tbl>
            <w:tblPr>
              <w:tblStyle w:val="16"/>
              <w:tblW w:w="495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08"/>
              <w:gridCol w:w="3574"/>
              <w:gridCol w:w="1"/>
              <w:gridCol w:w="1772"/>
              <w:gridCol w:w="1"/>
              <w:gridCol w:w="9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1" w:hRule="atLeast"/>
                <w:jc w:val="center"/>
              </w:trPr>
              <w:tc>
                <w:tcPr>
                  <w:tcW w:w="504"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序号</w:t>
                  </w:r>
                </w:p>
              </w:tc>
              <w:tc>
                <w:tcPr>
                  <w:tcW w:w="2548"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规划</w:t>
                  </w: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环评审查意见</w:t>
                  </w:r>
                </w:p>
              </w:tc>
              <w:tc>
                <w:tcPr>
                  <w:tcW w:w="1263"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项目情况</w:t>
                  </w:r>
                </w:p>
              </w:tc>
              <w:tc>
                <w:tcPr>
                  <w:tcW w:w="684"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1" w:hRule="atLeast"/>
                <w:jc w:val="center"/>
              </w:trPr>
              <w:tc>
                <w:tcPr>
                  <w:tcW w:w="504"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1</w:t>
                  </w:r>
                </w:p>
              </w:tc>
              <w:tc>
                <w:tcPr>
                  <w:tcW w:w="2547"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进一步加强与国土空间规划的街接,保持规划之间协调一致;加强对产业园区及周边生活区的防护,确保园区产业布局与生态环境保护、人居环境安全相协调。</w:t>
                  </w:r>
                </w:p>
              </w:tc>
              <w:tc>
                <w:tcPr>
                  <w:tcW w:w="1263"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本项目属于石油钻采专用设备制造及滤芯制造项目，位于</w:t>
                  </w:r>
                  <w:r>
                    <w:rPr>
                      <w:rFonts w:hint="eastAsia" w:ascii="Times New Roman" w:hAnsi="Times New Roman" w:cs="Times New Roman"/>
                      <w:b/>
                      <w:bCs/>
                      <w:color w:val="000000" w:themeColor="text1"/>
                      <w:szCs w:val="21"/>
                      <w:u w:val="single"/>
                      <w:lang w:val="en-US" w:eastAsia="zh-CN"/>
                      <w14:textFill>
                        <w14:solidFill>
                          <w14:schemeClr w14:val="tx1"/>
                        </w14:solidFill>
                      </w14:textFill>
                    </w:rPr>
                    <w:t>装备制造及工程服务区</w:t>
                  </w: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，符合濮阳高新技术产业开发区总体发展规划，根据用地规划图可知项目占地土地为二类工业用地，符合产业定位和土地使用规划。</w:t>
                  </w:r>
                </w:p>
              </w:tc>
              <w:tc>
                <w:tcPr>
                  <w:tcW w:w="684"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1" w:hRule="atLeast"/>
                <w:jc w:val="center"/>
              </w:trPr>
              <w:tc>
                <w:tcPr>
                  <w:tcW w:w="504"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2</w:t>
                  </w:r>
                </w:p>
              </w:tc>
              <w:tc>
                <w:tcPr>
                  <w:tcW w:w="2547"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园区管理部门应按照规划环评报告提出的项目负面清单及准入条件，优化产业定位，把好项目准入关。优先发展符合园区主导产业要求、有利于园区总体产业链条延伸的项目，列入园区限制类的项目应限制入驻，列入园区的负面清单的的项目禁止入驻，通过实施差别化环境准入，逐步优化产业结构，构筑园区循环经济产业链。</w:t>
                  </w:r>
                </w:p>
              </w:tc>
              <w:tc>
                <w:tcPr>
                  <w:tcW w:w="1263"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已根据《濮阳高新技术产业开发区发展规划（2022-2035）环境影响评价报告书》进行对比分析，本项目符合规划环评报告提出的准入条件，不属于负面清单要求项目</w:t>
                  </w:r>
                </w:p>
              </w:tc>
              <w:tc>
                <w:tcPr>
                  <w:tcW w:w="684"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1" w:hRule="atLeast"/>
                <w:jc w:val="center"/>
              </w:trPr>
              <w:tc>
                <w:tcPr>
                  <w:tcW w:w="504"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3</w:t>
                  </w:r>
                </w:p>
              </w:tc>
              <w:tc>
                <w:tcPr>
                  <w:tcW w:w="2547"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left"/>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规划批准后,应严格按照规划要求推动产业园区高质量发展,严守生态保护红线、环境质量底线、资源利用上线，落实《报告书》提出的各项措施,在实施范围、适用期限、规模、结构和布局等方面进行重大调整或者修订的,应当重新或者补充进行环境影响评价。</w:t>
                  </w:r>
                </w:p>
              </w:tc>
              <w:tc>
                <w:tcPr>
                  <w:tcW w:w="1263"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本项目符合“三线一单”要求。</w:t>
                  </w:r>
                </w:p>
              </w:tc>
              <w:tc>
                <w:tcPr>
                  <w:tcW w:w="684"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1" w:hRule="atLeast"/>
                <w:jc w:val="center"/>
              </w:trPr>
              <w:tc>
                <w:tcPr>
                  <w:tcW w:w="504"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firstLine="0" w:firstLineChars="0"/>
                    <w:jc w:val="center"/>
                    <w:textAlignment w:val="auto"/>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4</w:t>
                  </w:r>
                </w:p>
              </w:tc>
              <w:tc>
                <w:tcPr>
                  <w:tcW w:w="2547" w:type="pct"/>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leftChars="0" w:firstLine="0" w:firstLineChars="0"/>
                    <w:jc w:val="left"/>
                    <w:textAlignment w:val="auto"/>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拟入区的建设项目应结合规划环评提出的指导意见做好环境影响评价工作,落实相关要求,加强与规划环评的联动,重点开展工程分析、污染物允许排放量测算和环保措施可行性论证等内容,强化环境监测和环境保护相关措施的落实;规划环评中协调性分析、环境现状、污染源调查等符合要求的资料可供建设项目环评共享，项目环评相应评价内容可结合实际情况予以简化。</w:t>
                  </w:r>
                </w:p>
              </w:tc>
              <w:tc>
                <w:tcPr>
                  <w:tcW w:w="1263"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leftChars="0" w:firstLine="0" w:firstLineChars="0"/>
                    <w:jc w:val="center"/>
                    <w:textAlignment w:val="auto"/>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本项目已根据《濮阳高新技术产业开发区发展规划（2022-2035）环境影响评价报告书》进行对比分析</w:t>
                  </w:r>
                </w:p>
              </w:tc>
              <w:tc>
                <w:tcPr>
                  <w:tcW w:w="684" w:type="pct"/>
                  <w:gridSpan w:val="2"/>
                  <w:noWrap w:val="0"/>
                  <w:vAlign w:val="center"/>
                </w:tcPr>
                <w:p>
                  <w:pPr>
                    <w:pStyle w:val="30"/>
                    <w:keepNext w:val="0"/>
                    <w:keepLines w:val="0"/>
                    <w:pageBreakBefore w:val="0"/>
                    <w:widowControl w:val="0"/>
                    <w:suppressLineNumbers w:val="0"/>
                    <w:kinsoku/>
                    <w:wordWrap/>
                    <w:overflowPunct/>
                    <w:topLinePunct w:val="0"/>
                    <w:autoSpaceDE/>
                    <w:autoSpaceDN/>
                    <w:bidi w:val="0"/>
                    <w:snapToGrid/>
                    <w:spacing w:before="0" w:beforeAutospacing="0" w:after="0" w:afterAutospacing="0"/>
                    <w:ind w:left="0" w:leftChars="0" w:firstLine="0" w:firstLineChars="0"/>
                    <w:jc w:val="center"/>
                    <w:textAlignment w:val="auto"/>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相符</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99" w:hRule="atLeast"/>
        </w:trPr>
        <w:tc>
          <w:tcPr>
            <w:tcW w:w="1212"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其他符合性分析</w:t>
            </w:r>
          </w:p>
        </w:tc>
        <w:tc>
          <w:tcPr>
            <w:tcW w:w="7310"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1、产业政策合理性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根据《市场准入负面清单（2022年版）》，本项目不在禁止准入类事项之列。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经查阅《产业结构调整指导目录（2024年本）》，本项目不属于限制类、鼓励类、禁止类，为允许类项目。</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目前该项目已经濮阳高新技术产业开发区管理委员会备案（项目代码：2407-410902-04-01-200120）；因此，本项目的建设符合国家和地方的有关产业政策。</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2、“三线一单”相符性分析</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根据河南省三线一单综合信息应用平台中导出《河南省“三线一单”建设项目准入研判分析报告》分析，本项目与其相关内容相符性分析如下。</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一、空间冲突</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经研判，初步判定该项目无空间冲突，最终结果以自然资源部门提供的为准。</w:t>
            </w:r>
          </w:p>
          <w:p>
            <w:pPr>
              <w:pStyle w:val="34"/>
              <w:spacing w:line="520" w:lineRule="exact"/>
              <w:ind w:firstLine="480"/>
              <w:rPr>
                <w:rFonts w:hint="default" w:ascii="Times New Roman" w:hAnsi="Times New Roman" w:eastAsia="宋体" w:cs="Times New Roman"/>
                <w:b/>
                <w:bCs/>
                <w:color w:val="000000" w:themeColor="text1"/>
                <w:highlight w:val="none"/>
                <w:u w:val="single"/>
                <w:lang w:eastAsia="zh-CN"/>
                <w14:textFill>
                  <w14:solidFill>
                    <w14:schemeClr w14:val="tx1"/>
                  </w14:solidFill>
                </w14:textFill>
              </w:rPr>
            </w:pPr>
            <w:r>
              <w:rPr>
                <w:rFonts w:hint="default" w:ascii="Times New Roman" w:hAnsi="Times New Roman" w:eastAsia="宋体" w:cs="Times New Roman"/>
                <w:b/>
                <w:bCs/>
                <w:color w:val="000000" w:themeColor="text1"/>
                <w:highlight w:val="none"/>
                <w:u w:val="single"/>
                <w:lang w:eastAsia="zh-CN"/>
                <w14:textFill>
                  <w14:solidFill>
                    <w14:schemeClr w14:val="tx1"/>
                  </w14:solidFill>
                </w14:textFill>
              </w:rPr>
              <w:t>二、项目涉及的各类管控分区有关情况</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根据管控单元压占分析，项目建设区域涉及6个生态环境管控单元，其中优先保护单元0个，重点管控单元5个，一般管控单元1个、水源地0个。</w:t>
            </w:r>
          </w:p>
          <w:p>
            <w:pPr>
              <w:pStyle w:val="34"/>
              <w:spacing w:line="520" w:lineRule="exact"/>
              <w:ind w:firstLine="480"/>
              <w:rPr>
                <w:rFonts w:hint="default" w:ascii="Times New Roman" w:hAnsi="Times New Roman" w:eastAsia="宋体" w:cs="Times New Roman"/>
                <w:b/>
                <w:bCs/>
                <w:color w:val="000000" w:themeColor="text1"/>
                <w:highlight w:val="none"/>
                <w:u w:val="single"/>
                <w:lang w:eastAsia="zh-CN"/>
                <w14:textFill>
                  <w14:solidFill>
                    <w14:schemeClr w14:val="tx1"/>
                  </w14:solidFill>
                </w14:textFill>
              </w:rPr>
            </w:pPr>
            <w:r>
              <w:rPr>
                <w:rFonts w:hint="default" w:ascii="Times New Roman" w:hAnsi="Times New Roman" w:eastAsia="宋体" w:cs="Times New Roman"/>
                <w:b/>
                <w:bCs/>
                <w:color w:val="000000" w:themeColor="text1"/>
                <w:highlight w:val="none"/>
                <w:u w:val="single"/>
                <w:lang w:eastAsia="zh-CN"/>
                <w14:textFill>
                  <w14:solidFill>
                    <w14:schemeClr w14:val="tx1"/>
                  </w14:solidFill>
                </w14:textFill>
              </w:rPr>
              <w:t>三、环境管控单元分析</w:t>
            </w:r>
          </w:p>
          <w:p>
            <w:pPr>
              <w:pStyle w:val="34"/>
              <w:spacing w:line="520" w:lineRule="exact"/>
              <w:ind w:firstLine="480"/>
              <w:rPr>
                <w:rFonts w:hint="default" w:ascii="Times New Roman" w:hAnsi="Times New Roman" w:eastAsia="宋体" w:cs="Times New Roman"/>
                <w:b/>
                <w:bCs/>
                <w:color w:val="000000" w:themeColor="text1"/>
                <w:highlight w:val="none"/>
                <w:u w:val="single"/>
                <w:lang w:eastAsia="zh-CN"/>
                <w14:textFill>
                  <w14:solidFill>
                    <w14:schemeClr w14:val="tx1"/>
                  </w14:solidFill>
                </w14:textFill>
              </w:rPr>
            </w:pPr>
            <w:r>
              <w:rPr>
                <w:rFonts w:hint="default" w:ascii="Times New Roman" w:hAnsi="Times New Roman" w:eastAsia="宋体" w:cs="Times New Roman"/>
                <w:b/>
                <w:bCs/>
                <w:color w:val="000000" w:themeColor="text1"/>
                <w:highlight w:val="none"/>
                <w:u w:val="single"/>
                <w:lang w:eastAsia="zh-CN"/>
                <w14:textFill>
                  <w14:solidFill>
                    <w14:schemeClr w14:val="tx1"/>
                  </w14:solidFill>
                </w14:textFill>
              </w:rPr>
              <w:t>经比对，项目涉及1个河南省环境管控单元，其中优先保护单元0个,重点管控单元1个，一般管控单元0个，详见下表。</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项目涉及河南省环境管控单元一览表</w:t>
            </w:r>
          </w:p>
          <w:tbl>
            <w:tblPr>
              <w:tblStyle w:val="17"/>
              <w:tblW w:w="66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645"/>
              <w:gridCol w:w="450"/>
              <w:gridCol w:w="450"/>
              <w:gridCol w:w="435"/>
              <w:gridCol w:w="495"/>
              <w:gridCol w:w="1905"/>
              <w:gridCol w:w="1216"/>
              <w:gridCol w:w="4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环境管控单元编码</w:t>
                  </w:r>
                </w:p>
              </w:tc>
              <w:tc>
                <w:tcPr>
                  <w:tcW w:w="645"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环境管控单元名称</w:t>
                  </w:r>
                </w:p>
              </w:tc>
              <w:tc>
                <w:tcPr>
                  <w:tcW w:w="450"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管控分类</w:t>
                  </w:r>
                </w:p>
              </w:tc>
              <w:tc>
                <w:tcPr>
                  <w:tcW w:w="450"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市</w:t>
                  </w:r>
                </w:p>
              </w:tc>
              <w:tc>
                <w:tcPr>
                  <w:tcW w:w="435"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区县</w:t>
                  </w:r>
                </w:p>
              </w:tc>
              <w:tc>
                <w:tcPr>
                  <w:tcW w:w="2400" w:type="dxa"/>
                  <w:gridSpan w:val="2"/>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主要要求</w:t>
                  </w:r>
                </w:p>
              </w:tc>
              <w:tc>
                <w:tcPr>
                  <w:tcW w:w="1216"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本项目情况</w:t>
                  </w:r>
                </w:p>
              </w:tc>
              <w:tc>
                <w:tcPr>
                  <w:tcW w:w="426"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ZH41090220002</w:t>
                  </w:r>
                </w:p>
              </w:tc>
              <w:tc>
                <w:tcPr>
                  <w:tcW w:w="645"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濮阳高新技术产业开发区</w:t>
                  </w:r>
                </w:p>
              </w:tc>
              <w:tc>
                <w:tcPr>
                  <w:tcW w:w="450"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重点</w:t>
                  </w:r>
                </w:p>
              </w:tc>
              <w:tc>
                <w:tcPr>
                  <w:tcW w:w="450"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濮阳市</w:t>
                  </w:r>
                </w:p>
              </w:tc>
              <w:tc>
                <w:tcPr>
                  <w:tcW w:w="435"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华龙区</w:t>
                  </w:r>
                </w:p>
              </w:tc>
              <w:tc>
                <w:tcPr>
                  <w:tcW w:w="495"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空间布局约束</w:t>
                  </w:r>
                </w:p>
              </w:tc>
              <w:tc>
                <w:tcPr>
                  <w:tcW w:w="1905" w:type="dxa"/>
                  <w:vAlign w:val="center"/>
                </w:tcPr>
                <w:p>
                  <w:pPr>
                    <w:pStyle w:val="30"/>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入驻项目应符合园区规划或规划环评的要求；禁止化工、制革、焦化、含氰、含铬电镀、淀粉、酿造、屠宰等项目入驻；禁止生产或运输中涉及大量危险品的项目入驻。</w:t>
                  </w:r>
                </w:p>
              </w:tc>
              <w:tc>
                <w:tcPr>
                  <w:tcW w:w="1216"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本项目不属于“两高”项目，</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属于于石油钻采专用设备制造及滤芯制造项目，位于</w:t>
                  </w:r>
                  <w:r>
                    <w:rPr>
                      <w:rFonts w:hint="eastAsia" w:ascii="Times New Roman" w:hAnsi="Times New Roman" w:cs="Times New Roman"/>
                      <w:b/>
                      <w:bCs/>
                      <w:color w:val="000000" w:themeColor="text1"/>
                      <w:sz w:val="21"/>
                      <w:szCs w:val="21"/>
                      <w:u w:val="single"/>
                      <w:lang w:val="en-US" w:eastAsia="zh-CN"/>
                      <w14:textFill>
                        <w14:solidFill>
                          <w14:schemeClr w14:val="tx1"/>
                        </w14:solidFill>
                      </w14:textFill>
                    </w:rPr>
                    <w:t>装备制造及工程服务区</w:t>
                  </w:r>
                  <w:r>
                    <w:rPr>
                      <w:rFonts w:hint="default" w:ascii="Times New Roman" w:hAnsi="Times New Roman" w:eastAsia="宋体" w:cs="Times New Roman"/>
                      <w:b/>
                      <w:bCs/>
                      <w:color w:val="000000" w:themeColor="text1"/>
                      <w:szCs w:val="21"/>
                      <w:u w:val="single"/>
                      <w14:textFill>
                        <w14:solidFill>
                          <w14:schemeClr w14:val="tx1"/>
                        </w14:solidFill>
                      </w14:textFill>
                    </w:rPr>
                    <w:t>，符合园区定位，</w:t>
                  </w:r>
                </w:p>
              </w:tc>
              <w:tc>
                <w:tcPr>
                  <w:tcW w:w="426"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645"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50"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50"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35"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95"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污染物排放管控</w:t>
                  </w:r>
                </w:p>
              </w:tc>
              <w:tc>
                <w:tcPr>
                  <w:tcW w:w="1905" w:type="dxa"/>
                  <w:vAlign w:val="center"/>
                </w:tcPr>
                <w:p>
                  <w:pPr>
                    <w:pStyle w:val="30"/>
                    <w:keepNext w:val="0"/>
                    <w:keepLines w:val="0"/>
                    <w:pageBreakBefore w:val="0"/>
                    <w:widowControl w:val="0"/>
                    <w:numPr>
                      <w:ilvl w:val="0"/>
                      <w:numId w:val="4"/>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大气：严格执行污染物排放总量控制制度，采取集中供热、调整能源结构、加强污染治理等措施，严格控制大气污染物的排放。</w:t>
                  </w:r>
                </w:p>
                <w:p>
                  <w:pPr>
                    <w:pStyle w:val="30"/>
                    <w:keepNext w:val="0"/>
                    <w:keepLines w:val="0"/>
                    <w:pageBreakBefore w:val="0"/>
                    <w:widowControl w:val="0"/>
                    <w:numPr>
                      <w:ilvl w:val="0"/>
                      <w:numId w:val="4"/>
                    </w:numPr>
                    <w:kinsoku/>
                    <w:wordWrap/>
                    <w:overflowPunct/>
                    <w:topLinePunct w:val="0"/>
                    <w:autoSpaceDE/>
                    <w:autoSpaceDN/>
                    <w:bidi w:val="0"/>
                    <w:adjustRightInd/>
                    <w:snapToGrid/>
                    <w:spacing w:line="240" w:lineRule="auto"/>
                    <w:ind w:left="0" w:leftChars="0" w:firstLine="0" w:firstLineChars="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水：实施污水集中处理及中水回用工程，减少废水排放量，保证污水处理设施的正常运行，确保污水处理厂出水执行《河南省黄河流域水污染物排放标准》（DB41/20 87-2021）及濮阳市地方水污染物排放标准。尽快实现开发区集中供水，逐步关停企业自备水井。定期对地下水质进行监测，发现问题，及时采取有效防治措施，避免对地下水造成污染。禁止含重金属废水进入城市生活污水处理厂。园区入驻企业外排废水，不得超过国家或省规定的水污染物排放标准以及重点水污染物排放总量控制指标，向污水集中处理设施排放工业废水的，应当按照国家有关规定进行预处理，达到污水处理厂收水标准要求后方可排放。</w:t>
                  </w:r>
                </w:p>
                <w:p>
                  <w:pPr>
                    <w:pStyle w:val="30"/>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3、推进工业涂装、包装印刷、家具制造等重点行业源头、过程和末端全过程综合控制，实施VOCs排放总量控制；全面推广使用低VOCs含量涂料、油墨、胶粘剂、清洗剂等原辅材料。</w:t>
                  </w:r>
                </w:p>
              </w:tc>
              <w:tc>
                <w:tcPr>
                  <w:tcW w:w="1216"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1、</w:t>
                  </w:r>
                  <w:r>
                    <w:rPr>
                      <w:rFonts w:hint="default" w:ascii="Times New Roman" w:hAnsi="Times New Roman" w:eastAsia="宋体" w:cs="Times New Roman"/>
                      <w:b/>
                      <w:bCs/>
                      <w:color w:val="000000" w:themeColor="text1"/>
                      <w:sz w:val="21"/>
                      <w:szCs w:val="21"/>
                      <w:u w:val="single"/>
                      <w14:textFill>
                        <w14:solidFill>
                          <w14:schemeClr w14:val="tx1"/>
                        </w14:solidFill>
                      </w14:textFill>
                    </w:rPr>
                    <w:t>本项目不设置锅炉</w:t>
                  </w:r>
                  <w:r>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t>；</w:t>
                  </w:r>
                </w:p>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2、本项目生活污水经化粪池预处理后进濮阳市第三污水处理厂</w:t>
                  </w:r>
                  <w:r>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t>；</w:t>
                  </w:r>
                </w:p>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3、本项目不属于重点行业，生产过程中产生的VOCs经废气处理设施处理后达标排放。</w:t>
                  </w:r>
                </w:p>
              </w:tc>
              <w:tc>
                <w:tcPr>
                  <w:tcW w:w="426"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645"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50"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50"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35"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95"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环境风险防控</w:t>
                  </w:r>
                </w:p>
              </w:tc>
              <w:tc>
                <w:tcPr>
                  <w:tcW w:w="1905" w:type="dxa"/>
                  <w:vAlign w:val="center"/>
                </w:tcPr>
                <w:p>
                  <w:pPr>
                    <w:pStyle w:val="30"/>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1、加强园区环境安全管理工作，严格危险化学品管理，建立园区风险防范体系以及风险防范应急预案，在基础设施和企业内部生产运营管理中，认真落实环境风险防范措施，杜绝发生污染事故。2、在开发过程中不应随意改变各用地功能区的使用功能，并注重节约集约用地。充分考虑各功能区相互干扰、影响问题，减小各功能区之间的不利影响，工业区与生活居住区之间应设置绿化隔离带。</w:t>
                  </w:r>
                </w:p>
              </w:tc>
              <w:tc>
                <w:tcPr>
                  <w:tcW w:w="1216"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1、内部运行管理过程认真落实风险防范措施；</w:t>
                  </w:r>
                </w:p>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2、本项目为新建项目，现状为空地，不存在拆除；位于</w:t>
                  </w:r>
                  <w:r>
                    <w:rPr>
                      <w:rFonts w:hint="eastAsia" w:ascii="Times New Roman" w:hAnsi="Times New Roman" w:cs="Times New Roman"/>
                      <w:b/>
                      <w:bCs/>
                      <w:color w:val="000000" w:themeColor="text1"/>
                      <w:sz w:val="21"/>
                      <w:szCs w:val="21"/>
                      <w:u w:val="single"/>
                      <w:lang w:val="en-US" w:eastAsia="zh-CN"/>
                      <w14:textFill>
                        <w14:solidFill>
                          <w14:schemeClr w14:val="tx1"/>
                        </w14:solidFill>
                      </w14:textFill>
                    </w:rPr>
                    <w:t>装备制造及工程服务区</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内。</w:t>
                  </w:r>
                </w:p>
              </w:tc>
              <w:tc>
                <w:tcPr>
                  <w:tcW w:w="426"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645"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50"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50"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35"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95"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资源开发效率要求</w:t>
                  </w:r>
                </w:p>
              </w:tc>
              <w:tc>
                <w:tcPr>
                  <w:tcW w:w="1905"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地下水超采地区，控制采用地下水的高耗水新建、改建、扩建项目。</w:t>
                  </w:r>
                </w:p>
              </w:tc>
              <w:tc>
                <w:tcPr>
                  <w:tcW w:w="1216"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本项目使用园区供水，不涉及地下水开采。</w:t>
                  </w:r>
                </w:p>
              </w:tc>
              <w:tc>
                <w:tcPr>
                  <w:tcW w:w="426"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相符</w:t>
                  </w:r>
                </w:p>
              </w:tc>
            </w:tr>
          </w:tbl>
          <w:p>
            <w:pPr>
              <w:pStyle w:val="34"/>
              <w:spacing w:line="520" w:lineRule="exact"/>
              <w:ind w:firstLine="480"/>
              <w:rPr>
                <w:rFonts w:hint="default" w:ascii="Times New Roman" w:hAnsi="Times New Roman" w:eastAsia="宋体" w:cs="Times New Roman"/>
                <w:b/>
                <w:bCs/>
                <w:color w:val="000000" w:themeColor="text1"/>
                <w:highlight w:val="none"/>
                <w:u w:val="single"/>
                <w:lang w:eastAsia="zh-CN"/>
                <w14:textFill>
                  <w14:solidFill>
                    <w14:schemeClr w14:val="tx1"/>
                  </w14:solidFill>
                </w14:textFill>
              </w:rPr>
            </w:pPr>
            <w:r>
              <w:rPr>
                <w:rFonts w:hint="default" w:ascii="Times New Roman" w:hAnsi="Times New Roman" w:eastAsia="宋体" w:cs="Times New Roman"/>
                <w:b/>
                <w:bCs/>
                <w:color w:val="000000" w:themeColor="text1"/>
                <w:highlight w:val="none"/>
                <w:u w:val="single"/>
                <w:lang w:val="en-US" w:eastAsia="zh-CN"/>
                <w14:textFill>
                  <w14:solidFill>
                    <w14:schemeClr w14:val="tx1"/>
                  </w14:solidFill>
                </w14:textFill>
              </w:rPr>
              <w:t>四</w:t>
            </w:r>
            <w:r>
              <w:rPr>
                <w:rFonts w:hint="default" w:ascii="Times New Roman" w:hAnsi="Times New Roman" w:eastAsia="宋体" w:cs="Times New Roman"/>
                <w:b/>
                <w:bCs/>
                <w:color w:val="000000" w:themeColor="text1"/>
                <w:highlight w:val="none"/>
                <w:u w:val="single"/>
                <w:lang w:eastAsia="zh-CN"/>
                <w14:textFill>
                  <w14:solidFill>
                    <w14:schemeClr w14:val="tx1"/>
                  </w14:solidFill>
                </w14:textFill>
              </w:rPr>
              <w:t>、水环境管控分区分析</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24"/>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single"/>
                <w:lang w:eastAsia="zh-CN"/>
                <w14:textFill>
                  <w14:solidFill>
                    <w14:schemeClr w14:val="tx1"/>
                  </w14:solidFill>
                </w14:textFill>
              </w:rPr>
              <w:t>经比对，项目涉及1个河南省水环境管控分区，其中水环境优先保护区0个,工业污染重点管控区1个,城镇生活污染重点管控区0个,农业污染重点管控区0个,水环境一般管控区0个，详见下表。</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项目涉及河南省水环境管控一览表</w:t>
            </w:r>
          </w:p>
          <w:tbl>
            <w:tblPr>
              <w:tblStyle w:val="17"/>
              <w:tblW w:w="69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4"/>
              <w:gridCol w:w="399"/>
              <w:gridCol w:w="396"/>
              <w:gridCol w:w="389"/>
              <w:gridCol w:w="333"/>
              <w:gridCol w:w="454"/>
              <w:gridCol w:w="2397"/>
              <w:gridCol w:w="1660"/>
              <w:gridCol w:w="4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环境管控单元编码</w:t>
                  </w:r>
                </w:p>
              </w:tc>
              <w:tc>
                <w:tcPr>
                  <w:tcW w:w="399"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环境管控单元名称</w:t>
                  </w:r>
                </w:p>
              </w:tc>
              <w:tc>
                <w:tcPr>
                  <w:tcW w:w="396"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管控分类</w:t>
                  </w:r>
                </w:p>
              </w:tc>
              <w:tc>
                <w:tcPr>
                  <w:tcW w:w="389"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市</w:t>
                  </w:r>
                </w:p>
              </w:tc>
              <w:tc>
                <w:tcPr>
                  <w:tcW w:w="333"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区县</w:t>
                  </w:r>
                </w:p>
              </w:tc>
              <w:tc>
                <w:tcPr>
                  <w:tcW w:w="2851" w:type="dxa"/>
                  <w:gridSpan w:val="2"/>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主要要求</w:t>
                  </w:r>
                </w:p>
              </w:tc>
              <w:tc>
                <w:tcPr>
                  <w:tcW w:w="1660"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本项目情况</w:t>
                  </w:r>
                </w:p>
              </w:tc>
              <w:tc>
                <w:tcPr>
                  <w:tcW w:w="413"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YS4109022210231</w:t>
                  </w:r>
                </w:p>
              </w:tc>
              <w:tc>
                <w:tcPr>
                  <w:tcW w:w="399"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濮阳高新技术产业开发区</w:t>
                  </w:r>
                </w:p>
              </w:tc>
              <w:tc>
                <w:tcPr>
                  <w:tcW w:w="396"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重点</w:t>
                  </w:r>
                </w:p>
              </w:tc>
              <w:tc>
                <w:tcPr>
                  <w:tcW w:w="389"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濮阳市</w:t>
                  </w:r>
                </w:p>
              </w:tc>
              <w:tc>
                <w:tcPr>
                  <w:tcW w:w="333"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华龙区</w:t>
                  </w:r>
                </w:p>
              </w:tc>
              <w:tc>
                <w:tcPr>
                  <w:tcW w:w="454"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空间布局约束</w:t>
                  </w:r>
                </w:p>
              </w:tc>
              <w:tc>
                <w:tcPr>
                  <w:tcW w:w="2397" w:type="dxa"/>
                  <w:vAlign w:val="center"/>
                </w:tcPr>
                <w:p>
                  <w:pPr>
                    <w:pStyle w:val="30"/>
                    <w:keepNext w:val="0"/>
                    <w:keepLines w:val="0"/>
                    <w:pageBreakBefore w:val="0"/>
                    <w:widowControl w:val="0"/>
                    <w:numPr>
                      <w:ilvl w:val="0"/>
                      <w:numId w:val="5"/>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入驻项目应符合园区规划或规划环评的要求；</w:t>
                  </w:r>
                </w:p>
                <w:p>
                  <w:pPr>
                    <w:pStyle w:val="30"/>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2、禁止化工、制革、焦化、含氰、含铬电镀、排放量大的淀粉、酿造、屠宰等项目，以及生产或运输中涉及大量危险品的项目入驻</w:t>
                  </w:r>
                </w:p>
              </w:tc>
              <w:tc>
                <w:tcPr>
                  <w:tcW w:w="1660"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1、本项目属于石油钻采专用设备制造及滤芯制造项目，位于</w:t>
                  </w:r>
                  <w:r>
                    <w:rPr>
                      <w:rFonts w:hint="eastAsia" w:ascii="Times New Roman" w:hAnsi="Times New Roman" w:cs="Times New Roman"/>
                      <w:b/>
                      <w:bCs/>
                      <w:color w:val="000000" w:themeColor="text1"/>
                      <w:sz w:val="21"/>
                      <w:szCs w:val="21"/>
                      <w:u w:val="single"/>
                      <w:lang w:val="en-US" w:eastAsia="zh-CN"/>
                      <w14:textFill>
                        <w14:solidFill>
                          <w14:schemeClr w14:val="tx1"/>
                        </w14:solidFill>
                      </w14:textFill>
                    </w:rPr>
                    <w:t>装备制造及工程服务区</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，符合园区定位；</w:t>
                  </w:r>
                </w:p>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2、本项目不属于禁止类项目；</w:t>
                  </w:r>
                </w:p>
              </w:tc>
              <w:tc>
                <w:tcPr>
                  <w:tcW w:w="413"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99"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96"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89"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33"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54"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污染物排放管控</w:t>
                  </w:r>
                </w:p>
              </w:tc>
              <w:tc>
                <w:tcPr>
                  <w:tcW w:w="2397" w:type="dxa"/>
                  <w:vAlign w:val="center"/>
                </w:tcPr>
                <w:p>
                  <w:pPr>
                    <w:pStyle w:val="30"/>
                    <w:keepNext w:val="0"/>
                    <w:keepLines w:val="0"/>
                    <w:pageBreakBefore w:val="0"/>
                    <w:widowControl w:val="0"/>
                    <w:numPr>
                      <w:ilvl w:val="0"/>
                      <w:numId w:val="6"/>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按照“清污分流、雨污分流、中水回用”的要求，加快园区污水集中处理及中水回用工程实施；</w:t>
                  </w:r>
                </w:p>
                <w:p>
                  <w:pPr>
                    <w:pStyle w:val="30"/>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2、园区内企业不得单独设置废水排放口；</w:t>
                  </w:r>
                </w:p>
                <w:p>
                  <w:pPr>
                    <w:pStyle w:val="30"/>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3、保证污水处理设施的正常运行，确保污水处理厂出水执行《河南省黄河流域水污染物排放标准》（DB41/2087-2021）及濮阳市地方水污染物排放标准。</w:t>
                  </w:r>
                </w:p>
              </w:tc>
              <w:tc>
                <w:tcPr>
                  <w:tcW w:w="1660"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本项目生活污水经化粪池预处理后进濮阳市第三污水处理厂</w:t>
                  </w:r>
                  <w:r>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t>；</w:t>
                  </w:r>
                </w:p>
              </w:tc>
              <w:tc>
                <w:tcPr>
                  <w:tcW w:w="413"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99"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96"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89"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33"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54"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环境风险防控</w:t>
                  </w:r>
                </w:p>
              </w:tc>
              <w:tc>
                <w:tcPr>
                  <w:tcW w:w="2397" w:type="dxa"/>
                  <w:vAlign w:val="center"/>
                </w:tcPr>
                <w:p>
                  <w:pPr>
                    <w:pStyle w:val="30"/>
                    <w:keepNext w:val="0"/>
                    <w:keepLines w:val="0"/>
                    <w:pageBreakBefore w:val="0"/>
                    <w:widowControl w:val="0"/>
                    <w:numPr>
                      <w:ilvl w:val="0"/>
                      <w:numId w:val="7"/>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定期对地下水质进行监测，发现问题及时防治，加强预防地下水污染；</w:t>
                  </w:r>
                </w:p>
                <w:p>
                  <w:pPr>
                    <w:pStyle w:val="30"/>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2、建立完善有效的环境风险防控设施和有效的拦截、降污、导流等设施，防治危害地表水。</w:t>
                  </w:r>
                </w:p>
              </w:tc>
              <w:tc>
                <w:tcPr>
                  <w:tcW w:w="1660"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1、本项目建成后定期进行地下水水质监测；</w:t>
                  </w:r>
                </w:p>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2、本项目建成后建设完整的环境风险防控风险以及有效的应急措施；</w:t>
                  </w:r>
                </w:p>
              </w:tc>
              <w:tc>
                <w:tcPr>
                  <w:tcW w:w="413"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相符</w:t>
                  </w:r>
                </w:p>
              </w:tc>
            </w:tr>
          </w:tbl>
          <w:p>
            <w:pPr>
              <w:pStyle w:val="34"/>
              <w:spacing w:line="520" w:lineRule="exact"/>
              <w:ind w:firstLine="480"/>
              <w:rPr>
                <w:rFonts w:hint="default" w:ascii="Times New Roman" w:hAnsi="Times New Roman" w:eastAsia="宋体" w:cs="Times New Roman"/>
                <w:b/>
                <w:bCs/>
                <w:color w:val="000000" w:themeColor="text1"/>
                <w:highlight w:val="none"/>
                <w:u w:val="single"/>
                <w:lang w:eastAsia="zh-CN"/>
                <w14:textFill>
                  <w14:solidFill>
                    <w14:schemeClr w14:val="tx1"/>
                  </w14:solidFill>
                </w14:textFill>
              </w:rPr>
            </w:pPr>
            <w:r>
              <w:rPr>
                <w:rFonts w:hint="default" w:ascii="Times New Roman" w:hAnsi="Times New Roman" w:eastAsia="宋体" w:cs="Times New Roman"/>
                <w:b/>
                <w:bCs/>
                <w:color w:val="000000" w:themeColor="text1"/>
                <w:highlight w:val="none"/>
                <w:u w:val="single"/>
                <w14:textFill>
                  <w14:solidFill>
                    <w14:schemeClr w14:val="tx1"/>
                  </w14:solidFill>
                </w14:textFill>
              </w:rPr>
              <w:t>五、大气环境管控分区分析</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single"/>
                <w:lang w:eastAsia="zh-CN"/>
                <w14:textFill>
                  <w14:solidFill>
                    <w14:schemeClr w14:val="tx1"/>
                  </w14:solidFill>
                </w14:textFill>
              </w:rPr>
              <w:t>经比对，项目涉及2个河南省大气环境管控分区，其中大气环境优先保护区0个,高排放重点管控区1个,布局敏感重点管控区0个,弱扩散重点管控区0个,受体敏感重点管控区1个,大气环境一般管控区0个，详见下表。</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项目涉及河南省大气环境管控一览表</w:t>
            </w:r>
          </w:p>
          <w:tbl>
            <w:tblPr>
              <w:tblStyle w:val="17"/>
              <w:tblW w:w="69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4"/>
              <w:gridCol w:w="399"/>
              <w:gridCol w:w="369"/>
              <w:gridCol w:w="416"/>
              <w:gridCol w:w="333"/>
              <w:gridCol w:w="454"/>
              <w:gridCol w:w="2659"/>
              <w:gridCol w:w="1373"/>
              <w:gridCol w:w="4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环境管控单元编码</w:t>
                  </w:r>
                </w:p>
              </w:tc>
              <w:tc>
                <w:tcPr>
                  <w:tcW w:w="399"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环境管控单元名称</w:t>
                  </w:r>
                </w:p>
              </w:tc>
              <w:tc>
                <w:tcPr>
                  <w:tcW w:w="369"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管控分类</w:t>
                  </w:r>
                </w:p>
              </w:tc>
              <w:tc>
                <w:tcPr>
                  <w:tcW w:w="416"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市</w:t>
                  </w:r>
                </w:p>
              </w:tc>
              <w:tc>
                <w:tcPr>
                  <w:tcW w:w="333"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区县</w:t>
                  </w:r>
                </w:p>
              </w:tc>
              <w:tc>
                <w:tcPr>
                  <w:tcW w:w="3113" w:type="dxa"/>
                  <w:gridSpan w:val="2"/>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主要要求</w:t>
                  </w:r>
                </w:p>
              </w:tc>
              <w:tc>
                <w:tcPr>
                  <w:tcW w:w="1373"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本项目情况</w:t>
                  </w:r>
                </w:p>
              </w:tc>
              <w:tc>
                <w:tcPr>
                  <w:tcW w:w="425"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YS4109022310004</w:t>
                  </w:r>
                </w:p>
              </w:tc>
              <w:tc>
                <w:tcPr>
                  <w:tcW w:w="399"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濮阳高新技术产业开发区</w:t>
                  </w:r>
                </w:p>
              </w:tc>
              <w:tc>
                <w:tcPr>
                  <w:tcW w:w="369"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重点</w:t>
                  </w:r>
                </w:p>
              </w:tc>
              <w:tc>
                <w:tcPr>
                  <w:tcW w:w="416"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濮阳市</w:t>
                  </w:r>
                </w:p>
              </w:tc>
              <w:tc>
                <w:tcPr>
                  <w:tcW w:w="333"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华龙区</w:t>
                  </w:r>
                </w:p>
              </w:tc>
              <w:tc>
                <w:tcPr>
                  <w:tcW w:w="454"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空间布局约束</w:t>
                  </w:r>
                </w:p>
              </w:tc>
              <w:tc>
                <w:tcPr>
                  <w:tcW w:w="2659" w:type="dxa"/>
                  <w:vAlign w:val="center"/>
                </w:tcPr>
                <w:p>
                  <w:pPr>
                    <w:pStyle w:val="30"/>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入驻项目应符合园区规划或规划环评的要求；禁止化工、制革、焦化、含氰、含铬电镀、淀粉、酿造、屠宰等项目入驻；禁止生产或运输中涉及大量危险品的项目入驻。</w:t>
                  </w:r>
                </w:p>
              </w:tc>
              <w:tc>
                <w:tcPr>
                  <w:tcW w:w="1373"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1、本项目属于石油钻采专用设备制造及滤芯制造项目，位于</w:t>
                  </w:r>
                  <w:r>
                    <w:rPr>
                      <w:rFonts w:hint="eastAsia" w:ascii="Times New Roman" w:hAnsi="Times New Roman" w:cs="Times New Roman"/>
                      <w:b/>
                      <w:bCs/>
                      <w:color w:val="000000" w:themeColor="text1"/>
                      <w:sz w:val="21"/>
                      <w:szCs w:val="21"/>
                      <w:u w:val="single"/>
                      <w:lang w:val="en-US" w:eastAsia="zh-CN"/>
                      <w14:textFill>
                        <w14:solidFill>
                          <w14:schemeClr w14:val="tx1"/>
                        </w14:solidFill>
                      </w14:textFill>
                    </w:rPr>
                    <w:t>装备制造及工程服务区</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，符合园区定位；</w:t>
                  </w:r>
                </w:p>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2、本项目不属于禁止类项目；</w:t>
                  </w:r>
                </w:p>
              </w:tc>
              <w:tc>
                <w:tcPr>
                  <w:tcW w:w="425"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99"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69"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16"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33"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54"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污染物排放管控</w:t>
                  </w:r>
                </w:p>
              </w:tc>
              <w:tc>
                <w:tcPr>
                  <w:tcW w:w="2659" w:type="dxa"/>
                  <w:vAlign w:val="center"/>
                </w:tcPr>
                <w:p>
                  <w:pPr>
                    <w:pStyle w:val="30"/>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严格执行污染物排放总量控制制度，采取集中供热、调整能源结构、加强污染治理等措施，严格控制大气污染物的排放。</w:t>
                  </w:r>
                </w:p>
              </w:tc>
              <w:tc>
                <w:tcPr>
                  <w:tcW w:w="1373"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本项目采用高效的废气治理设施，对生产过程中废气进行有效防治</w:t>
                  </w:r>
                </w:p>
              </w:tc>
              <w:tc>
                <w:tcPr>
                  <w:tcW w:w="425"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99"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69"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16"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33"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54"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环境风险防控</w:t>
                  </w:r>
                </w:p>
              </w:tc>
              <w:tc>
                <w:tcPr>
                  <w:tcW w:w="2659" w:type="dxa"/>
                  <w:vAlign w:val="center"/>
                </w:tcPr>
                <w:p>
                  <w:pPr>
                    <w:pStyle w:val="30"/>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加强集聚区环境安全管理工作，严格危险化学品管理，建立集聚区风险防范体系以及风险防范应急预案，在基础设施和企业内部生产运营管理中，认真落实环境风险防范措施，杜绝发生污染事故。</w:t>
                  </w:r>
                </w:p>
              </w:tc>
              <w:tc>
                <w:tcPr>
                  <w:tcW w:w="1373"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内部运行管理过程认真落实风险防范措施</w:t>
                  </w:r>
                </w:p>
              </w:tc>
              <w:tc>
                <w:tcPr>
                  <w:tcW w:w="425"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99"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69"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16"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33"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54"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资源开发效率要求</w:t>
                  </w:r>
                </w:p>
              </w:tc>
              <w:tc>
                <w:tcPr>
                  <w:tcW w:w="2659"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集聚区应实施集中供热、供气，实现集聚区集中供热，逐步拆除区内企业自备锅炉。</w:t>
                  </w:r>
                </w:p>
              </w:tc>
              <w:tc>
                <w:tcPr>
                  <w:tcW w:w="1373"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本项目不设置锅炉</w:t>
                  </w:r>
                </w:p>
              </w:tc>
              <w:tc>
                <w:tcPr>
                  <w:tcW w:w="425"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dxa"/>
                  <w:vMerge w:val="restart"/>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YS4109022340001</w:t>
                  </w:r>
                </w:p>
              </w:tc>
              <w:tc>
                <w:tcPr>
                  <w:tcW w:w="399" w:type="dxa"/>
                  <w:vMerge w:val="restart"/>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w:t>
                  </w:r>
                </w:p>
              </w:tc>
              <w:tc>
                <w:tcPr>
                  <w:tcW w:w="369" w:type="dxa"/>
                  <w:vMerge w:val="restart"/>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重点</w:t>
                  </w:r>
                </w:p>
              </w:tc>
              <w:tc>
                <w:tcPr>
                  <w:tcW w:w="416" w:type="dxa"/>
                  <w:vMerge w:val="restart"/>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濮阳市</w:t>
                  </w:r>
                </w:p>
              </w:tc>
              <w:tc>
                <w:tcPr>
                  <w:tcW w:w="333" w:type="dxa"/>
                  <w:vMerge w:val="restart"/>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华龙区</w:t>
                  </w:r>
                </w:p>
              </w:tc>
              <w:tc>
                <w:tcPr>
                  <w:tcW w:w="454"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空间布局约束</w:t>
                  </w:r>
                </w:p>
              </w:tc>
              <w:tc>
                <w:tcPr>
                  <w:tcW w:w="2659" w:type="dxa"/>
                  <w:vAlign w:val="center"/>
                </w:tcPr>
                <w:p>
                  <w:pPr>
                    <w:pStyle w:val="30"/>
                    <w:keepNext w:val="0"/>
                    <w:keepLines w:val="0"/>
                    <w:pageBreakBefore w:val="0"/>
                    <w:widowControl w:val="0"/>
                    <w:numPr>
                      <w:ilvl w:val="0"/>
                      <w:numId w:val="8"/>
                    </w:numPr>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在各省辖市城市建成区内，禁止新建每小时二十蒸吨以下的燃烧煤炭、重油、渣油蹦及直接燃用生物质的锅炉，其他地区禁止新建每小时十蒸吨以下的燃烧煤炭、重油、渣油以及直接燃用生物质的锅炉。</w:t>
                  </w:r>
                </w:p>
                <w:p>
                  <w:pPr>
                    <w:pStyle w:val="30"/>
                    <w:keepNext w:val="0"/>
                    <w:keepLines w:val="0"/>
                    <w:pageBreakBefore w:val="0"/>
                    <w:widowControl w:val="0"/>
                    <w:numPr>
                      <w:ilvl w:val="0"/>
                      <w:numId w:val="8"/>
                    </w:numPr>
                    <w:kinsoku/>
                    <w:wordWrap/>
                    <w:overflowPunct/>
                    <w:topLinePunct w:val="0"/>
                    <w:autoSpaceDE/>
                    <w:autoSpaceDN/>
                    <w:bidi w:val="0"/>
                    <w:adjustRightInd/>
                    <w:snapToGrid/>
                    <w:spacing w:line="240" w:lineRule="auto"/>
                    <w:ind w:left="0" w:leftChars="0" w:firstLine="0" w:firstLineChars="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在居民住宅区等人口密集区域和医院、学校、幼儿园、养老院等其他需要特殊保护的区域及其周边，不得新建、改建和扩建石化、焦化、制药、油漆、塑料、橡胶、造纸、饲料等易产生恶臭气体的生产项目或者从事其他产生恶臭气体的生产经营活动。已建成的，应当逐步搬迁或者升级改造。</w:t>
                  </w:r>
                </w:p>
                <w:p>
                  <w:pPr>
                    <w:pStyle w:val="30"/>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3、到2025年，城市建成区内重污染企业分类完成就地改造、退城入园、转型转产或关闭退出任务。</w:t>
                  </w:r>
                </w:p>
              </w:tc>
              <w:tc>
                <w:tcPr>
                  <w:tcW w:w="1373"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1、本项目不涉及；</w:t>
                  </w:r>
                </w:p>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w:t>
                  </w:r>
                  <w:r>
                    <w:rPr>
                      <w:rFonts w:hint="default" w:ascii="Times New Roman" w:hAnsi="Times New Roman" w:eastAsia="宋体" w:cs="Times New Roman"/>
                      <w:b/>
                      <w:bCs/>
                      <w:color w:val="000000" w:themeColor="text1"/>
                      <w:sz w:val="21"/>
                      <w:szCs w:val="21"/>
                      <w:u w:val="single"/>
                      <w14:textFill>
                        <w14:solidFill>
                          <w14:schemeClr w14:val="tx1"/>
                        </w14:solidFill>
                      </w14:textFill>
                    </w:rPr>
                    <w:t>本项目位于濮阳市华龙区惠寨路西、高阳大道北，位于</w:t>
                  </w:r>
                  <w:r>
                    <w:rPr>
                      <w:rFonts w:hint="eastAsia" w:ascii="Times New Roman" w:hAnsi="Times New Roman" w:cs="Times New Roman"/>
                      <w:b/>
                      <w:bCs/>
                      <w:color w:val="000000" w:themeColor="text1"/>
                      <w:sz w:val="21"/>
                      <w:szCs w:val="21"/>
                      <w:u w:val="single"/>
                      <w:lang w:eastAsia="zh-CN"/>
                      <w14:textFill>
                        <w14:solidFill>
                          <w14:schemeClr w14:val="tx1"/>
                        </w14:solidFill>
                      </w14:textFill>
                    </w:rPr>
                    <w:t>装备制造及工程服务区</w:t>
                  </w:r>
                  <w:r>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t>；</w:t>
                  </w:r>
                </w:p>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3、本项目不涉及；</w:t>
                  </w:r>
                </w:p>
              </w:tc>
              <w:tc>
                <w:tcPr>
                  <w:tcW w:w="425"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99"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69"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16"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33"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54"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污染物排放管控</w:t>
                  </w:r>
                </w:p>
              </w:tc>
              <w:tc>
                <w:tcPr>
                  <w:tcW w:w="2659" w:type="dxa"/>
                  <w:vAlign w:val="center"/>
                </w:tcPr>
                <w:p>
                  <w:pPr>
                    <w:pStyle w:val="30"/>
                    <w:keepNext w:val="0"/>
                    <w:keepLines w:val="0"/>
                    <w:pageBreakBefore w:val="0"/>
                    <w:widowControl w:val="0"/>
                    <w:numPr>
                      <w:ilvl w:val="0"/>
                      <w:numId w:val="9"/>
                    </w:numPr>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大力推进钢铁、焦化等重点行业产业结构调整和转型升级，加快钢铁、水泥、焦化行业及锅炉超低排放改造。深化有色金属冶炼、铸造、碳素、耐材、烧结类砖瓦等行业工业炉窑综合整治及垃圾焚烧发电、生物质发电烟气深度治理。</w:t>
                  </w:r>
                </w:p>
                <w:p>
                  <w:pPr>
                    <w:pStyle w:val="30"/>
                    <w:keepNext w:val="0"/>
                    <w:keepLines w:val="0"/>
                    <w:pageBreakBefore w:val="0"/>
                    <w:widowControl w:val="0"/>
                    <w:numPr>
                      <w:ilvl w:val="0"/>
                      <w:numId w:val="9"/>
                    </w:numPr>
                    <w:kinsoku/>
                    <w:wordWrap/>
                    <w:overflowPunct/>
                    <w:topLinePunct w:val="0"/>
                    <w:autoSpaceDE/>
                    <w:autoSpaceDN/>
                    <w:bidi w:val="0"/>
                    <w:adjustRightInd/>
                    <w:snapToGrid/>
                    <w:spacing w:line="240" w:lineRule="auto"/>
                    <w:ind w:left="0" w:leftChars="0" w:firstLine="0" w:firstLineChars="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推动氢燃料电池汽车示范应用，推广新能源汽车和非道路移动机械。推进公共领域车辆新能源化。实施清洁柴油车（机）行动，基本淘汰国三及以下排放标准汽车，基本消除未登记或冒黑烟工程机械。</w:t>
                  </w:r>
                </w:p>
                <w:p>
                  <w:pPr>
                    <w:pStyle w:val="30"/>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3、加强道路扬尘综合整治，大力推进道路机械化清扫保洁作业，到2025年，各设区市建成区道路机械化清扫率达到95%以上，县城达到90%以上。各市平均降尘量到2025年不得高于7吨/月·平方公里。</w:t>
                  </w:r>
                </w:p>
              </w:tc>
              <w:tc>
                <w:tcPr>
                  <w:tcW w:w="1373"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1、本项目不涉及；</w:t>
                  </w:r>
                </w:p>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2、本项目不涉及；</w:t>
                  </w:r>
                </w:p>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3、本项目不涉及；</w:t>
                  </w:r>
                </w:p>
              </w:tc>
              <w:tc>
                <w:tcPr>
                  <w:tcW w:w="425"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99"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69"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16"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33"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54"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环境风险防控</w:t>
                  </w:r>
                </w:p>
              </w:tc>
              <w:tc>
                <w:tcPr>
                  <w:tcW w:w="2659" w:type="dxa"/>
                  <w:vAlign w:val="center"/>
                </w:tcPr>
                <w:p>
                  <w:pPr>
                    <w:pStyle w:val="30"/>
                    <w:keepNext w:val="0"/>
                    <w:keepLines w:val="0"/>
                    <w:pageBreakBefore w:val="0"/>
                    <w:widowControl w:val="0"/>
                    <w:numPr>
                      <w:ilvl w:val="0"/>
                      <w:numId w:val="10"/>
                    </w:numPr>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实施重污染企业退城搬迁，加快城市建成区、人群密集区、重点流域的重污染企业和危险化学品等环境风险大的企业搬迁改造、关停退出，推动实施一批水泥、玻璃、焦化、化工等重污染企业退城工程。</w:t>
                  </w:r>
                </w:p>
                <w:p>
                  <w:pPr>
                    <w:pStyle w:val="30"/>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2、提升城乡极端气候事件监测预警、防灾减灾综合评估和风险管控能力，保障城乡建设和基础设施安全。适时开展气候变化影响风险评估，实施适应气候变化行动。</w:t>
                  </w:r>
                </w:p>
              </w:tc>
              <w:tc>
                <w:tcPr>
                  <w:tcW w:w="1373"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1、本项目不涉及；</w:t>
                  </w:r>
                </w:p>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2、本项目不涉及；</w:t>
                  </w:r>
                </w:p>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425"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99"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69"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16"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33"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54"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资源开发效率要求</w:t>
                  </w:r>
                </w:p>
              </w:tc>
              <w:tc>
                <w:tcPr>
                  <w:tcW w:w="2659" w:type="dxa"/>
                  <w:vAlign w:val="center"/>
                </w:tcPr>
                <w:p>
                  <w:pPr>
                    <w:pStyle w:val="30"/>
                    <w:keepNext w:val="0"/>
                    <w:keepLines w:val="0"/>
                    <w:pageBreakBefore w:val="0"/>
                    <w:widowControl w:val="0"/>
                    <w:numPr>
                      <w:ilvl w:val="0"/>
                      <w:numId w:val="11"/>
                    </w:numPr>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在禁燃区内，禁止销售、燃用高污染燃料；禁止新建、扩建燃用高污染燃料的设施，已建成的，应当在各省辖市、县（市）人民政府规定的期限内改用天然气、页岩气、液化石油气、电或者其他清洁能源。</w:t>
                  </w:r>
                </w:p>
                <w:p>
                  <w:pPr>
                    <w:pStyle w:val="30"/>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2、基本实现城区集中供暖全覆盖。</w:t>
                  </w:r>
                </w:p>
              </w:tc>
              <w:tc>
                <w:tcPr>
                  <w:tcW w:w="1373"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1、本项目不涉及；</w:t>
                  </w:r>
                </w:p>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2、本项目不涉及；</w:t>
                  </w:r>
                </w:p>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425"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相符</w:t>
                  </w:r>
                </w:p>
              </w:tc>
            </w:tr>
          </w:tbl>
          <w:p>
            <w:pPr>
              <w:pStyle w:val="34"/>
              <w:numPr>
                <w:ilvl w:val="0"/>
                <w:numId w:val="12"/>
              </w:numPr>
              <w:spacing w:line="520" w:lineRule="exact"/>
              <w:ind w:firstLine="480"/>
              <w:rPr>
                <w:rFonts w:hint="default" w:ascii="Times New Roman" w:hAnsi="Times New Roman" w:eastAsia="宋体" w:cs="Times New Roman"/>
                <w:b/>
                <w:bCs/>
                <w:color w:val="000000" w:themeColor="text1"/>
                <w:highlight w:val="none"/>
                <w:u w:val="single"/>
                <w14:textFill>
                  <w14:solidFill>
                    <w14:schemeClr w14:val="tx1"/>
                  </w14:solidFill>
                </w14:textFill>
              </w:rPr>
            </w:pPr>
            <w:r>
              <w:rPr>
                <w:rFonts w:hint="default" w:ascii="Times New Roman" w:hAnsi="Times New Roman" w:eastAsia="宋体" w:cs="Times New Roman"/>
                <w:b/>
                <w:bCs/>
                <w:color w:val="000000" w:themeColor="text1"/>
                <w:highlight w:val="none"/>
                <w:u w:val="single"/>
                <w14:textFill>
                  <w14:solidFill>
                    <w14:schemeClr w14:val="tx1"/>
                  </w14:solidFill>
                </w14:textFill>
              </w:rPr>
              <w:t>自然资源管控分区分析</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24"/>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single"/>
                <w14:textFill>
                  <w14:solidFill>
                    <w14:schemeClr w14:val="tx1"/>
                  </w14:solidFill>
                </w14:textFill>
              </w:rPr>
              <w:t>经比对，项目涉及1个河南省自然资源管控分区，其中生态用水补给区0个,地下水开采重点管控区0个,高污染燃料禁燃区1个，详见下表。</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项目涉及河南省自然资源管控一览表</w:t>
            </w:r>
          </w:p>
          <w:tbl>
            <w:tblPr>
              <w:tblStyle w:val="17"/>
              <w:tblW w:w="69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4"/>
              <w:gridCol w:w="733"/>
              <w:gridCol w:w="463"/>
              <w:gridCol w:w="375"/>
              <w:gridCol w:w="450"/>
              <w:gridCol w:w="912"/>
              <w:gridCol w:w="2120"/>
              <w:gridCol w:w="925"/>
              <w:gridCol w:w="4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环境管控单元编码</w:t>
                  </w:r>
                </w:p>
              </w:tc>
              <w:tc>
                <w:tcPr>
                  <w:tcW w:w="733"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环境管控单元名称</w:t>
                  </w:r>
                </w:p>
              </w:tc>
              <w:tc>
                <w:tcPr>
                  <w:tcW w:w="463"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管控分类</w:t>
                  </w:r>
                </w:p>
              </w:tc>
              <w:tc>
                <w:tcPr>
                  <w:tcW w:w="375"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市</w:t>
                  </w:r>
                </w:p>
              </w:tc>
              <w:tc>
                <w:tcPr>
                  <w:tcW w:w="450" w:type="dxa"/>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区县</w:t>
                  </w:r>
                </w:p>
              </w:tc>
              <w:tc>
                <w:tcPr>
                  <w:tcW w:w="3032" w:type="dxa"/>
                  <w:gridSpan w:val="2"/>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主要要求</w:t>
                  </w:r>
                </w:p>
              </w:tc>
              <w:tc>
                <w:tcPr>
                  <w:tcW w:w="925"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本项目情况</w:t>
                  </w:r>
                </w:p>
              </w:tc>
              <w:tc>
                <w:tcPr>
                  <w:tcW w:w="488"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YS4109022540001</w:t>
                  </w:r>
                </w:p>
              </w:tc>
              <w:tc>
                <w:tcPr>
                  <w:tcW w:w="733"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河南省濮阳市华龙区高污染燃料禁燃区</w:t>
                  </w:r>
                </w:p>
              </w:tc>
              <w:tc>
                <w:tcPr>
                  <w:tcW w:w="463"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重点</w:t>
                  </w:r>
                </w:p>
              </w:tc>
              <w:tc>
                <w:tcPr>
                  <w:tcW w:w="375"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濮阳市</w:t>
                  </w:r>
                </w:p>
              </w:tc>
              <w:tc>
                <w:tcPr>
                  <w:tcW w:w="450" w:type="dxa"/>
                  <w:vMerge w:val="restart"/>
                  <w:vAlign w:val="center"/>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华龙区</w:t>
                  </w:r>
                </w:p>
              </w:tc>
              <w:tc>
                <w:tcPr>
                  <w:tcW w:w="912"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空间布局约束</w:t>
                  </w:r>
                </w:p>
              </w:tc>
              <w:tc>
                <w:tcPr>
                  <w:tcW w:w="2120" w:type="dxa"/>
                  <w:vAlign w:val="center"/>
                </w:tcPr>
                <w:p>
                  <w:pPr>
                    <w:pStyle w:val="30"/>
                    <w:keepNext w:val="0"/>
                    <w:keepLines w:val="0"/>
                    <w:pageBreakBefore w:val="0"/>
                    <w:widowControl w:val="0"/>
                    <w:numPr>
                      <w:ilvl w:val="0"/>
                      <w:numId w:val="0"/>
                    </w:numPr>
                    <w:kinsoku/>
                    <w:wordWrap/>
                    <w:overflowPunct/>
                    <w:topLinePunct w:val="0"/>
                    <w:autoSpaceDE/>
                    <w:autoSpaceDN/>
                    <w:bidi w:val="0"/>
                    <w:adjustRightInd/>
                    <w:snapToGrid/>
                    <w:spacing w:line="240" w:lineRule="auto"/>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高污染燃料禁燃区覆盖全市行政区域</w:t>
                  </w:r>
                </w:p>
              </w:tc>
              <w:tc>
                <w:tcPr>
                  <w:tcW w:w="925"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本项目不涉及</w:t>
                  </w:r>
                </w:p>
              </w:tc>
              <w:tc>
                <w:tcPr>
                  <w:tcW w:w="488"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04"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733"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63"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375"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50" w:type="dxa"/>
                  <w:vMerge w:val="continue"/>
                </w:tcPr>
                <w:p>
                  <w:pPr>
                    <w:pStyle w:val="3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912"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资源开发效率要求</w:t>
                  </w:r>
                </w:p>
              </w:tc>
              <w:tc>
                <w:tcPr>
                  <w:tcW w:w="2120"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jc w:val="left"/>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全市行政区域内禁止销售、燃用高污染燃料，禁止新建、扩建燃用高污染燃料的设施（不含集中供热、电厂锅炉燃煤以及工业企业原料煤）</w:t>
                  </w:r>
                </w:p>
              </w:tc>
              <w:tc>
                <w:tcPr>
                  <w:tcW w:w="925"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本项目不涉及</w:t>
                  </w:r>
                </w:p>
              </w:tc>
              <w:tc>
                <w:tcPr>
                  <w:tcW w:w="488"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相符</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3、与濮阳市生态环境保护委员会办公室关于印发《濮阳市2024年蓝天保卫战实施方案》《濮阳市2024年碧水保卫战实施方案》《濮阳市2024年净土保卫战实施方案》《濮阳市2024年柴油货车污染治理攻坚战实施方案》的通知（濮环委办〔2024〕11号）相符性分析</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与（濮环委办〔2024〕11号）相符性分析</w:t>
            </w:r>
          </w:p>
          <w:tbl>
            <w:tblPr>
              <w:tblStyle w:val="16"/>
              <w:tblW w:w="680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95"/>
              <w:gridCol w:w="3949"/>
              <w:gridCol w:w="1375"/>
              <w:gridCol w:w="5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1" w:hRule="atLeast"/>
                <w:jc w:val="center"/>
              </w:trPr>
              <w:tc>
                <w:tcPr>
                  <w:tcW w:w="895" w:type="dxa"/>
                  <w:vAlign w:val="center"/>
                </w:tcPr>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14:textFill>
                        <w14:solidFill>
                          <w14:schemeClr w14:val="tx1"/>
                        </w14:solidFill>
                      </w14:textFill>
                    </w:rPr>
                    <w:t>文件名称</w:t>
                  </w:r>
                </w:p>
              </w:tc>
              <w:tc>
                <w:tcPr>
                  <w:tcW w:w="3949"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14:textFill>
                        <w14:solidFill>
                          <w14:schemeClr w14:val="tx1"/>
                        </w14:solidFill>
                      </w14:textFill>
                    </w:rPr>
                    <w:t>相关要求</w:t>
                  </w:r>
                </w:p>
              </w:tc>
              <w:tc>
                <w:tcPr>
                  <w:tcW w:w="1375" w:type="dxa"/>
                  <w:vAlign w:val="center"/>
                </w:tcPr>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14:textFill>
                        <w14:solidFill>
                          <w14:schemeClr w14:val="tx1"/>
                        </w14:solidFill>
                      </w14:textFill>
                    </w:rPr>
                    <w:t>本项目建设情况</w:t>
                  </w:r>
                </w:p>
              </w:tc>
              <w:tc>
                <w:tcPr>
                  <w:tcW w:w="583" w:type="dxa"/>
                  <w:vAlign w:val="center"/>
                </w:tcPr>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14:textFill>
                        <w14:solidFill>
                          <w14:schemeClr w14:val="tx1"/>
                        </w14:solidFill>
                      </w14:textFill>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58" w:hRule="atLeast"/>
                <w:jc w:val="center"/>
              </w:trPr>
              <w:tc>
                <w:tcPr>
                  <w:tcW w:w="895"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lang w:val="en-US" w:eastAsia="zh-CN"/>
                      <w14:textFill>
                        <w14:solidFill>
                          <w14:schemeClr w14:val="tx1"/>
                        </w14:solidFill>
                      </w14:textFill>
                    </w:rPr>
                    <w:t>濮阳市2024年蓝天保卫战实施方案</w:t>
                  </w:r>
                </w:p>
              </w:tc>
              <w:tc>
                <w:tcPr>
                  <w:tcW w:w="3949"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b w:val="0"/>
                      <w:bCs/>
                      <w:i w:val="0"/>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12、</w:t>
                  </w:r>
                  <w:r>
                    <w:rPr>
                      <w:rFonts w:hint="default" w:ascii="Times New Roman" w:hAnsi="Times New Roman" w:eastAsia="宋体" w:cs="Times New Roman"/>
                      <w:color w:val="000000" w:themeColor="text1"/>
                      <w:sz w:val="21"/>
                      <w:szCs w:val="21"/>
                      <w14:textFill>
                        <w14:solidFill>
                          <w14:schemeClr w14:val="tx1"/>
                        </w14:solidFill>
                      </w14:textFill>
                    </w:rPr>
                    <w:t>实施挥发性有机物综合治理。按照“可替尽替、应代尽代”的原则，加快推进低VOCs含量原辅材料替代，加强VOCs全流程综合治理，加大蓄热式氧化燃烧(RTO)、蓄热式催化燃烧(RCO)、催化燃烧(CO)、沸石转轮吸附浓缩等高效治理技术推广力度;对企业含VOCs有机废水储罐、装置区集水井(池)完成有机废气收集密闭化改造;对企业活性炭装填量、更换周期实施编码登记，实现从购买、更换到处置的全过程可回溯管理;对污水处理场排放的高浓度有机废气实施单独收集处理;具备改造条件的挥发性有机液体储罐改用低泄漏的储罐呼吸阀、紧急泄压阀，汽车罐车改用自封式快速接头;加强火炬燃烧装置监管，火炬系统、煤气放散管安装温度监控、废气流量计、助燃气体流量计，相关数据接入DCS系统;督促46家企业按规定开展VOCs泄漏检测与修复工作，针对石化、化工行业建立统一的泄漏检测与修复信息管理平台。结合日常监管情况，动态管理涉VOCs企业综合治理清单台账，12月底前完成9家涉VOCs企业综合治理，全面提升企业VOCs治理水平</w:t>
                  </w:r>
                  <w:r>
                    <w:rPr>
                      <w:rFonts w:hint="default" w:ascii="Times New Roman" w:hAnsi="Times New Roman" w:eastAsia="宋体" w:cs="Times New Roman"/>
                      <w:b w:val="0"/>
                      <w:bCs/>
                      <w:i w:val="0"/>
                      <w:iCs/>
                      <w:color w:val="000000" w:themeColor="text1"/>
                      <w:sz w:val="21"/>
                      <w:szCs w:val="21"/>
                      <w:lang w:val="en-US" w:eastAsia="zh-CN"/>
                      <w14:textFill>
                        <w14:solidFill>
                          <w14:schemeClr w14:val="tx1"/>
                        </w14:solidFill>
                      </w14:textFill>
                    </w:rPr>
                    <w:t>。</w:t>
                  </w:r>
                </w:p>
              </w:tc>
              <w:tc>
                <w:tcPr>
                  <w:tcW w:w="1375"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b w:val="0"/>
                      <w:bCs/>
                      <w:i w:val="0"/>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本项目</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粘接、烘干废气、渗碳废气经集气装置收集后经干式过滤器+二级活性炭吸附后15m排气筒（DA002）排放；热处理废气经集气装置收集后进入油雾净化器+干式过滤器+二级活性炭吸附后15m排气筒（DA002）排放</w:t>
                  </w:r>
                  <w:r>
                    <w:rPr>
                      <w:rFonts w:hint="default" w:ascii="Times New Roman" w:hAnsi="Times New Roman" w:eastAsia="宋体" w:cs="Times New Roman"/>
                      <w:b w:val="0"/>
                      <w:bCs/>
                      <w:i w:val="0"/>
                      <w:iCs/>
                      <w:color w:val="000000" w:themeColor="text1"/>
                      <w:sz w:val="21"/>
                      <w:szCs w:val="21"/>
                      <w:lang w:val="en-US" w:eastAsia="zh-CN"/>
                      <w14:textFill>
                        <w14:solidFill>
                          <w14:schemeClr w14:val="tx1"/>
                        </w14:solidFill>
                      </w14:textFill>
                    </w:rPr>
                    <w:t>。</w:t>
                  </w:r>
                </w:p>
              </w:tc>
              <w:tc>
                <w:tcPr>
                  <w:tcW w:w="583" w:type="dxa"/>
                  <w:vAlign w:val="center"/>
                </w:tcPr>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5" w:hRule="atLeast"/>
                <w:jc w:val="center"/>
              </w:trPr>
              <w:tc>
                <w:tcPr>
                  <w:tcW w:w="895"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p>
              </w:tc>
              <w:tc>
                <w:tcPr>
                  <w:tcW w:w="3949"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18.深化扬尘污染精细化管控。聚焦建筑施工、城市道路线性工程、车辆运输和裸露地面等重点领域，细化完善重点扬尘污染源管控清单，建立施工防尘措施检查制度，按照“谁组织、谁监管”原则，明确监管责任，严格落实扬尘治理“两个标准”要求，加强施工围挡、车辆冲洗、湿法作业、密闭运输地面硬化、物料覆盖等管理，提升扬尘污染精细化管理水平。配合做好河南省扬尘污染防治智慧化监控平台互联互通工作，推动5000平方米及以上建筑工地安装在线监测和视频监控设施，并接入市监管平台。市政道路、水务等长距离线性工程实行分段施工。工程项目将防治扬尘污染费用纳入工程造价，作为专项费用用于扬尘治理。强化道路扬尘综合治理，市城区道路机械化清扫率达到80%以上，加大人行步道、非机动车道背街小巷人工清扫保洁力度;开展渣土、物料等运输车辆规范化整治，依法查处遗撒滴漏或扬散物料、不按照规定路线、时段行驶等违法行为。逐月开展降尘量监测，实施公开排名通报。</w:t>
                  </w:r>
                </w:p>
              </w:tc>
              <w:tc>
                <w:tcPr>
                  <w:tcW w:w="137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i w:val="0"/>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项目施工期严格控制扬尘污染，通过运土车辆应加篷布遮盖，严禁超重、超高装载，运输车辆进入施工场地应低速、限速行驶，以减少产尘量；使用商品混凝土或散装水泥，对产生扬尘的施工作业点设洒水装置等措施，减少扬尘污染。</w:t>
                  </w:r>
                </w:p>
              </w:tc>
              <w:tc>
                <w:tcPr>
                  <w:tcW w:w="58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93" w:hRule="atLeast"/>
                <w:jc w:val="center"/>
              </w:trPr>
              <w:tc>
                <w:tcPr>
                  <w:tcW w:w="895"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p>
              </w:tc>
              <w:tc>
                <w:tcPr>
                  <w:tcW w:w="3949"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14:textFill>
                        <w14:solidFill>
                          <w14:schemeClr w14:val="tx1"/>
                        </w14:solidFill>
                      </w14:textFill>
                    </w:rPr>
                    <w:t>23.提升重污染天气应对实效。健全完善重污染天气预警响应机制，规范重污染天气预警、启动、响应、解除工作流程强化区域联合应对，加强部门间的联系沟通，综合采取远程监控、入企监督指导、污染高值预警、实地监测源、综合分析应对等方式，全面提升重污染天气协同管控实效。</w:t>
                  </w:r>
                </w:p>
              </w:tc>
              <w:tc>
                <w:tcPr>
                  <w:tcW w:w="137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评价建议项目建成后建立重污染天气预警响应机制</w:t>
                  </w:r>
                </w:p>
              </w:tc>
              <w:tc>
                <w:tcPr>
                  <w:tcW w:w="58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1" w:hRule="atLeast"/>
                <w:jc w:val="center"/>
              </w:trPr>
              <w:tc>
                <w:tcPr>
                  <w:tcW w:w="895"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p>
              </w:tc>
              <w:tc>
                <w:tcPr>
                  <w:tcW w:w="3949"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14:textFill>
                        <w14:solidFill>
                          <w14:schemeClr w14:val="tx1"/>
                        </w14:solidFill>
                      </w14:textFill>
                    </w:rPr>
                    <w:t>25.开展环境绩效等级提升行动。严格落实重点行业绩效分级管理实施细则，建立“有进有出”动态调整机制，分行业分类别建立绩效提升企业名单，推动化工、铸造、耐材、工业涂装、包装印刷等重点行业环保绩效创A，全力帮扶重点行业企业对照行业先进水平实施生产和治理工艺装备提升改造，不断提升环境绩效等级，2024年6月底前，各县(区)建立绩效提升培育企业清单，力争提高A级、B级企业及绩效引领性企业占比，着力培育一批绩效水平高、行业带动强的企业。</w:t>
                  </w:r>
                </w:p>
              </w:tc>
              <w:tc>
                <w:tcPr>
                  <w:tcW w:w="137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本项目建设严格落实绩效分级要求</w:t>
                  </w:r>
                </w:p>
              </w:tc>
              <w:tc>
                <w:tcPr>
                  <w:tcW w:w="583"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75" w:hRule="atLeast"/>
                <w:jc w:val="center"/>
              </w:trPr>
              <w:tc>
                <w:tcPr>
                  <w:tcW w:w="895" w:type="dxa"/>
                  <w:vAlign w:val="center"/>
                </w:tcPr>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lang w:val="en-US" w:eastAsia="zh-CN"/>
                      <w14:textFill>
                        <w14:solidFill>
                          <w14:schemeClr w14:val="tx1"/>
                        </w14:solidFill>
                      </w14:textFill>
                    </w:rPr>
                    <w:t>濮阳市2024年碧水保卫战实施方案</w:t>
                  </w:r>
                </w:p>
              </w:tc>
              <w:tc>
                <w:tcPr>
                  <w:tcW w:w="3949"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14:textFill>
                        <w14:solidFill>
                          <w14:schemeClr w14:val="tx1"/>
                        </w14:solidFill>
                      </w14:textFill>
                    </w:rPr>
                    <w:t>3.深化工业园区水污染整治。开展工业园区污水收集处理能力、污水资源化利用能力、监测监管能力提升行动和化工园区“污水零直排”建设行动，补齐园区污水收集处理设施短板。到2024年年底，化工园区基本建成独立专业化工生产废水集中处理设施(或依托骨干企业):国家级工业园区配套的污水管网质量和污水收集效能明显提升。根据中央生态环境保护督察整改要求，重点推动濮阳工业园区污水处理厂建设，实现工业废水应收尽收集中处置。</w:t>
                  </w:r>
                </w:p>
              </w:tc>
              <w:tc>
                <w:tcPr>
                  <w:tcW w:w="1375" w:type="dxa"/>
                  <w:vAlign w:val="center"/>
                </w:tcPr>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i w:val="0"/>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本项目生活污水经化粪池预处理后进濮阳市第三污水处理厂</w:t>
                  </w:r>
                </w:p>
              </w:tc>
              <w:tc>
                <w:tcPr>
                  <w:tcW w:w="583" w:type="dxa"/>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4" w:hRule="atLeast"/>
                <w:jc w:val="center"/>
              </w:trPr>
              <w:tc>
                <w:tcPr>
                  <w:tcW w:w="895" w:type="dxa"/>
                  <w:vMerge w:val="restart"/>
                  <w:vAlign w:val="center"/>
                </w:tcPr>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lang w:val="en-US" w:eastAsia="zh-CN"/>
                      <w14:textFill>
                        <w14:solidFill>
                          <w14:schemeClr w14:val="tx1"/>
                        </w14:solidFill>
                      </w14:textFill>
                    </w:rPr>
                    <w:t>濮阳市2024年净土保卫战实施方案</w:t>
                  </w:r>
                </w:p>
              </w:tc>
              <w:tc>
                <w:tcPr>
                  <w:tcW w:w="3949"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14:textFill>
                        <w14:solidFill>
                          <w14:schemeClr w14:val="tx1"/>
                        </w14:solidFill>
                      </w14:textFill>
                    </w:rPr>
                    <w:t>2.强化在产企业土壤污染源头防控。完成土壤污染重点监管单位名录更新，并向社会公开。指导新纳入的重点监管单位本年度内开展一次隐患排查、自行监测。做好土壤污染重点监管单位隐患排查“回头看”工作，并将隐患排查报告及相关材料上传至重点监管单位土壤和地下水环境管理信息系统，6月底前完成市级抽查，抽查比例不低于20%。重点对石油加工，化工、铅蓄电池制造、危险废物处置等行业企业组织开展隐患排查监督检查。</w:t>
                  </w:r>
                </w:p>
              </w:tc>
              <w:tc>
                <w:tcPr>
                  <w:tcW w:w="1375" w:type="dxa"/>
                  <w:vAlign w:val="center"/>
                </w:tcPr>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i w:val="0"/>
                      <w:i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14:textFill>
                        <w14:solidFill>
                          <w14:schemeClr w14:val="tx1"/>
                        </w14:solidFill>
                      </w14:textFill>
                    </w:rPr>
                    <w:t>本项目</w:t>
                  </w:r>
                  <w:r>
                    <w:rPr>
                      <w:rFonts w:hint="default" w:ascii="Times New Roman" w:hAnsi="Times New Roman" w:eastAsia="宋体" w:cs="Times New Roman"/>
                      <w:b w:val="0"/>
                      <w:bCs/>
                      <w:i w:val="0"/>
                      <w:iCs/>
                      <w:color w:val="000000" w:themeColor="text1"/>
                      <w:sz w:val="21"/>
                      <w:szCs w:val="21"/>
                      <w:lang w:val="en-US" w:eastAsia="zh-CN"/>
                      <w14:textFill>
                        <w14:solidFill>
                          <w14:schemeClr w14:val="tx1"/>
                        </w14:solidFill>
                      </w14:textFill>
                    </w:rPr>
                    <w:t>严格落实分区防渗、分区管控措施，减少土壤污染途径</w:t>
                  </w:r>
                </w:p>
              </w:tc>
              <w:tc>
                <w:tcPr>
                  <w:tcW w:w="583" w:type="dxa"/>
                  <w:vAlign w:val="center"/>
                </w:tcPr>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0" w:hRule="atLeast"/>
                <w:jc w:val="center"/>
              </w:trPr>
              <w:tc>
                <w:tcPr>
                  <w:tcW w:w="895" w:type="dxa"/>
                  <w:vMerge w:val="continue"/>
                  <w:vAlign w:val="center"/>
                </w:tcPr>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p>
              </w:tc>
              <w:tc>
                <w:tcPr>
                  <w:tcW w:w="3949" w:type="dxa"/>
                  <w:vAlign w:val="top"/>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both"/>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14:textFill>
                        <w14:solidFill>
                          <w14:schemeClr w14:val="tx1"/>
                        </w14:solidFill>
                      </w14:textFill>
                    </w:rPr>
                    <w:t>15.深化危险废物监管和利用处置能力改革。持续创新危险废物环境监管方式，建立健全危险废物监管责任制度。探索建立综合处置企业行业自律机制。选取3家典型危险废物利用处置企业作为市级危险废物安全生产标杆企业，引领示范全市危险废物安全生产。提升危险废物规范化管理水平，实施危险废物规范化环境管理评估。开展危险废物自行利用处置专项整治行动。加强废弃电器电子产品拆解监管。</w:t>
                  </w:r>
                </w:p>
              </w:tc>
              <w:tc>
                <w:tcPr>
                  <w:tcW w:w="1375" w:type="dxa"/>
                  <w:vAlign w:val="center"/>
                </w:tcPr>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i w:val="0"/>
                      <w:iCs/>
                      <w:color w:val="000000" w:themeColor="text1"/>
                      <w:sz w:val="21"/>
                      <w:szCs w:val="21"/>
                      <w:lang w:val="en-US"/>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lang w:eastAsia="zh-CN"/>
                      <w14:textFill>
                        <w14:solidFill>
                          <w14:schemeClr w14:val="tx1"/>
                        </w14:solidFill>
                      </w14:textFill>
                    </w:rPr>
                    <w:t>本项目</w:t>
                  </w:r>
                  <w:r>
                    <w:rPr>
                      <w:rFonts w:hint="default" w:ascii="Times New Roman" w:hAnsi="Times New Roman" w:eastAsia="宋体" w:cs="Times New Roman"/>
                      <w:b w:val="0"/>
                      <w:bCs/>
                      <w:i w:val="0"/>
                      <w:iCs/>
                      <w:color w:val="000000" w:themeColor="text1"/>
                      <w:sz w:val="21"/>
                      <w:szCs w:val="21"/>
                      <w:lang w:val="en-US" w:eastAsia="zh-CN"/>
                      <w14:textFill>
                        <w14:solidFill>
                          <w14:schemeClr w14:val="tx1"/>
                        </w14:solidFill>
                      </w14:textFill>
                    </w:rPr>
                    <w:t>产生的危险废物应严格按照危险废物管理制度执行</w:t>
                  </w:r>
                </w:p>
              </w:tc>
              <w:tc>
                <w:tcPr>
                  <w:tcW w:w="583" w:type="dxa"/>
                  <w:vAlign w:val="center"/>
                </w:tcPr>
                <w:p>
                  <w:pPr>
                    <w:pStyle w:val="15"/>
                    <w:keepNext w:val="0"/>
                    <w:keepLines w:val="0"/>
                    <w:pageBreakBefore w:val="0"/>
                    <w:widowControl w:val="0"/>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eastAsia="宋体" w:cs="Times New Roman"/>
                      <w:b w:val="0"/>
                      <w:bCs/>
                      <w:i w:val="0"/>
                      <w:iCs/>
                      <w:color w:val="000000" w:themeColor="text1"/>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14:textFill>
                        <w14:solidFill>
                          <w14:schemeClr w14:val="tx1"/>
                        </w14:solidFill>
                      </w14:textFill>
                    </w:rPr>
                    <w:t>相符</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4、与饮用水源保护区规划相符性分析</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4.1与濮阳市集中式饮用水源相符性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河南省城市集中式饮用水源保护区划》（豫政办[2007]125号）、河南省环境保护厅及河南省水利厅批复（豫环函[2014]61号）的《河南省濮阳市地下饮用水源地调整及保护区核定技术报告》、《河南省人民政府关于调整部分集中式饮用水水源保护区的通知》（豫政文[2019]19号）、《河南省人民政府关于调整取消部分集中式饮用水水源保护区的通知》（豫政文[2021]72号），濮阳市目前有2个地表水饮用水源保护区、1个地下水饮用水源保护区。濮阳市</w:t>
            </w:r>
            <w:r>
              <w:rPr>
                <w:rFonts w:hint="default" w:ascii="Times New Roman" w:hAnsi="Times New Roman" w:eastAsia="宋体" w:cs="Times New Roman"/>
                <w:color w:val="000000" w:themeColor="text1"/>
                <w:sz w:val="24"/>
                <w:szCs w:val="32"/>
                <w14:textFill>
                  <w14:solidFill>
                    <w14:schemeClr w14:val="tx1"/>
                  </w14:solidFill>
                </w14:textFill>
              </w:rPr>
              <w:t>集中式饮用水源地及保护范围情况如下：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14:textFill>
                  <w14:solidFill>
                    <w14:schemeClr w14:val="tx1"/>
                  </w14:solidFill>
                </w14:textFill>
              </w:rPr>
            </w:pPr>
            <w:r>
              <w:rPr>
                <w:rFonts w:hint="default" w:ascii="Times New Roman" w:hAnsi="Times New Roman" w:eastAsia="宋体" w:cs="Times New Roman"/>
                <w:color w:val="000000" w:themeColor="text1"/>
                <w:sz w:val="24"/>
                <w:szCs w:val="32"/>
                <w14:textFill>
                  <w14:solidFill>
                    <w14:schemeClr w14:val="tx1"/>
                  </w14:solidFill>
                </w14:textFill>
              </w:rPr>
              <w:t>（1）地表水饮用水源保护区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14:textFill>
                  <w14:solidFill>
                    <w14:schemeClr w14:val="tx1"/>
                  </w14:solidFill>
                </w14:textFill>
              </w:rPr>
            </w:pPr>
            <w:r>
              <w:rPr>
                <w:rFonts w:hint="default" w:ascii="Times New Roman" w:hAnsi="Times New Roman" w:eastAsia="宋体" w:cs="Times New Roman"/>
                <w:color w:val="000000" w:themeColor="text1"/>
                <w:sz w:val="24"/>
                <w:szCs w:val="32"/>
                <w14:textFill>
                  <w14:solidFill>
                    <w14:schemeClr w14:val="tx1"/>
                  </w14:solidFill>
                </w14:textFill>
              </w:rPr>
              <w:t>①中原油田彭楼地表水饮用水源保护区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14:textFill>
                  <w14:solidFill>
                    <w14:schemeClr w14:val="tx1"/>
                  </w14:solidFill>
                </w14:textFill>
              </w:rPr>
            </w:pPr>
            <w:r>
              <w:rPr>
                <w:rFonts w:hint="default" w:ascii="Times New Roman" w:hAnsi="Times New Roman" w:eastAsia="宋体" w:cs="Times New Roman"/>
                <w:color w:val="000000" w:themeColor="text1"/>
                <w:sz w:val="24"/>
                <w:szCs w:val="32"/>
                <w14:textFill>
                  <w14:solidFill>
                    <w14:schemeClr w14:val="tx1"/>
                  </w14:solidFill>
                </w14:textFill>
              </w:rPr>
              <w:t>一级保护区：黄河干流彭楼引水口下游100米至上游10号坝河道濮阳市界内至黄河左岸连坝坡角线外50米的区域，彭楼引水口至彭楼闸之间输水渠两侧生产堤内的区域，彭楼闸至水源取水口下游100m之间输水渠及两侧50米的区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14:textFill>
                  <w14:solidFill>
                    <w14:schemeClr w14:val="tx1"/>
                  </w14:solidFill>
                </w14:textFill>
              </w:rPr>
            </w:pPr>
            <w:r>
              <w:rPr>
                <w:rFonts w:hint="default" w:ascii="Times New Roman" w:hAnsi="Times New Roman" w:eastAsia="宋体" w:cs="Times New Roman"/>
                <w:color w:val="000000" w:themeColor="text1"/>
                <w:sz w:val="24"/>
                <w:szCs w:val="32"/>
                <w14:textFill>
                  <w14:solidFill>
                    <w14:schemeClr w14:val="tx1"/>
                  </w14:solidFill>
                </w14:textFill>
              </w:rPr>
              <w:t>二级保护区：一级保护区外，黄河干流彭楼引水口至上游范县界河道、濮阳市界内至黄河左岸生产堤内的区域，彭楼闸至彭楼取水口下游300m的输水渠及两侧1000米至黄河大堤外侧的区域。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14:textFill>
                  <w14:solidFill>
                    <w14:schemeClr w14:val="tx1"/>
                  </w14:solidFill>
                </w14:textFill>
              </w:rPr>
            </w:pPr>
            <w:r>
              <w:rPr>
                <w:rFonts w:hint="default" w:ascii="Times New Roman" w:hAnsi="Times New Roman" w:eastAsia="宋体" w:cs="Times New Roman"/>
                <w:color w:val="000000" w:themeColor="text1"/>
                <w:sz w:val="24"/>
                <w:szCs w:val="32"/>
                <w14:textFill>
                  <w14:solidFill>
                    <w14:schemeClr w14:val="tx1"/>
                  </w14:solidFill>
                </w14:textFill>
              </w:rPr>
              <w:t>②西水坡地表水饮用水源保护区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14:textFill>
                  <w14:solidFill>
                    <w14:schemeClr w14:val="tx1"/>
                  </w14:solidFill>
                </w14:textFill>
              </w:rPr>
            </w:pPr>
            <w:r>
              <w:rPr>
                <w:rFonts w:hint="default" w:ascii="Times New Roman" w:hAnsi="Times New Roman" w:eastAsia="宋体" w:cs="Times New Roman"/>
                <w:color w:val="000000" w:themeColor="text1"/>
                <w:sz w:val="24"/>
                <w:szCs w:val="32"/>
                <w14:textFill>
                  <w14:solidFill>
                    <w14:schemeClr w14:val="tx1"/>
                  </w14:solidFill>
                </w14:textFill>
              </w:rPr>
              <w:t>一级保护区：黄河干流渠村引水口下游100米至上游青庄1号坝河道濮阳市界内至黄河左岸连坝坡角线外50米的区域，渠村引水口至渠首闸输水渠两侧连坝路之内的区域，渠村沉砂池外200米至黄河大堤外侧及濮清南干渠东侧的区域，西水坡调节池围墙以内的区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14:textFill>
                  <w14:solidFill>
                    <w14:schemeClr w14:val="tx1"/>
                  </w14:solidFill>
                </w14:textFill>
              </w:rPr>
            </w:pPr>
            <w:r>
              <w:rPr>
                <w:rFonts w:hint="default" w:ascii="Times New Roman" w:hAnsi="Times New Roman" w:eastAsia="宋体" w:cs="Times New Roman"/>
                <w:color w:val="000000" w:themeColor="text1"/>
                <w:sz w:val="24"/>
                <w:szCs w:val="32"/>
                <w14:textFill>
                  <w14:solidFill>
                    <w14:schemeClr w14:val="tx1"/>
                  </w14:solidFill>
                </w14:textFill>
              </w:rPr>
              <w:t>二级保护区：一级保护区外，黄河干流渠村引水口至上游8号坝河道濮阳市界内至黄河左岸生产堤以内的区域，渠村沉砂池一级保护区外1000米至黄河大堤外侧的区域。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14:textFill>
                  <w14:solidFill>
                    <w14:schemeClr w14:val="tx1"/>
                  </w14:solidFill>
                </w14:textFill>
              </w:rPr>
            </w:pPr>
            <w:r>
              <w:rPr>
                <w:rFonts w:hint="default" w:ascii="Times New Roman" w:hAnsi="Times New Roman" w:eastAsia="宋体" w:cs="Times New Roman"/>
                <w:color w:val="000000" w:themeColor="text1"/>
                <w:sz w:val="24"/>
                <w:szCs w:val="32"/>
                <w14:textFill>
                  <w14:solidFill>
                    <w14:schemeClr w14:val="tx1"/>
                  </w14:solidFill>
                </w14:textFill>
              </w:rPr>
              <w:t>（2）地下水饮用水源保护区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14:textFill>
                  <w14:solidFill>
                    <w14:schemeClr w14:val="tx1"/>
                  </w14:solidFill>
                </w14:textFill>
              </w:rPr>
            </w:pPr>
            <w:r>
              <w:rPr>
                <w:rFonts w:hint="default" w:ascii="Times New Roman" w:hAnsi="Times New Roman" w:eastAsia="宋体" w:cs="Times New Roman"/>
                <w:color w:val="000000" w:themeColor="text1"/>
                <w:sz w:val="24"/>
                <w:szCs w:val="32"/>
                <w14:textFill>
                  <w14:solidFill>
                    <w14:schemeClr w14:val="tx1"/>
                  </w14:solidFill>
                </w14:textFill>
              </w:rPr>
              <w:t>①李子园地下水饮用水源保护区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14:textFill>
                  <w14:solidFill>
                    <w14:schemeClr w14:val="tx1"/>
                  </w14:solidFill>
                </w14:textFill>
              </w:rPr>
            </w:pPr>
            <w:r>
              <w:rPr>
                <w:rFonts w:hint="default" w:ascii="Times New Roman" w:hAnsi="Times New Roman" w:eastAsia="宋体" w:cs="Times New Roman"/>
                <w:color w:val="000000" w:themeColor="text1"/>
                <w:sz w:val="24"/>
                <w:szCs w:val="32"/>
                <w14:textFill>
                  <w14:solidFill>
                    <w14:schemeClr w14:val="tx1"/>
                  </w14:solidFill>
                </w14:textFill>
              </w:rPr>
              <w:t>一级保护区：取水井外围50米的区域。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二级保护区：一级保护区外，取水井外围550米所包含的区域。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准保护区：二级保护区外，北至北线4号水井以北1000米、西至西线6号井以西1000米、南至高铺干渠—濮清南干渠—016县道、东至五星沟西侧范围内的区域。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本项目位于濮阳高新技术产业开发区，距离最近水源保护区为西水坡地表水水源保护区，约15.89km，不在其保护区范围内，符合保护规划。</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4.2与乡镇集中式饮用水源保护区相符性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根据河南省人民政府办公厅印发《关于印发河南省乡镇集中式饮用水水源保护区划的通知》（豫政办〔2016〕23号）和《濮阳市华龙区岳村镇集中式饮用水水源保护区划分技术报告》，距离本次扩建项目厂址较近的乡镇集中饮用水源有濮阳市华龙区孟轲乡地下水井、清丰县柳格镇水厂地下水井群、岳村镇东田村集中供水厂（“千吨万人”饮用水水源地）。具体保护范围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（1）濮阳市华龙区孟轲乡地下水井(共1眼井)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一级保护区范围:取水井外围30米的区域。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（2）清丰县柳格镇水厂地下水井群(共2眼井)</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一级保护区范围:水厂厂区及外围30米、北至015县道的区域。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3）岳村镇东田村集中供水厂位于华龙区岳村镇澶东社区南侧，四周现状均为农田，水厂中心地理坐标为：东经115°10′48.05″，北纬35°47′13.36″。5#水井地理坐标为：东经115°10′54.78″，北纬35°47′13.75″，7#水井地理坐标为：东经115°10′27.74″，北纬35°47′19.97″。5#、7#水井一级保护区域分别以取水井为为圆心，以半径为30m的圆形区域内，作为一级保护区。饮用水水源地一级保护区面积为5652m</w:t>
            </w:r>
            <w:r>
              <w:rPr>
                <w:rFonts w:hint="default" w:ascii="Times New Roman" w:hAnsi="Times New Roman" w:eastAsia="宋体" w:cs="Times New Roman"/>
                <w:b w:val="0"/>
                <w:bCs w:val="0"/>
                <w:color w:val="000000" w:themeColor="text1"/>
                <w:sz w:val="24"/>
                <w:szCs w:val="32"/>
                <w:vertAlign w:val="superscript"/>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本项目拟建厂址距濮阳市华龙区孟轲乡地下水井2.73km，距清丰县柳格镇水厂地下水井群3.91km，距离岳村镇东田村集中供水厂7#水井3.82km，本项目拟建厂址不在上述乡镇集中式饮用水源保护区及“千吨万人”饮用水水源地保护区范围内。</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32"/>
                <w:vertAlign w:val="baseline"/>
                <w:lang w:val="en-US" w:eastAsia="zh-CN"/>
              </w:rPr>
            </w:pPr>
            <w:r>
              <w:rPr>
                <w:rFonts w:hint="default" w:ascii="Times New Roman" w:hAnsi="Times New Roman" w:eastAsia="宋体" w:cs="Times New Roman"/>
                <w:b/>
                <w:bCs/>
                <w:color w:val="auto"/>
                <w:sz w:val="24"/>
                <w:szCs w:val="32"/>
                <w:vertAlign w:val="baseline"/>
                <w:lang w:val="en-US" w:eastAsia="zh-CN"/>
              </w:rPr>
              <w:t>5、本项目与《重污染天气通用行业应急减排措施制定技术指南（2024年修订版）》中</w:t>
            </w:r>
            <w:bookmarkStart w:id="0" w:name="OLE_LINK5"/>
            <w:r>
              <w:rPr>
                <w:rFonts w:hint="default" w:ascii="Times New Roman" w:hAnsi="Times New Roman" w:eastAsia="宋体" w:cs="Times New Roman"/>
                <w:b/>
                <w:bCs/>
                <w:color w:val="auto"/>
                <w:sz w:val="24"/>
                <w:szCs w:val="32"/>
                <w:vertAlign w:val="baseline"/>
                <w:lang w:val="en-US" w:eastAsia="zh-CN"/>
              </w:rPr>
              <w:t>涉PM、VOCs企业绩效引领性指标</w:t>
            </w:r>
            <w:bookmarkEnd w:id="0"/>
            <w:r>
              <w:rPr>
                <w:rFonts w:hint="default" w:ascii="Times New Roman" w:hAnsi="Times New Roman" w:eastAsia="宋体" w:cs="Times New Roman"/>
                <w:b/>
                <w:bCs/>
                <w:color w:val="auto"/>
                <w:sz w:val="24"/>
                <w:szCs w:val="32"/>
                <w:vertAlign w:val="baseline"/>
                <w:lang w:val="en-US" w:eastAsia="zh-CN"/>
              </w:rPr>
              <w:t>相符性分析</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color w:val="auto"/>
                <w:sz w:val="24"/>
                <w:szCs w:val="32"/>
                <w:vertAlign w:val="baseline"/>
                <w:lang w:val="en-US" w:eastAsia="zh-CN"/>
              </w:rPr>
            </w:pPr>
            <w:bookmarkStart w:id="1" w:name="OLE_LINK6"/>
            <w:r>
              <w:rPr>
                <w:rFonts w:hint="default" w:ascii="Times New Roman" w:hAnsi="Times New Roman" w:eastAsia="宋体" w:cs="Times New Roman"/>
                <w:b/>
                <w:bCs/>
                <w:color w:val="auto"/>
                <w:sz w:val="21"/>
                <w:szCs w:val="21"/>
                <w:vertAlign w:val="baseline"/>
                <w:lang w:val="en-US" w:eastAsia="zh-CN"/>
              </w:rPr>
              <w:t>与通用涉PM企业绩效引领性指标相符性分析</w:t>
            </w:r>
          </w:p>
          <w:tbl>
            <w:tblPr>
              <w:tblStyle w:val="1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76"/>
              <w:gridCol w:w="320"/>
              <w:gridCol w:w="4267"/>
              <w:gridCol w:w="1730"/>
              <w:gridCol w:w="3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2"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lang w:val="en-US" w:eastAsia="zh-CN"/>
                    </w:rPr>
                    <w:t>引领性</w:t>
                  </w:r>
                  <w:r>
                    <w:rPr>
                      <w:rFonts w:hint="default" w:ascii="Times New Roman" w:hAnsi="Times New Roman" w:eastAsia="宋体" w:cs="Times New Roman"/>
                      <w:b w:val="0"/>
                      <w:bCs/>
                      <w:color w:val="auto"/>
                      <w:sz w:val="21"/>
                      <w:szCs w:val="21"/>
                      <w:shd w:val="clear" w:color="auto" w:fill="auto"/>
                    </w:rPr>
                    <w:t>指标</w:t>
                  </w:r>
                </w:p>
              </w:tc>
              <w:tc>
                <w:tcPr>
                  <w:tcW w:w="3012"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通用涉PM企业</w:t>
                  </w:r>
                </w:p>
              </w:tc>
              <w:tc>
                <w:tcPr>
                  <w:tcW w:w="1221"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本项目控制措施</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9"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生产工工艺和装备</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不属于《产业结构调整指导目录（2024年版）》淘汰类，不属于省级和市级政府部门明确列入已经限期淘汰类项目。</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lang w:eastAsia="zh-CN"/>
                    </w:rPr>
                  </w:pPr>
                  <w:r>
                    <w:rPr>
                      <w:rFonts w:hint="default" w:ascii="Times New Roman" w:hAnsi="Times New Roman" w:eastAsia="宋体" w:cs="Times New Roman"/>
                      <w:b w:val="0"/>
                      <w:bCs/>
                      <w:color w:val="auto"/>
                      <w:sz w:val="21"/>
                      <w:szCs w:val="21"/>
                      <w:shd w:val="clear" w:color="auto" w:fill="auto"/>
                      <w:lang w:eastAsia="zh-CN"/>
                    </w:rPr>
                    <w:t>经查阅《产业结构调整指导目录（2024年本）》，本项目不属于限制类、鼓励类、禁止类，为允许类项目。</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2"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物料装卸</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1.车辆运输的物料应采取封闭措施。粉状、粒状、块状散装物料在封闭料场内装卸，装卸过程中产尘点应设置集气除尘装置，料堆应采取有效抑尘措施；</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2.不易产尘的袋装物料宜在料棚中装卸，如需露天装卸应采取防止破袋及粉尘外逸措施。</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1、本项目不涉及粉状、粒状、块状散装物料。</w:t>
                  </w:r>
                </w:p>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2、本项目原料均存放于密闭生产车间内。</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FF0000"/>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9"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物料储存</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1.一般物料。粉状物料应储存于密闭/封闭料仓中；粒状、块状物料应储存于封闭料场中，并采取喷淋、清扫或其他有效抑尘措施；袋装物料应储存于封闭/半封闭料场中。封闭料场顶棚和四周围墙完整，料场内地面全部硬化，料场货物进出大门为硬质材料门或自动感应门，在确保安全的情况下，所有门窗保持常闭状态。不产尘物料（如钢材、管件）及产品如露天储存应在规定的存储区域码放整齐；</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2.危险废物。应有符合规范要求的危险废物储存间，危险废物储存间门口应张贴标准规范的危险废物标识和危废信息板，建立台账并挂于危废间内，危险废物管理台账和危险废物转移情况信息表保存5年以上。危废间内禁止存放除危险废物和应急工具外的其他物品。涉大气污染物排放的，应设置对应污染治理设施。</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1、本项目原料均存放于密闭生产车间内。</w:t>
                  </w:r>
                </w:p>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2、本项目建成后按照规范设置危废暂存间，并按照《危险废物贮存污染控制标准》（GB18597-2023）等规范要求进行储存及处置等。</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FF0000"/>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1"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物料转移和输送</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1.粉状、粒状等易产尘物料厂内转移、输送过程应采用气力输送、密闭输送，块状和粘湿粉状物料采用封闭输送；</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2.无法封闭的产尘点（物料转载、下料口等）应采取集气除尘措施，或有效抑尘措施。</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本项目不涉及粉状、粒状物料的转移、输送，生产过程中产尘工序主要为切割粉尘、下料粉尘、焊接烟尘、打磨粉尘，经收集后采用除尘器进行处理</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FF0000"/>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6"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工艺过程</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1.各种物料破碎、筛分、配料、混料等过程应在封闭厂房内进行，并采取收尘/抑尘措施；</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2.破碎筛分设备在进、出料口和配料混料过程等产尘点应设置集气除尘设施。</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1、本项目生产过程均在密闭车间内进行，产尘工序均采取收尘/抑尘措施</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4"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成品包装</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1.粉状、粒状产品包装卸料口应完全封闭，如不能封闭应采取局部集气除尘措施。卸料口地面应及时清扫，地面无明显积尘；</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2.各生产工序的车间地面干净，无积料、积灰现象；</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3.生产车间不得有可见烟（粉）尘外逸。</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本项目成品包装过程无粉尘产生</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排放限值</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PM排放限值不高于10mg/m</w:t>
                  </w:r>
                  <w:r>
                    <w:rPr>
                      <w:rFonts w:hint="default" w:ascii="Times New Roman" w:hAnsi="Times New Roman" w:eastAsia="宋体" w:cs="Times New Roman"/>
                      <w:b w:val="0"/>
                      <w:bCs/>
                      <w:color w:val="auto"/>
                      <w:sz w:val="21"/>
                      <w:szCs w:val="21"/>
                      <w:shd w:val="clear" w:color="auto" w:fill="auto"/>
                      <w:vertAlign w:val="superscript"/>
                    </w:rPr>
                    <w:t>3</w:t>
                  </w:r>
                  <w:r>
                    <w:rPr>
                      <w:rFonts w:hint="default" w:ascii="Times New Roman" w:hAnsi="Times New Roman" w:eastAsia="宋体" w:cs="Times New Roman"/>
                      <w:b w:val="0"/>
                      <w:bCs/>
                      <w:color w:val="auto"/>
                      <w:sz w:val="21"/>
                      <w:szCs w:val="21"/>
                      <w:shd w:val="clear" w:color="auto" w:fill="auto"/>
                    </w:rPr>
                    <w:t>；其他污染物排放浓度达到相关污染物排放标准。</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经分析，本项目PM</w:t>
                  </w:r>
                  <w:r>
                    <w:rPr>
                      <w:rFonts w:hint="default" w:ascii="Times New Roman" w:hAnsi="Times New Roman" w:eastAsia="宋体" w:cs="Times New Roman"/>
                      <w:b w:val="0"/>
                      <w:bCs/>
                      <w:color w:val="auto"/>
                      <w:sz w:val="21"/>
                      <w:szCs w:val="21"/>
                      <w:shd w:val="clear" w:color="auto" w:fill="auto"/>
                    </w:rPr>
                    <w:t>排放限值不高于10mg/m</w:t>
                  </w:r>
                  <w:r>
                    <w:rPr>
                      <w:rFonts w:hint="default" w:ascii="Times New Roman" w:hAnsi="Times New Roman" w:eastAsia="宋体" w:cs="Times New Roman"/>
                      <w:b w:val="0"/>
                      <w:bCs/>
                      <w:color w:val="auto"/>
                      <w:sz w:val="21"/>
                      <w:szCs w:val="21"/>
                      <w:shd w:val="clear" w:color="auto" w:fill="auto"/>
                      <w:vertAlign w:val="superscript"/>
                    </w:rPr>
                    <w:t>3</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FF0000"/>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52"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无组织管控</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1.除尘器应设置密闭灰仓并及时卸灰，除尘灰应通过气力输送、罐车、吨包袋等封闭方式卸灰，不得直接卸落到地面；</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2.除尘灰如果转运应采用气力输送、封闭传送带方式，如果直接外运应采用罐车或袋装后运输，并在装车过程中采取抑尘措施，除尘灰在厂区内应密闭/封闭储存；</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3.脱硫石膏和脱硫废渣等固体废物在厂区内应封闭储存，在转运过程中应采取封闭抑尘措施并应封闭储存。</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color w:val="auto"/>
                      <w:sz w:val="21"/>
                      <w:szCs w:val="21"/>
                      <w:lang w:val="en-US" w:eastAsia="zh-CN"/>
                    </w:rPr>
                    <w:t>1、本项目除尘器</w:t>
                  </w:r>
                  <w:r>
                    <w:rPr>
                      <w:rFonts w:hint="default" w:ascii="Times New Roman" w:hAnsi="Times New Roman" w:eastAsia="宋体" w:cs="Times New Roman"/>
                      <w:b w:val="0"/>
                      <w:bCs/>
                      <w:color w:val="auto"/>
                      <w:sz w:val="21"/>
                      <w:szCs w:val="21"/>
                      <w:shd w:val="clear" w:color="auto" w:fill="auto"/>
                    </w:rPr>
                    <w:t>设置密闭灰仓并及时卸灰</w:t>
                  </w:r>
                  <w:r>
                    <w:rPr>
                      <w:rFonts w:hint="default" w:ascii="Times New Roman" w:hAnsi="Times New Roman" w:eastAsia="宋体" w:cs="Times New Roman"/>
                      <w:b w:val="0"/>
                      <w:bCs/>
                      <w:color w:val="auto"/>
                      <w:sz w:val="21"/>
                      <w:szCs w:val="21"/>
                      <w:shd w:val="clear" w:color="auto" w:fill="auto"/>
                      <w:lang w:eastAsia="zh-CN"/>
                    </w:rPr>
                    <w:t>，</w:t>
                  </w:r>
                  <w:r>
                    <w:rPr>
                      <w:rFonts w:hint="default" w:ascii="Times New Roman" w:hAnsi="Times New Roman" w:eastAsia="宋体" w:cs="Times New Roman"/>
                      <w:b w:val="0"/>
                      <w:bCs/>
                      <w:color w:val="auto"/>
                      <w:sz w:val="21"/>
                      <w:szCs w:val="21"/>
                      <w:shd w:val="clear" w:color="auto" w:fill="auto"/>
                      <w:lang w:val="en-US" w:eastAsia="zh-CN"/>
                    </w:rPr>
                    <w:t>除尘会封闭方式卸灰。</w:t>
                  </w:r>
                </w:p>
                <w:p>
                  <w:pPr>
                    <w:snapToGrid w:val="0"/>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2、本项目除尘灰主要为金属粉尘，在厂区内采取封闭储存并密封运输。</w:t>
                  </w:r>
                </w:p>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b w:val="0"/>
                      <w:bCs/>
                      <w:color w:val="auto"/>
                      <w:sz w:val="21"/>
                      <w:szCs w:val="21"/>
                      <w:shd w:val="clear" w:color="auto" w:fill="auto"/>
                      <w:lang w:val="en-US" w:eastAsia="zh-CN"/>
                    </w:rPr>
                    <w:t>3、本项目不涉及。</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9"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视频监管</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未安装自动在线监控的企业，应在主要生产设备（投料口、卸料口等位置）安装视频监控设施，相关数据保存6个月以上。</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本项目建成后主要</w:t>
                  </w:r>
                  <w:r>
                    <w:rPr>
                      <w:rFonts w:hint="default" w:ascii="Times New Roman" w:hAnsi="Times New Roman" w:eastAsia="宋体" w:cs="Times New Roman"/>
                      <w:b w:val="0"/>
                      <w:bCs/>
                      <w:color w:val="auto"/>
                      <w:sz w:val="21"/>
                      <w:szCs w:val="21"/>
                      <w:shd w:val="clear" w:color="auto" w:fill="auto"/>
                    </w:rPr>
                    <w:t>生产设备安装视频监控设施，相关数据保存6个月以上。</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FF0000"/>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厂容厂貌</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1.厂区内道路、原辅材料和燃料堆场等路面应硬化；</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2.厂区内道路采取定期清扫、洒水等措施，保持清洁，路面无明显可见积尘；</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3.其他未利用地优先绿化，或进行硬化，无成片裸露土地。</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1、厂内进行硬化，未硬化地面进行绿化。</w:t>
                  </w:r>
                </w:p>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2、厂区内定期清扫、洒水抑尘。</w:t>
                  </w:r>
                </w:p>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3、厂内进行硬化，未硬化地面进行绿化。</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FF0000"/>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4" w:hRule="atLeast"/>
                <w:jc w:val="center"/>
              </w:trPr>
              <w:tc>
                <w:tcPr>
                  <w:tcW w:w="265" w:type="pct"/>
                  <w:vMerge w:val="restar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环境管理水平</w:t>
                  </w:r>
                </w:p>
              </w:tc>
              <w:tc>
                <w:tcPr>
                  <w:tcW w:w="22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环保档案</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1.环评批复文件和竣工验收文件/现状评估文件；</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2.废气治理设施运行管理规程；</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3.一年内废气监测报告；</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4.国家版排污许可证，并按要求开展自行监测和信息披露，规范设置废气排放口标志牌、二维码标识和采样平台、采样孔。</w:t>
                  </w:r>
                </w:p>
              </w:tc>
              <w:tc>
                <w:tcPr>
                  <w:tcW w:w="1221" w:type="pct"/>
                  <w:vMerge w:val="restar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b w:val="0"/>
                      <w:bCs/>
                      <w:color w:val="auto"/>
                      <w:sz w:val="21"/>
                      <w:szCs w:val="21"/>
                      <w:shd w:val="clear" w:color="auto" w:fill="auto"/>
                    </w:rPr>
                    <w:t>项目运营后配备</w:t>
                  </w:r>
                  <w:r>
                    <w:rPr>
                      <w:rFonts w:hint="default" w:ascii="Times New Roman" w:hAnsi="Times New Roman" w:eastAsia="宋体" w:cs="Times New Roman"/>
                      <w:b w:val="0"/>
                      <w:bCs/>
                      <w:color w:val="auto"/>
                      <w:sz w:val="21"/>
                      <w:szCs w:val="21"/>
                      <w:shd w:val="clear" w:color="auto" w:fill="auto"/>
                      <w:lang w:val="en-US" w:eastAsia="zh-CN"/>
                    </w:rPr>
                    <w:t>专职</w:t>
                  </w:r>
                  <w:r>
                    <w:rPr>
                      <w:rFonts w:hint="default" w:ascii="Times New Roman" w:hAnsi="Times New Roman" w:eastAsia="宋体" w:cs="Times New Roman"/>
                      <w:b w:val="0"/>
                      <w:bCs/>
                      <w:color w:val="auto"/>
                      <w:sz w:val="21"/>
                      <w:szCs w:val="21"/>
                      <w:shd w:val="clear" w:color="auto" w:fill="auto"/>
                    </w:rPr>
                    <w:t>环保人员，负责环保档案、环境管理、危废等台账记录等</w:t>
                  </w:r>
                </w:p>
              </w:tc>
              <w:tc>
                <w:tcPr>
                  <w:tcW w:w="275" w:type="pct"/>
                  <w:vMerge w:val="restar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FF0000"/>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4" w:hRule="atLeast"/>
                <w:jc w:val="center"/>
              </w:trPr>
              <w:tc>
                <w:tcPr>
                  <w:tcW w:w="265" w:type="pct"/>
                  <w:vMerge w:val="continue"/>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p>
              </w:tc>
              <w:tc>
                <w:tcPr>
                  <w:tcW w:w="22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台账记录</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1.生产设施运行管理信息（生产时间、运行负荷、产品产量等）；</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2.废气污染治理设施运行管理信息（除尘滤料等更换量和时间）；</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3.监测记录信息（主要污染排放口废气排放记录（手工监测和在线监测）等）；</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4.主要原辅材料、燃料消耗记录；</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5.电消耗记录。</w:t>
                  </w:r>
                </w:p>
              </w:tc>
              <w:tc>
                <w:tcPr>
                  <w:tcW w:w="1221" w:type="pct"/>
                  <w:vMerge w:val="continue"/>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rPr>
                  </w:pPr>
                </w:p>
              </w:tc>
              <w:tc>
                <w:tcPr>
                  <w:tcW w:w="275" w:type="pct"/>
                  <w:vMerge w:val="continue"/>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FF0000"/>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4" w:hRule="atLeast"/>
                <w:jc w:val="center"/>
              </w:trPr>
              <w:tc>
                <w:tcPr>
                  <w:tcW w:w="265" w:type="pct"/>
                  <w:vMerge w:val="continue"/>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p>
              </w:tc>
              <w:tc>
                <w:tcPr>
                  <w:tcW w:w="22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人员配置</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配备专职环保人员，并具备相应的环境管理能力（学历、培训、从业经验等）。</w:t>
                  </w:r>
                </w:p>
              </w:tc>
              <w:tc>
                <w:tcPr>
                  <w:tcW w:w="1221" w:type="pct"/>
                  <w:vMerge w:val="continue"/>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rPr>
                  </w:pPr>
                </w:p>
              </w:tc>
              <w:tc>
                <w:tcPr>
                  <w:tcW w:w="275" w:type="pct"/>
                  <w:vMerge w:val="continue"/>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FF0000"/>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4"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运输方式</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1.物料、产品等公路运输全部使用国五及以上排放标准重型载货车辆（重型燃气车辆达到国六排放标准）或新能源车辆；</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2.厂内运输全部使用国五及以上排放标准（重型燃气车辆达到国六排放标准）或使用新能源车辆；</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3.危险品及危废运输全部使用国五及以上排放标准（重型燃气车辆达到国六排放标准）或新能源车辆；</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4.厂内非道路移动机械全部使用国三及以上排放标准或使用新能源（电动、氢能）机械。</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b w:val="0"/>
                      <w:bCs/>
                      <w:color w:val="auto"/>
                      <w:sz w:val="21"/>
                      <w:szCs w:val="21"/>
                      <w:shd w:val="clear" w:color="auto" w:fill="auto"/>
                    </w:rPr>
                    <w:t>项目</w:t>
                  </w:r>
                  <w:r>
                    <w:rPr>
                      <w:rFonts w:hint="default" w:ascii="Times New Roman" w:hAnsi="Times New Roman" w:eastAsia="宋体" w:cs="Times New Roman"/>
                      <w:b w:val="0"/>
                      <w:bCs/>
                      <w:color w:val="auto"/>
                      <w:sz w:val="21"/>
                      <w:szCs w:val="21"/>
                      <w:highlight w:val="none"/>
                      <w:shd w:val="clear" w:color="auto" w:fill="auto"/>
                      <w:lang w:val="en-US" w:eastAsia="zh-CN"/>
                    </w:rPr>
                    <w:t>建成后</w:t>
                  </w:r>
                  <w:r>
                    <w:rPr>
                      <w:rFonts w:hint="default" w:ascii="Times New Roman" w:hAnsi="Times New Roman" w:eastAsia="宋体" w:cs="Times New Roman"/>
                      <w:b w:val="0"/>
                      <w:bCs/>
                      <w:color w:val="auto"/>
                      <w:sz w:val="21"/>
                      <w:szCs w:val="21"/>
                      <w:shd w:val="clear" w:color="auto" w:fill="auto"/>
                    </w:rPr>
                    <w:t>，物料公路运输、厂区运输车辆、厂内非道路移动机械均使用满足所列车辆排放标准要求的车辆机械。</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FF0000"/>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运输监管</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日均进出货物150吨（或载货车辆日进出10辆次）及以上（货物包括原料、辅料、燃料、产品和其他与生产相关物料）的企业，参照《重污染天气重点行业移动源应急管理技术指南》建立门禁视频监控系统和电子台账；其他企业安装车辆运输视频监控（数据能保存6个月），并建立车辆运输手工台账。</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b w:val="0"/>
                      <w:bCs/>
                      <w:color w:val="auto"/>
                      <w:sz w:val="21"/>
                      <w:szCs w:val="21"/>
                      <w:highlight w:val="none"/>
                      <w:shd w:val="clear" w:color="auto" w:fill="auto"/>
                    </w:rPr>
                    <w:t>项目</w:t>
                  </w:r>
                  <w:r>
                    <w:rPr>
                      <w:rFonts w:hint="default" w:ascii="Times New Roman" w:hAnsi="Times New Roman" w:eastAsia="宋体" w:cs="Times New Roman"/>
                      <w:b w:val="0"/>
                      <w:bCs/>
                      <w:color w:val="auto"/>
                      <w:sz w:val="21"/>
                      <w:szCs w:val="21"/>
                      <w:highlight w:val="none"/>
                      <w:shd w:val="clear" w:color="auto" w:fill="auto"/>
                      <w:lang w:val="en-US" w:eastAsia="zh-CN"/>
                    </w:rPr>
                    <w:t>建成后</w:t>
                  </w:r>
                  <w:r>
                    <w:rPr>
                      <w:rFonts w:hint="default" w:ascii="Times New Roman" w:hAnsi="Times New Roman" w:eastAsia="宋体" w:cs="Times New Roman"/>
                      <w:b w:val="0"/>
                      <w:bCs/>
                      <w:color w:val="auto"/>
                      <w:sz w:val="21"/>
                      <w:szCs w:val="21"/>
                      <w:highlight w:val="none"/>
                      <w:shd w:val="clear" w:color="auto" w:fill="auto"/>
                    </w:rPr>
                    <w:t>按照《重污染天气重点行业移动源应急管理技术指南》建立门禁视频监控系统和电子台账</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FF0000"/>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bookmarkEnd w:id="1"/>
          </w:tbl>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color w:val="auto"/>
                <w:sz w:val="24"/>
                <w:szCs w:val="32"/>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与通用涉VOCs企业绩效引领性指标相符性分析</w:t>
            </w:r>
          </w:p>
          <w:tbl>
            <w:tblPr>
              <w:tblStyle w:val="17"/>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76"/>
              <w:gridCol w:w="320"/>
              <w:gridCol w:w="4267"/>
              <w:gridCol w:w="1730"/>
              <w:gridCol w:w="3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82"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lang w:val="en-US" w:eastAsia="zh-CN"/>
                    </w:rPr>
                    <w:t>引领性</w:t>
                  </w:r>
                  <w:r>
                    <w:rPr>
                      <w:rFonts w:hint="default" w:ascii="Times New Roman" w:hAnsi="Times New Roman" w:eastAsia="宋体" w:cs="Times New Roman"/>
                      <w:b w:val="0"/>
                      <w:bCs/>
                      <w:color w:val="auto"/>
                      <w:sz w:val="21"/>
                      <w:szCs w:val="21"/>
                      <w:shd w:val="clear" w:color="auto" w:fill="auto"/>
                    </w:rPr>
                    <w:t>指标</w:t>
                  </w:r>
                </w:p>
              </w:tc>
              <w:tc>
                <w:tcPr>
                  <w:tcW w:w="3012"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通用涉</w:t>
                  </w:r>
                  <w:r>
                    <w:rPr>
                      <w:rFonts w:hint="default" w:ascii="Times New Roman" w:hAnsi="Times New Roman" w:eastAsia="宋体" w:cs="Times New Roman"/>
                      <w:b w:val="0"/>
                      <w:bCs w:val="0"/>
                      <w:color w:val="auto"/>
                      <w:sz w:val="21"/>
                      <w:szCs w:val="21"/>
                      <w:vertAlign w:val="baseline"/>
                      <w:lang w:val="en-US" w:eastAsia="zh-CN"/>
                    </w:rPr>
                    <w:t>VOCs</w:t>
                  </w:r>
                  <w:r>
                    <w:rPr>
                      <w:rFonts w:hint="default" w:ascii="Times New Roman" w:hAnsi="Times New Roman" w:eastAsia="宋体" w:cs="Times New Roman"/>
                      <w:b w:val="0"/>
                      <w:bCs/>
                      <w:color w:val="auto"/>
                      <w:sz w:val="21"/>
                      <w:szCs w:val="21"/>
                      <w:shd w:val="clear" w:color="auto" w:fill="auto"/>
                      <w:lang w:val="en-US" w:eastAsia="zh-CN"/>
                    </w:rPr>
                    <w:t>企业</w:t>
                  </w:r>
                </w:p>
              </w:tc>
              <w:tc>
                <w:tcPr>
                  <w:tcW w:w="1221"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本项目控制措施</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符合性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9"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生产工工艺和装备</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不属于《产业结构调整指导目录（2024年版）》淘汰类，不属于省级和市级政府部门明确列入已经限期淘汰类项目。</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lang w:eastAsia="zh-CN"/>
                    </w:rPr>
                  </w:pPr>
                  <w:r>
                    <w:rPr>
                      <w:rFonts w:hint="default" w:ascii="Times New Roman" w:hAnsi="Times New Roman" w:eastAsia="宋体" w:cs="Times New Roman"/>
                      <w:b w:val="0"/>
                      <w:bCs/>
                      <w:color w:val="auto"/>
                      <w:sz w:val="21"/>
                      <w:szCs w:val="21"/>
                      <w:shd w:val="clear" w:color="auto" w:fill="auto"/>
                      <w:lang w:eastAsia="zh-CN"/>
                    </w:rPr>
                    <w:t>经查阅《产业结构调整指导目录（2024年本）》，本项目不属于限制类、鼓励类、禁止类，为允许类项目。</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9"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物料储存</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1.涂料、稀释剂、清洗剂等原辅材料密闭存储；</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2.盛装过VOCs物料的包装容器、含VOCs废料（渣、液）、废吸附剂等通过加盖、封装等方式密闭储存；</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3.生产车间内涉VOCs物料应密闭储存。</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1、本项目涉VOCs原料均密封桶装储存，并存放于密闭生产车间内。</w:t>
                  </w:r>
                </w:p>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2、废包装容器均密封加盖储存于危废间内。</w:t>
                  </w:r>
                </w:p>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3、本项目涉VOCs原料均密封桶装储存，并存放于密闭生产车间内。</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1"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物料转移和输送</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涉VOCs物料采用密闭管道或密闭容器等输送。</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本项目涉VOCs物料采用密闭输送</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6"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工艺过程</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1.原辅材料调配、使用（施胶、喷涂、干燥等）、回收等过程采用密闭设备或在密闭空间内操作；</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2.涉VOCs原料装卸、储存、转移和输送、工艺过程等环节的废气全部收集引至VOCs处理系统。</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1、本项目生产过程涉VOCs采用密闭设备内操作。</w:t>
                  </w:r>
                </w:p>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w:t>
                  </w:r>
                  <w:r>
                    <w:rPr>
                      <w:rFonts w:hint="default" w:ascii="Times New Roman" w:hAnsi="Times New Roman" w:eastAsia="宋体" w:cs="Times New Roman"/>
                      <w:b w:val="0"/>
                      <w:bCs/>
                      <w:color w:val="auto"/>
                      <w:sz w:val="21"/>
                      <w:szCs w:val="21"/>
                      <w:shd w:val="clear" w:color="auto" w:fill="auto"/>
                    </w:rPr>
                    <w:t>涉VOCs</w:t>
                  </w:r>
                  <w:r>
                    <w:rPr>
                      <w:rFonts w:hint="default" w:ascii="Times New Roman" w:hAnsi="Times New Roman" w:eastAsia="宋体" w:cs="Times New Roman"/>
                      <w:b w:val="0"/>
                      <w:bCs/>
                      <w:color w:val="auto"/>
                      <w:sz w:val="21"/>
                      <w:szCs w:val="21"/>
                      <w:shd w:val="clear" w:color="auto" w:fill="auto"/>
                      <w:lang w:val="en-US" w:eastAsia="zh-CN"/>
                    </w:rPr>
                    <w:t>生产过程产生的废气全部收集后进入废气处理系统处理</w:t>
                  </w:r>
                  <w:r>
                    <w:rPr>
                      <w:rFonts w:hint="default" w:ascii="Times New Roman" w:hAnsi="Times New Roman" w:eastAsia="宋体" w:cs="Times New Roman"/>
                      <w:color w:val="auto"/>
                      <w:sz w:val="21"/>
                      <w:szCs w:val="21"/>
                      <w:lang w:val="en-US" w:eastAsia="zh-CN"/>
                    </w:rPr>
                    <w:t>。</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5"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排放限值</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NMHC排放限值不高于30mg/m</w:t>
                  </w:r>
                  <w:r>
                    <w:rPr>
                      <w:rFonts w:hint="default" w:ascii="Times New Roman" w:hAnsi="Times New Roman" w:eastAsia="宋体" w:cs="Times New Roman"/>
                      <w:b w:val="0"/>
                      <w:bCs/>
                      <w:color w:val="auto"/>
                      <w:sz w:val="21"/>
                      <w:szCs w:val="21"/>
                      <w:shd w:val="clear" w:color="auto" w:fill="auto"/>
                      <w:vertAlign w:val="superscript"/>
                    </w:rPr>
                    <w:t>3</w:t>
                  </w:r>
                  <w:r>
                    <w:rPr>
                      <w:rFonts w:hint="default" w:ascii="Times New Roman" w:hAnsi="Times New Roman" w:eastAsia="宋体" w:cs="Times New Roman"/>
                      <w:b w:val="0"/>
                      <w:bCs/>
                      <w:color w:val="auto"/>
                      <w:sz w:val="21"/>
                      <w:szCs w:val="21"/>
                      <w:shd w:val="clear" w:color="auto" w:fill="auto"/>
                    </w:rPr>
                    <w:t>；其他污染物排放浓度达到相关污染物排放标准。</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经分析，本项目</w:t>
                  </w:r>
                  <w:r>
                    <w:rPr>
                      <w:rFonts w:hint="default" w:ascii="Times New Roman" w:hAnsi="Times New Roman" w:eastAsia="宋体" w:cs="Times New Roman"/>
                      <w:b w:val="0"/>
                      <w:bCs/>
                      <w:color w:val="auto"/>
                      <w:sz w:val="21"/>
                      <w:szCs w:val="21"/>
                      <w:shd w:val="clear" w:color="auto" w:fill="auto"/>
                    </w:rPr>
                    <w:t>NMHC排放限值不高于30mg/m</w:t>
                  </w:r>
                  <w:r>
                    <w:rPr>
                      <w:rFonts w:hint="default" w:ascii="Times New Roman" w:hAnsi="Times New Roman" w:eastAsia="宋体" w:cs="Times New Roman"/>
                      <w:b w:val="0"/>
                      <w:bCs/>
                      <w:color w:val="auto"/>
                      <w:sz w:val="21"/>
                      <w:szCs w:val="21"/>
                      <w:shd w:val="clear" w:color="auto" w:fill="auto"/>
                      <w:vertAlign w:val="superscript"/>
                    </w:rPr>
                    <w:t>3</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9"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监测监控水平</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1.有组织排放口按排污许可、环境影响评价或环境现状评估等要求安装烟气排放自动监控设施（CEMS），并按要求与省厅联网；重点排污单位风量大于10000m</w:t>
                  </w:r>
                  <w:r>
                    <w:rPr>
                      <w:rFonts w:hint="default" w:ascii="Times New Roman" w:hAnsi="Times New Roman" w:eastAsia="宋体" w:cs="Times New Roman"/>
                      <w:b w:val="0"/>
                      <w:bCs/>
                      <w:color w:val="auto"/>
                      <w:sz w:val="21"/>
                      <w:szCs w:val="21"/>
                      <w:shd w:val="clear" w:color="auto" w:fill="auto"/>
                      <w:vertAlign w:val="superscript"/>
                    </w:rPr>
                    <w:t>3</w:t>
                  </w:r>
                  <w:r>
                    <w:rPr>
                      <w:rFonts w:hint="default" w:ascii="Times New Roman" w:hAnsi="Times New Roman" w:eastAsia="宋体" w:cs="Times New Roman"/>
                      <w:b w:val="0"/>
                      <w:bCs/>
                      <w:color w:val="auto"/>
                      <w:sz w:val="21"/>
                      <w:szCs w:val="21"/>
                      <w:shd w:val="clear" w:color="auto" w:fill="auto"/>
                    </w:rPr>
                    <w:t>/h的主要排放口安装NMHC在线监测设施（FID检测器）并按要求与省厅联网；其他企业NMHC初始排放速率大于2kg/h且排放口风量大于20000m</w:t>
                  </w:r>
                  <w:r>
                    <w:rPr>
                      <w:rFonts w:hint="default" w:ascii="Times New Roman" w:hAnsi="Times New Roman" w:eastAsia="宋体" w:cs="Times New Roman"/>
                      <w:b w:val="0"/>
                      <w:bCs/>
                      <w:color w:val="auto"/>
                      <w:sz w:val="21"/>
                      <w:szCs w:val="21"/>
                      <w:shd w:val="clear" w:color="auto" w:fill="auto"/>
                      <w:vertAlign w:val="superscript"/>
                    </w:rPr>
                    <w:t>3</w:t>
                  </w:r>
                  <w:r>
                    <w:rPr>
                      <w:rFonts w:hint="default" w:ascii="Times New Roman" w:hAnsi="Times New Roman" w:eastAsia="宋体" w:cs="Times New Roman"/>
                      <w:b w:val="0"/>
                      <w:bCs/>
                      <w:color w:val="auto"/>
                      <w:sz w:val="21"/>
                      <w:szCs w:val="21"/>
                      <w:shd w:val="clear" w:color="auto" w:fill="auto"/>
                    </w:rPr>
                    <w:t>/h的废气排放口安装NMHC在线监测设施（FID检测器），并按要求与省厅联网；在线监测数据至少保存最近12个月的1分钟均值、36个月的1小时均值及60个月的日均值和月均值。（投产或安装时间不满一年以上的企业，以现有数据为准）；</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2.按生态环境部门要求规范设置废气排放口标志牌、二维码标识和采样平台、采样孔；各废气排放口按照排污许可要求开展自行监测；</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3.未安装自动在线监控的企业，应在主要生产设备（投料口、卸料口等位置）安装视频监控设施，相关数据保存6个月以上。</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1、本项目不属于重点排污单位，无主要排放口，且涉VOCs工序风量低于10000</w:t>
                  </w:r>
                  <w:r>
                    <w:rPr>
                      <w:rFonts w:hint="default" w:ascii="Times New Roman" w:hAnsi="Times New Roman" w:eastAsia="宋体" w:cs="Times New Roman"/>
                      <w:b w:val="0"/>
                      <w:bCs/>
                      <w:color w:val="auto"/>
                      <w:sz w:val="21"/>
                      <w:szCs w:val="21"/>
                      <w:shd w:val="clear" w:color="auto" w:fill="auto"/>
                    </w:rPr>
                    <w:t>m</w:t>
                  </w:r>
                  <w:r>
                    <w:rPr>
                      <w:rFonts w:hint="default" w:ascii="Times New Roman" w:hAnsi="Times New Roman" w:eastAsia="宋体" w:cs="Times New Roman"/>
                      <w:b w:val="0"/>
                      <w:bCs/>
                      <w:color w:val="auto"/>
                      <w:sz w:val="21"/>
                      <w:szCs w:val="21"/>
                      <w:shd w:val="clear" w:color="auto" w:fill="auto"/>
                      <w:vertAlign w:val="superscript"/>
                    </w:rPr>
                    <w:t>3</w:t>
                  </w:r>
                  <w:r>
                    <w:rPr>
                      <w:rFonts w:hint="default" w:ascii="Times New Roman" w:hAnsi="Times New Roman" w:eastAsia="宋体" w:cs="Times New Roman"/>
                      <w:b w:val="0"/>
                      <w:bCs/>
                      <w:color w:val="auto"/>
                      <w:sz w:val="21"/>
                      <w:szCs w:val="21"/>
                      <w:shd w:val="clear" w:color="auto" w:fill="auto"/>
                    </w:rPr>
                    <w:t>/h</w:t>
                  </w:r>
                  <w:r>
                    <w:rPr>
                      <w:rFonts w:hint="default" w:ascii="Times New Roman" w:hAnsi="Times New Roman" w:eastAsia="宋体" w:cs="Times New Roman"/>
                      <w:b w:val="0"/>
                      <w:bCs/>
                      <w:color w:val="auto"/>
                      <w:sz w:val="21"/>
                      <w:szCs w:val="21"/>
                      <w:shd w:val="clear" w:color="auto" w:fill="auto"/>
                      <w:lang w:eastAsia="zh-CN"/>
                    </w:rPr>
                    <w:t>。</w:t>
                  </w:r>
                </w:p>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2、本项目建设后，按照规范要求进行规范设置废气排放量标识牌等要求，并按要求开展自行监测。</w:t>
                  </w:r>
                </w:p>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3、本项目建成后主要</w:t>
                  </w:r>
                  <w:r>
                    <w:rPr>
                      <w:rFonts w:hint="default" w:ascii="Times New Roman" w:hAnsi="Times New Roman" w:eastAsia="宋体" w:cs="Times New Roman"/>
                      <w:b w:val="0"/>
                      <w:bCs/>
                      <w:color w:val="auto"/>
                      <w:sz w:val="21"/>
                      <w:szCs w:val="21"/>
                      <w:shd w:val="clear" w:color="auto" w:fill="auto"/>
                    </w:rPr>
                    <w:t>生产设备安装视频监控设施，相关数据保存6个月以上。</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11"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厂容厂貌</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1.厂区内道路、原辅材料和燃料堆场等路面应硬化；</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2.厂区内道路采取定期清扫、洒水等措施，保持清洁，路面无明显可见积尘；</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3.其他未利用地优先绿化，或进行硬化，无成片裸露土地。</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1、厂内进行硬化，未硬化地面进行绿化。</w:t>
                  </w:r>
                </w:p>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2、厂区内定期清扫、洒水抑尘。</w:t>
                  </w:r>
                </w:p>
                <w:p>
                  <w:pPr>
                    <w:snapToGrid w:val="0"/>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3、厂内进行硬化，未硬化地面进行绿化。</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4" w:hRule="atLeast"/>
                <w:jc w:val="center"/>
              </w:trPr>
              <w:tc>
                <w:tcPr>
                  <w:tcW w:w="265" w:type="pct"/>
                  <w:vMerge w:val="restar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环境管理水平</w:t>
                  </w:r>
                </w:p>
              </w:tc>
              <w:tc>
                <w:tcPr>
                  <w:tcW w:w="22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环保档案</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1.环评批复文件和竣工验收文件/现状评估文件；</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2.废气治理设施运行管理规程；</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3.一年内废气监测报告；</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4.国家版排污许可证，并按要求开展自行监测和信息披露，规范设置废气排放口标志牌、二维码标识和采样平台、采样孔。</w:t>
                  </w:r>
                </w:p>
              </w:tc>
              <w:tc>
                <w:tcPr>
                  <w:tcW w:w="1221" w:type="pct"/>
                  <w:vMerge w:val="restar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b w:val="0"/>
                      <w:bCs/>
                      <w:color w:val="auto"/>
                      <w:sz w:val="21"/>
                      <w:szCs w:val="21"/>
                      <w:shd w:val="clear" w:color="auto" w:fill="auto"/>
                    </w:rPr>
                    <w:t>项目运营后配备</w:t>
                  </w:r>
                  <w:r>
                    <w:rPr>
                      <w:rFonts w:hint="default" w:ascii="Times New Roman" w:hAnsi="Times New Roman" w:eastAsia="宋体" w:cs="Times New Roman"/>
                      <w:b w:val="0"/>
                      <w:bCs/>
                      <w:color w:val="auto"/>
                      <w:sz w:val="21"/>
                      <w:szCs w:val="21"/>
                      <w:shd w:val="clear" w:color="auto" w:fill="auto"/>
                      <w:lang w:val="en-US" w:eastAsia="zh-CN"/>
                    </w:rPr>
                    <w:t>专职</w:t>
                  </w:r>
                  <w:r>
                    <w:rPr>
                      <w:rFonts w:hint="default" w:ascii="Times New Roman" w:hAnsi="Times New Roman" w:eastAsia="宋体" w:cs="Times New Roman"/>
                      <w:b w:val="0"/>
                      <w:bCs/>
                      <w:color w:val="auto"/>
                      <w:sz w:val="21"/>
                      <w:szCs w:val="21"/>
                      <w:shd w:val="clear" w:color="auto" w:fill="auto"/>
                    </w:rPr>
                    <w:t>环保人员，负责环保档案、环境管理、危废等台账记录等</w:t>
                  </w:r>
                </w:p>
              </w:tc>
              <w:tc>
                <w:tcPr>
                  <w:tcW w:w="275" w:type="pct"/>
                  <w:vMerge w:val="restar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4" w:hRule="atLeast"/>
                <w:jc w:val="center"/>
              </w:trPr>
              <w:tc>
                <w:tcPr>
                  <w:tcW w:w="265" w:type="pct"/>
                  <w:vMerge w:val="continue"/>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p>
              </w:tc>
              <w:tc>
                <w:tcPr>
                  <w:tcW w:w="22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台账记录</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1.生产设施运行管理信息（生产时间、运行负荷、产品产量等）；</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2.废气污染治理设施运行管理信息（除尘滤料等更换量和时间）；</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3.监测记录信息（主要污染排放口废气排放记录（手工监测和在线监测）等）；</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4.主要原辅材料、燃料消耗记录；</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5.电消耗记录。</w:t>
                  </w:r>
                </w:p>
              </w:tc>
              <w:tc>
                <w:tcPr>
                  <w:tcW w:w="1221" w:type="pct"/>
                  <w:vMerge w:val="continue"/>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rPr>
                  </w:pPr>
                </w:p>
              </w:tc>
              <w:tc>
                <w:tcPr>
                  <w:tcW w:w="275" w:type="pct"/>
                  <w:vMerge w:val="continue"/>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4" w:hRule="atLeast"/>
                <w:jc w:val="center"/>
              </w:trPr>
              <w:tc>
                <w:tcPr>
                  <w:tcW w:w="265" w:type="pct"/>
                  <w:vMerge w:val="continue"/>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p>
              </w:tc>
              <w:tc>
                <w:tcPr>
                  <w:tcW w:w="22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人员配置</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配备专职环保人员，并具备相应的环境管理能力（学历、培训、从业经验等）。</w:t>
                  </w:r>
                </w:p>
              </w:tc>
              <w:tc>
                <w:tcPr>
                  <w:tcW w:w="1221" w:type="pct"/>
                  <w:vMerge w:val="continue"/>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rPr>
                  </w:pPr>
                </w:p>
              </w:tc>
              <w:tc>
                <w:tcPr>
                  <w:tcW w:w="275" w:type="pct"/>
                  <w:vMerge w:val="continue"/>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4"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运输方式</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1.物料、产品等公路运输全部使用国五及以上排放标准重型载货车辆（重型燃气车辆达到国六排放标准）或新能源车辆；</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2.厂内运输全部使用国五及以上排放标准（重型燃气车辆达到国六排放标准）或使用新能源车辆；</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3.危险品及危废运输全部使用国五及以上排放标准（重型燃气车辆达到国六排放标准）或新能源车辆；</w:t>
                  </w:r>
                </w:p>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4.厂内非道路移动机械全部使用国三及以上排放标准或使用新能源（电动、氢能）机械。</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b w:val="0"/>
                      <w:bCs/>
                      <w:color w:val="auto"/>
                      <w:sz w:val="21"/>
                      <w:szCs w:val="21"/>
                      <w:shd w:val="clear" w:color="auto" w:fill="auto"/>
                    </w:rPr>
                    <w:t>项目</w:t>
                  </w:r>
                  <w:r>
                    <w:rPr>
                      <w:rFonts w:hint="default" w:ascii="Times New Roman" w:hAnsi="Times New Roman" w:eastAsia="宋体" w:cs="Times New Roman"/>
                      <w:b w:val="0"/>
                      <w:bCs/>
                      <w:color w:val="auto"/>
                      <w:sz w:val="21"/>
                      <w:szCs w:val="21"/>
                      <w:highlight w:val="none"/>
                      <w:shd w:val="clear" w:color="auto" w:fill="auto"/>
                      <w:lang w:val="en-US" w:eastAsia="zh-CN"/>
                    </w:rPr>
                    <w:t>建成后</w:t>
                  </w:r>
                  <w:r>
                    <w:rPr>
                      <w:rFonts w:hint="default" w:ascii="Times New Roman" w:hAnsi="Times New Roman" w:eastAsia="宋体" w:cs="Times New Roman"/>
                      <w:b w:val="0"/>
                      <w:bCs/>
                      <w:color w:val="auto"/>
                      <w:sz w:val="21"/>
                      <w:szCs w:val="21"/>
                      <w:shd w:val="clear" w:color="auto" w:fill="auto"/>
                    </w:rPr>
                    <w:t>，物料公路运输、厂区运输车辆、厂内非道路移动机械均使用满足所列车辆排放标准要求的车辆机械。</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 w:hRule="atLeast"/>
                <w:jc w:val="center"/>
              </w:trPr>
              <w:tc>
                <w:tcPr>
                  <w:tcW w:w="491" w:type="pct"/>
                  <w:gridSpan w:val="2"/>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lang w:val="en-US" w:eastAsia="zh-CN"/>
                    </w:rPr>
                  </w:pPr>
                  <w:r>
                    <w:rPr>
                      <w:rFonts w:hint="default" w:ascii="Times New Roman" w:hAnsi="Times New Roman" w:eastAsia="宋体" w:cs="Times New Roman"/>
                      <w:b w:val="0"/>
                      <w:bCs/>
                      <w:color w:val="auto"/>
                      <w:sz w:val="21"/>
                      <w:szCs w:val="21"/>
                      <w:shd w:val="clear" w:color="auto" w:fill="auto"/>
                      <w:lang w:val="en-US" w:eastAsia="zh-CN"/>
                    </w:rPr>
                    <w:t>运输监管</w:t>
                  </w:r>
                </w:p>
              </w:tc>
              <w:tc>
                <w:tcPr>
                  <w:tcW w:w="3012"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日均进出货物150吨（或载货车辆日进出10辆次）及以上（货物包括原料、辅料、燃料、产品和其他与生产相关物料）的企业，参照《重污染天气重点行业移动源应急管理技术指南》建立门禁视频监控系统和电子台账；其他企业安装车辆运输视频监控（数据能保存6个月），并建立车辆运输手工台账。</w:t>
                  </w:r>
                </w:p>
              </w:tc>
              <w:tc>
                <w:tcPr>
                  <w:tcW w:w="1221" w:type="pct"/>
                  <w:tcBorders>
                    <w:tl2br w:val="nil"/>
                    <w:tr2bl w:val="nil"/>
                  </w:tcBorders>
                  <w:tcMar>
                    <w:top w:w="0" w:type="dxa"/>
                    <w:left w:w="0" w:type="dxa"/>
                    <w:bottom w:w="0" w:type="dxa"/>
                    <w:right w:w="0" w:type="dxa"/>
                  </w:tcMar>
                  <w:vAlign w:val="center"/>
                </w:tcPr>
                <w:p>
                  <w:pPr>
                    <w:snapToGrid w:val="0"/>
                    <w:rPr>
                      <w:rFonts w:hint="default" w:ascii="Times New Roman" w:hAnsi="Times New Roman" w:eastAsia="宋体" w:cs="Times New Roman"/>
                      <w:color w:val="auto"/>
                      <w:sz w:val="21"/>
                      <w:szCs w:val="21"/>
                    </w:rPr>
                  </w:pPr>
                  <w:r>
                    <w:rPr>
                      <w:rFonts w:hint="default" w:ascii="Times New Roman" w:hAnsi="Times New Roman" w:eastAsia="宋体" w:cs="Times New Roman"/>
                      <w:b w:val="0"/>
                      <w:bCs/>
                      <w:color w:val="auto"/>
                      <w:sz w:val="21"/>
                      <w:szCs w:val="21"/>
                      <w:highlight w:val="none"/>
                      <w:shd w:val="clear" w:color="auto" w:fill="auto"/>
                    </w:rPr>
                    <w:t>项目</w:t>
                  </w:r>
                  <w:r>
                    <w:rPr>
                      <w:rFonts w:hint="default" w:ascii="Times New Roman" w:hAnsi="Times New Roman" w:eastAsia="宋体" w:cs="Times New Roman"/>
                      <w:b w:val="0"/>
                      <w:bCs/>
                      <w:color w:val="auto"/>
                      <w:sz w:val="21"/>
                      <w:szCs w:val="21"/>
                      <w:highlight w:val="none"/>
                      <w:shd w:val="clear" w:color="auto" w:fill="auto"/>
                      <w:lang w:val="en-US" w:eastAsia="zh-CN"/>
                    </w:rPr>
                    <w:t>建成后</w:t>
                  </w:r>
                  <w:r>
                    <w:rPr>
                      <w:rFonts w:hint="default" w:ascii="Times New Roman" w:hAnsi="Times New Roman" w:eastAsia="宋体" w:cs="Times New Roman"/>
                      <w:b w:val="0"/>
                      <w:bCs/>
                      <w:color w:val="auto"/>
                      <w:sz w:val="21"/>
                      <w:szCs w:val="21"/>
                      <w:highlight w:val="none"/>
                      <w:shd w:val="clear" w:color="auto" w:fill="auto"/>
                    </w:rPr>
                    <w:t>按照《重污染天气重点行业移动源应急管理技术指南》建立门禁视频监控系统和电子台账</w:t>
                  </w:r>
                </w:p>
              </w:tc>
              <w:tc>
                <w:tcPr>
                  <w:tcW w:w="275" w:type="pct"/>
                  <w:tcBorders>
                    <w:tl2br w:val="nil"/>
                    <w:tr2bl w:val="nil"/>
                  </w:tcBorders>
                  <w:tcMar>
                    <w:top w:w="0" w:type="dxa"/>
                    <w:left w:w="0" w:type="dxa"/>
                    <w:bottom w:w="0" w:type="dxa"/>
                    <w:right w:w="0" w:type="dxa"/>
                  </w:tcMar>
                  <w:vAlign w:val="center"/>
                </w:tcPr>
                <w:p>
                  <w:pPr>
                    <w:snapToGrid w:val="0"/>
                    <w:jc w:val="center"/>
                    <w:rPr>
                      <w:rFonts w:hint="default" w:ascii="Times New Roman" w:hAnsi="Times New Roman" w:eastAsia="宋体" w:cs="Times New Roman"/>
                      <w:b w:val="0"/>
                      <w:bCs/>
                      <w:color w:val="auto"/>
                      <w:sz w:val="21"/>
                      <w:szCs w:val="21"/>
                      <w:shd w:val="clear" w:color="auto" w:fill="auto"/>
                    </w:rPr>
                  </w:pPr>
                  <w:r>
                    <w:rPr>
                      <w:rFonts w:hint="default" w:ascii="Times New Roman" w:hAnsi="Times New Roman" w:eastAsia="宋体" w:cs="Times New Roman"/>
                      <w:b w:val="0"/>
                      <w:bCs/>
                      <w:color w:val="auto"/>
                      <w:sz w:val="21"/>
                      <w:szCs w:val="21"/>
                      <w:shd w:val="clear" w:color="auto" w:fill="auto"/>
                    </w:rPr>
                    <w:t>相符</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6、与项目备案证明相符性分析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项目建设内容与项目备案内容相符性分析见下表。</w:t>
            </w:r>
          </w:p>
          <w:p>
            <w:pPr>
              <w:keepNext w:val="0"/>
              <w:keepLines w:val="0"/>
              <w:pageBreakBefore w:val="0"/>
              <w:widowControl w:val="0"/>
              <w:numPr>
                <w:ilvl w:val="0"/>
                <w:numId w:val="2"/>
              </w:numPr>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本项目建设内容与备案相符性分析情况表</w:t>
            </w:r>
          </w:p>
          <w:tbl>
            <w:tblPr>
              <w:tblStyle w:val="16"/>
              <w:tblW w:w="68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03"/>
              <w:gridCol w:w="2598"/>
              <w:gridCol w:w="2536"/>
              <w:gridCol w:w="8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3"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w:t>
                  </w:r>
                </w:p>
              </w:tc>
              <w:tc>
                <w:tcPr>
                  <w:tcW w:w="259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项目备案内容</w:t>
                  </w:r>
                </w:p>
              </w:tc>
              <w:tc>
                <w:tcPr>
                  <w:tcW w:w="253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实际建设内容</w:t>
                  </w:r>
                </w:p>
              </w:tc>
              <w:tc>
                <w:tcPr>
                  <w:tcW w:w="84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3"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项目名称</w:t>
                  </w:r>
                </w:p>
              </w:tc>
              <w:tc>
                <w:tcPr>
                  <w:tcW w:w="259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国胜机械内燃机滤芯及钻采配件项目</w:t>
                  </w:r>
                </w:p>
              </w:tc>
              <w:tc>
                <w:tcPr>
                  <w:tcW w:w="253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国胜机械内燃机滤芯及钻采配件项目</w:t>
                  </w:r>
                </w:p>
              </w:tc>
              <w:tc>
                <w:tcPr>
                  <w:tcW w:w="84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3"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建设单位</w:t>
                  </w:r>
                </w:p>
              </w:tc>
              <w:tc>
                <w:tcPr>
                  <w:tcW w:w="259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濮阳市国胜机械加工有限公司</w:t>
                  </w:r>
                </w:p>
              </w:tc>
              <w:tc>
                <w:tcPr>
                  <w:tcW w:w="253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濮阳市国胜机械加工有限公司</w:t>
                  </w:r>
                </w:p>
              </w:tc>
              <w:tc>
                <w:tcPr>
                  <w:tcW w:w="84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3"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建设地点</w:t>
                  </w:r>
                </w:p>
              </w:tc>
              <w:tc>
                <w:tcPr>
                  <w:tcW w:w="259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濮阳市华龙区惠寨路西、高阳大道北</w:t>
                  </w:r>
                </w:p>
              </w:tc>
              <w:tc>
                <w:tcPr>
                  <w:tcW w:w="253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濮阳市华龙区惠寨路西、高阳大道北</w:t>
                  </w:r>
                </w:p>
              </w:tc>
              <w:tc>
                <w:tcPr>
                  <w:tcW w:w="84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3"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建设规模</w:t>
                  </w:r>
                </w:p>
              </w:tc>
              <w:tc>
                <w:tcPr>
                  <w:tcW w:w="259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年产内燃机滤芯50万只、石油钻采配件10万件</w:t>
                  </w:r>
                </w:p>
              </w:tc>
              <w:tc>
                <w:tcPr>
                  <w:tcW w:w="253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年产内燃机滤芯50万只、石油钻采配件10万件</w:t>
                  </w:r>
                </w:p>
              </w:tc>
              <w:tc>
                <w:tcPr>
                  <w:tcW w:w="84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相符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3"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生产工艺</w:t>
                  </w:r>
                </w:p>
              </w:tc>
              <w:tc>
                <w:tcPr>
                  <w:tcW w:w="259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内燃机滤芯：滤纸切割、粘接、滤网切割、点焊、端盖成型、组装、烘干、检验、入库；</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石油钻采设备及配件：原材料、下料、锻打、（粗）车削、热处理、精车、钻（铣、镗）、焊接、渗碳、打磨（抛丸）、表面处理、包装；</w:t>
                  </w:r>
                </w:p>
              </w:tc>
              <w:tc>
                <w:tcPr>
                  <w:tcW w:w="253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内燃机滤芯：滤纸切割、粘接、滤网切割、点焊、端盖成型、组装、烘干、检验、入库；</w:t>
                  </w:r>
                </w:p>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石油钻采设备及配件：原材料、下料、锻打、（粗）车削、热处理、精车、钻（铣、镗）、焊接、渗碳、打磨（抛丸）、包装；</w:t>
                  </w:r>
                </w:p>
              </w:tc>
              <w:tc>
                <w:tcPr>
                  <w:tcW w:w="84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基本相符（表面处理不再建设）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03"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主要设备</w:t>
                  </w:r>
                </w:p>
              </w:tc>
              <w:tc>
                <w:tcPr>
                  <w:tcW w:w="259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数控加工中心、数控车床、抛丸机、磨床、锯床等</w:t>
                  </w:r>
                </w:p>
              </w:tc>
              <w:tc>
                <w:tcPr>
                  <w:tcW w:w="253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数控加工中心、数控车床、抛丸机、磨床、锯床等</w:t>
                  </w:r>
                </w:p>
              </w:tc>
              <w:tc>
                <w:tcPr>
                  <w:tcW w:w="84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相符</w:t>
                  </w:r>
                </w:p>
              </w:tc>
            </w:tr>
          </w:tbl>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p>
        </w:tc>
      </w:tr>
    </w:tbl>
    <w:p>
      <w:pPr>
        <w:jc w:val="center"/>
        <w:rPr>
          <w:rFonts w:hint="default" w:ascii="Times New Roman" w:hAnsi="Times New Roman" w:eastAsia="宋体" w:cs="Times New Roman"/>
          <w:color w:val="000000" w:themeColor="text1"/>
          <w:sz w:val="28"/>
          <w:szCs w:val="36"/>
          <w:lang w:val="en-US" w:eastAsia="zh-CN"/>
          <w14:textFill>
            <w14:solidFill>
              <w14:schemeClr w14:val="tx1"/>
            </w14:solidFill>
          </w14:textFill>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b/>
          <w:bCs/>
          <w:color w:val="000000" w:themeColor="text1"/>
          <w:sz w:val="28"/>
          <w:szCs w:val="36"/>
          <w:lang w:val="en-US" w:eastAsia="zh-CN"/>
          <w14:textFill>
            <w14:solidFill>
              <w14:schemeClr w14:val="tx1"/>
            </w14:solidFill>
          </w14:textFill>
        </w:rPr>
      </w:pPr>
      <w:r>
        <w:rPr>
          <w:rFonts w:hint="default" w:ascii="Times New Roman" w:hAnsi="Times New Roman" w:eastAsia="宋体" w:cs="Times New Roman"/>
          <w:b/>
          <w:bCs/>
          <w:color w:val="000000" w:themeColor="text1"/>
          <w:sz w:val="28"/>
          <w:szCs w:val="36"/>
          <w:lang w:val="en-US" w:eastAsia="zh-CN"/>
          <w14:textFill>
            <w14:solidFill>
              <w14:schemeClr w14:val="tx1"/>
            </w14:solidFill>
          </w14:textFill>
        </w:rPr>
        <w:t>二、建设项目工程分析</w:t>
      </w:r>
    </w:p>
    <w:tbl>
      <w:tblPr>
        <w:tblStyle w:val="1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7"/>
        <w:gridCol w:w="78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65" w:hRule="atLeast"/>
        </w:trPr>
        <w:tc>
          <w:tcPr>
            <w:tcW w:w="637" w:type="dxa"/>
            <w:vAlign w:val="center"/>
          </w:tcPr>
          <w:p>
            <w:pPr>
              <w:pStyle w:val="15"/>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建设内容</w:t>
            </w:r>
          </w:p>
        </w:tc>
        <w:tc>
          <w:tcPr>
            <w:tcW w:w="7885" w:type="dxa"/>
            <w:vAlign w:val="top"/>
          </w:tcPr>
          <w:p>
            <w:pPr>
              <w:pStyle w:val="1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1、项目概况</w:t>
            </w:r>
          </w:p>
          <w:p>
            <w:pPr>
              <w:widowControl/>
              <w:snapToGrid w:val="0"/>
              <w:spacing w:line="360" w:lineRule="auto"/>
              <w:ind w:firstLine="482"/>
              <w:jc w:val="left"/>
              <w:textAlignment w:val="top"/>
              <w:rPr>
                <w:rFonts w:hint="default" w:ascii="Times New Roman" w:hAnsi="Times New Roman" w:eastAsia="宋体" w:cs="Times New Roman"/>
                <w:b w:val="0"/>
                <w:bCs w:val="0"/>
                <w:color w:val="000000" w:themeColor="text1"/>
                <w:sz w:val="24"/>
                <w:u w:val="none"/>
                <w:vertAlign w:val="baseline"/>
                <w:lang w:val="en-US" w:eastAsia="zh-CN"/>
                <w14:textFill>
                  <w14:solidFill>
                    <w14:schemeClr w14:val="tx1"/>
                  </w14:solidFill>
                </w14:textFill>
              </w:rPr>
            </w:pPr>
            <w:bookmarkStart w:id="2" w:name="OLE_LINK1"/>
            <w:r>
              <w:rPr>
                <w:rFonts w:hint="default" w:ascii="Times New Roman" w:hAnsi="Times New Roman" w:eastAsia="宋体" w:cs="Times New Roman"/>
                <w:b w:val="0"/>
                <w:bCs w:val="0"/>
                <w:color w:val="000000" w:themeColor="text1"/>
                <w:sz w:val="24"/>
                <w:u w:val="none"/>
                <w:vertAlign w:val="baseline"/>
                <w:lang w:val="en-US" w:eastAsia="zh-CN"/>
                <w14:textFill>
                  <w14:solidFill>
                    <w14:schemeClr w14:val="tx1"/>
                  </w14:solidFill>
                </w14:textFill>
              </w:rPr>
              <w:t>濮阳市国胜机械加工有限公司成立于2003年，公司位于濮阳市106国道北段工业园，是一家以生产石油钻采设备及配件为主的企业，2017年9月委托广州环发环保工程有限公司编制《濮阳市国胜机械加工有限公司年产滤芯21万只项目现状环境影响评估报告》，2021年7月委托山东蒲公英环保技术有限公司编制《濮阳市国胜机械加工有限公司国胜钻采设备配件加工项目环境影响评价报告表》，2021年7月14日通过濮阳市生态环境局华龙分局审批，批复文号：华龙环审表[2021]22号，2021年12月进行自主验收；2022年10月，委托河南青城环保科技有限公司编制《濮阳市国胜机械加工有限公司新增生产设备及抛丸工序项目环境影响评价报告表》2022年10月18日通过濮阳市生态环境局华龙分局审批，批复文号：华龙环审表[2022]12号；2023年1月进行自主验收。</w:t>
            </w:r>
          </w:p>
          <w:bookmarkEnd w:id="2"/>
          <w:p>
            <w:pPr>
              <w:widowControl/>
              <w:snapToGrid w:val="0"/>
              <w:spacing w:line="360" w:lineRule="auto"/>
              <w:ind w:firstLine="482"/>
              <w:jc w:val="left"/>
              <w:textAlignment w:val="top"/>
              <w:rPr>
                <w:rFonts w:hint="default" w:ascii="Times New Roman" w:hAnsi="Times New Roman" w:eastAsia="宋体" w:cs="Times New Roman"/>
                <w:b w:val="0"/>
                <w:bCs w:val="0"/>
                <w:color w:val="000000" w:themeColor="text1"/>
                <w:sz w:val="24"/>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u w:val="none"/>
                <w:vertAlign w:val="baseline"/>
                <w:lang w:val="en-US" w:eastAsia="zh-CN"/>
                <w14:textFill>
                  <w14:solidFill>
                    <w14:schemeClr w14:val="tx1"/>
                  </w14:solidFill>
                </w14:textFill>
              </w:rPr>
              <w:t>为提升产品产量及种类，濮阳市国胜机械加工有限公司进行迁建，迁建后位于濮阳市华龙区惠寨路西、高阳大道北建设国胜机械内燃机滤芯及钻采配件项目。项目占地面积13333m</w:t>
            </w:r>
            <w:r>
              <w:rPr>
                <w:rFonts w:hint="default" w:ascii="Times New Roman" w:hAnsi="Times New Roman" w:eastAsia="宋体" w:cs="Times New Roman"/>
                <w:b w:val="0"/>
                <w:bCs w:val="0"/>
                <w:color w:val="000000" w:themeColor="text1"/>
                <w:sz w:val="24"/>
                <w:u w:val="none"/>
                <w:vertAlign w:val="superscript"/>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4"/>
                <w:u w:val="none"/>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sz w:val="24"/>
                <w:lang w:val="zh-CN"/>
                <w14:textFill>
                  <w14:solidFill>
                    <w14:schemeClr w14:val="tx1"/>
                  </w14:solidFill>
                </w14:textFill>
              </w:rPr>
              <w:t>项目北侧、</w:t>
            </w:r>
            <w:r>
              <w:rPr>
                <w:rFonts w:hint="default" w:ascii="Times New Roman" w:hAnsi="Times New Roman" w:eastAsia="宋体" w:cs="Times New Roman"/>
                <w:color w:val="000000" w:themeColor="text1"/>
                <w:sz w:val="24"/>
                <w14:textFill>
                  <w14:solidFill>
                    <w14:schemeClr w14:val="tx1"/>
                  </w14:solidFill>
                </w14:textFill>
              </w:rPr>
              <w:t>西侧</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东侧</w:t>
            </w:r>
            <w:r>
              <w:rPr>
                <w:rFonts w:hint="default" w:ascii="Times New Roman" w:hAnsi="Times New Roman" w:eastAsia="宋体" w:cs="Times New Roman"/>
                <w:color w:val="000000" w:themeColor="text1"/>
                <w:sz w:val="24"/>
                <w:lang w:val="en-US" w:eastAsia="zh-CN"/>
                <w14:textFill>
                  <w14:solidFill>
                    <w14:schemeClr w14:val="tx1"/>
                  </w14:solidFill>
                </w14:textFill>
              </w:rPr>
              <w:t>均</w:t>
            </w:r>
            <w:r>
              <w:rPr>
                <w:rFonts w:hint="default" w:ascii="Times New Roman" w:hAnsi="Times New Roman" w:eastAsia="宋体" w:cs="Times New Roman"/>
                <w:color w:val="000000" w:themeColor="text1"/>
                <w:sz w:val="24"/>
                <w:lang w:val="zh-CN"/>
                <w14:textFill>
                  <w14:solidFill>
                    <w14:schemeClr w14:val="tx1"/>
                  </w14:solidFill>
                </w14:textFill>
              </w:rPr>
              <w:t>为</w:t>
            </w:r>
            <w:r>
              <w:rPr>
                <w:rFonts w:hint="default" w:ascii="Times New Roman" w:hAnsi="Times New Roman" w:eastAsia="宋体" w:cs="Times New Roman"/>
                <w:color w:val="000000" w:themeColor="text1"/>
                <w:sz w:val="24"/>
                <w:lang w:val="en-US" w:eastAsia="zh-CN"/>
                <w14:textFill>
                  <w14:solidFill>
                    <w14:schemeClr w14:val="tx1"/>
                  </w14:solidFill>
                </w14:textFill>
              </w:rPr>
              <w:t>空地</w:t>
            </w:r>
            <w:r>
              <w:rPr>
                <w:rFonts w:hint="default" w:ascii="Times New Roman" w:hAnsi="Times New Roman" w:eastAsia="宋体" w:cs="Times New Roman"/>
                <w:color w:val="000000" w:themeColor="text1"/>
                <w:sz w:val="24"/>
                <w14:textFill>
                  <w14:solidFill>
                    <w14:schemeClr w14:val="tx1"/>
                  </w14:solidFill>
                </w14:textFill>
              </w:rPr>
              <w:t>，</w:t>
            </w:r>
            <w:r>
              <w:rPr>
                <w:rFonts w:hint="default" w:ascii="Times New Roman" w:hAnsi="Times New Roman" w:eastAsia="宋体" w:cs="Times New Roman"/>
                <w:color w:val="000000" w:themeColor="text1"/>
                <w:sz w:val="24"/>
                <w:lang w:val="zh-CN"/>
                <w14:textFill>
                  <w14:solidFill>
                    <w14:schemeClr w14:val="tx1"/>
                  </w14:solidFill>
                </w14:textFill>
              </w:rPr>
              <w:t>南侧为</w:t>
            </w:r>
            <w:r>
              <w:rPr>
                <w:rFonts w:hint="default" w:ascii="Times New Roman" w:hAnsi="Times New Roman" w:eastAsia="宋体" w:cs="Times New Roman"/>
                <w:color w:val="000000" w:themeColor="text1"/>
                <w:sz w:val="24"/>
                <w:lang w:val="en-US" w:eastAsia="zh-CN"/>
                <w14:textFill>
                  <w14:solidFill>
                    <w14:schemeClr w14:val="tx1"/>
                  </w14:solidFill>
                </w14:textFill>
              </w:rPr>
              <w:t>高阳大道</w:t>
            </w:r>
            <w:r>
              <w:rPr>
                <w:rFonts w:hint="default" w:ascii="Times New Roman" w:hAnsi="Times New Roman" w:eastAsia="宋体" w:cs="Times New Roman"/>
                <w:color w:val="000000" w:themeColor="text1"/>
                <w:sz w:val="24"/>
                <w:lang w:val="zh-CN"/>
                <w14:textFill>
                  <w14:solidFill>
                    <w14:schemeClr w14:val="tx1"/>
                  </w14:solidFill>
                </w14:textFill>
              </w:rPr>
              <w:t>，隔路为</w:t>
            </w:r>
            <w:r>
              <w:rPr>
                <w:rFonts w:hint="default" w:ascii="Times New Roman" w:hAnsi="Times New Roman" w:eastAsia="宋体" w:cs="Times New Roman"/>
                <w:color w:val="000000" w:themeColor="text1"/>
                <w:sz w:val="24"/>
                <w:lang w:val="en-US" w:eastAsia="zh-CN"/>
                <w14:textFill>
                  <w14:solidFill>
                    <w14:schemeClr w14:val="tx1"/>
                  </w14:solidFill>
                </w14:textFill>
              </w:rPr>
              <w:t>锐驰高科工业园</w:t>
            </w:r>
            <w:r>
              <w:rPr>
                <w:rFonts w:hint="default" w:ascii="Times New Roman" w:hAnsi="Times New Roman" w:eastAsia="宋体" w:cs="Times New Roman"/>
                <w:color w:val="000000" w:themeColor="text1"/>
                <w:sz w:val="24"/>
                <w:lang w:val="zh-CN"/>
                <w14:textFill>
                  <w14:solidFill>
                    <w14:schemeClr w14:val="tx1"/>
                  </w14:solidFill>
                </w14:textFill>
              </w:rPr>
              <w:t>，距离本项目最近的敏感点为项目</w:t>
            </w:r>
            <w:r>
              <w:rPr>
                <w:rFonts w:hint="default" w:ascii="Times New Roman" w:hAnsi="Times New Roman" w:eastAsia="宋体" w:cs="Times New Roman"/>
                <w:color w:val="000000" w:themeColor="text1"/>
                <w:sz w:val="24"/>
                <w:lang w:val="en-US" w:eastAsia="zh-CN"/>
                <w14:textFill>
                  <w14:solidFill>
                    <w14:schemeClr w14:val="tx1"/>
                  </w14:solidFill>
                </w14:textFill>
              </w:rPr>
              <w:t>东</w:t>
            </w:r>
            <w:r>
              <w:rPr>
                <w:rFonts w:hint="default" w:ascii="Times New Roman" w:hAnsi="Times New Roman" w:eastAsia="宋体" w:cs="Times New Roman"/>
                <w:color w:val="000000" w:themeColor="text1"/>
                <w:sz w:val="24"/>
                <w:lang w:val="zh-CN"/>
                <w14:textFill>
                  <w14:solidFill>
                    <w14:schemeClr w14:val="tx1"/>
                  </w14:solidFill>
                </w14:textFill>
              </w:rPr>
              <w:t>南侧</w:t>
            </w:r>
            <w:r>
              <w:rPr>
                <w:rFonts w:hint="default" w:ascii="Times New Roman" w:hAnsi="Times New Roman" w:eastAsia="宋体" w:cs="Times New Roman"/>
                <w:color w:val="000000" w:themeColor="text1"/>
                <w:sz w:val="24"/>
                <w:lang w:val="en-US" w:eastAsia="zh-CN"/>
                <w14:textFill>
                  <w14:solidFill>
                    <w14:schemeClr w14:val="tx1"/>
                  </w14:solidFill>
                </w14:textFill>
              </w:rPr>
              <w:t>80</w:t>
            </w:r>
            <w:r>
              <w:rPr>
                <w:rFonts w:hint="default" w:ascii="Times New Roman" w:hAnsi="Times New Roman" w:eastAsia="宋体" w:cs="Times New Roman"/>
                <w:color w:val="000000" w:themeColor="text1"/>
                <w:sz w:val="24"/>
                <w:lang w:val="zh-CN"/>
                <w14:textFill>
                  <w14:solidFill>
                    <w14:schemeClr w14:val="tx1"/>
                  </w14:solidFill>
                </w14:textFill>
              </w:rPr>
              <w:t>m</w:t>
            </w:r>
            <w:r>
              <w:rPr>
                <w:rFonts w:hint="default" w:ascii="Times New Roman" w:hAnsi="Times New Roman" w:eastAsia="宋体" w:cs="Times New Roman"/>
                <w:color w:val="000000" w:themeColor="text1"/>
                <w:sz w:val="24"/>
                <w:lang w:val="en-US" w:eastAsia="zh-CN"/>
                <w14:textFill>
                  <w14:solidFill>
                    <w14:schemeClr w14:val="tx1"/>
                  </w14:solidFill>
                </w14:textFill>
              </w:rPr>
              <w:t>北</w:t>
            </w:r>
            <w:r>
              <w:rPr>
                <w:rFonts w:hint="default" w:ascii="Times New Roman" w:hAnsi="Times New Roman" w:eastAsia="宋体" w:cs="Times New Roman"/>
                <w:color w:val="000000" w:themeColor="text1"/>
                <w:sz w:val="24"/>
                <w:lang w:val="zh-CN"/>
                <w14:textFill>
                  <w14:solidFill>
                    <w14:schemeClr w14:val="tx1"/>
                  </w14:solidFill>
                </w14:textFill>
              </w:rPr>
              <w:t>寨村。项目周边环境示意图见附图。</w:t>
            </w:r>
            <w:r>
              <w:rPr>
                <w:rFonts w:hint="default" w:ascii="Times New Roman" w:hAnsi="Times New Roman" w:eastAsia="宋体" w:cs="Times New Roman"/>
                <w:b w:val="0"/>
                <w:bCs w:val="0"/>
                <w:color w:val="000000" w:themeColor="text1"/>
                <w:sz w:val="24"/>
                <w:u w:val="none"/>
                <w:vertAlign w:val="baseline"/>
                <w:lang w:val="en-US" w:eastAsia="zh-CN"/>
                <w14:textFill>
                  <w14:solidFill>
                    <w14:schemeClr w14:val="tx1"/>
                  </w14:solidFill>
                </w14:textFill>
              </w:rPr>
              <w:t>项目主要产品为内燃机滤芯、石油钻采设备及配件。</w:t>
            </w:r>
          </w:p>
          <w:p>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z w:val="24"/>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u w:val="none"/>
                <w:vertAlign w:val="baseline"/>
                <w:lang w:val="en-US" w:eastAsia="zh-CN"/>
                <w14:textFill>
                  <w14:solidFill>
                    <w14:schemeClr w14:val="tx1"/>
                  </w14:solidFill>
                </w14:textFill>
              </w:rPr>
              <w:t>根据《建设项目环境影响评价分类管理名录》（2021版）的规定，本项目属于“三十二、专用设备制造业35中“70.采矿、冶金、建筑专用设备制造351”；三十三、汽车制造业36中“71.其他未列明通用设备制造业367”；”，需编制环境影响报告表。</w:t>
            </w:r>
          </w:p>
          <w:p>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z w:val="24"/>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u w:val="none"/>
                <w:vertAlign w:val="baseline"/>
                <w:lang w:val="en-US" w:eastAsia="zh-CN"/>
                <w14:textFill>
                  <w14:solidFill>
                    <w14:schemeClr w14:val="tx1"/>
                  </w14:solidFill>
                </w14:textFill>
              </w:rPr>
              <w:t>本项目为新建（迁建）项目，根据用地规划图可知项目占地土地为二类工业用地，项目已在濮阳高新技术产业开发区管理委员会备案（项目代码：2407-410902-04-01-200120），经对照《产业结构调整指导目录(2024年本)》，本项目不属于限制、淘汰类项目，属于允许类，符合国家产业政策。</w:t>
            </w:r>
          </w:p>
          <w:p>
            <w:pPr>
              <w:pStyle w:val="1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根据河南省生态环境厅办公室关于印发根据河南省生态环境厅办公室关于印发《关于进一步优化环评审批推进重大投资项目建设的通知》（豫环办〔2022〕44号）可知本项目属于“河南省建设项目环评告知承诺制审批正面清单（2022）”中“三十一、通用设备制造业34中“69.其他未列明通用设备制造业349”；三十二、专用设备制造业35中“70.采矿、冶金、建筑专用设备制造351””，故该项目以告知承诺制办理程序开展工作。</w:t>
            </w:r>
          </w:p>
          <w:p>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项目建设内容见表2-1。</w:t>
            </w:r>
          </w:p>
          <w:p>
            <w:pPr>
              <w:pStyle w:val="15"/>
              <w:keepNext w:val="0"/>
              <w:keepLines w:val="0"/>
              <w:pageBreakBefore w:val="0"/>
              <w:widowControl w:val="0"/>
              <w:numPr>
                <w:ilvl w:val="0"/>
                <w:numId w:val="13"/>
              </w:numPr>
              <w:kinsoku/>
              <w:wordWrap/>
              <w:overflowPunct/>
              <w:topLinePunct w:val="0"/>
              <w:autoSpaceDE/>
              <w:autoSpaceDN/>
              <w:bidi w:val="0"/>
              <w:adjustRightInd/>
              <w:snapToGrid/>
              <w:spacing w:line="240" w:lineRule="auto"/>
              <w:ind w:left="425" w:leftChars="0" w:hanging="425" w:firstLineChars="0"/>
              <w:jc w:val="center"/>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项目建设内容一览表</w:t>
            </w:r>
          </w:p>
          <w:tbl>
            <w:tblPr>
              <w:tblStyle w:val="16"/>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7"/>
              <w:gridCol w:w="1707"/>
              <w:gridCol w:w="51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3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工程类别</w:t>
                  </w:r>
                </w:p>
              </w:tc>
              <w:tc>
                <w:tcPr>
                  <w:tcW w:w="1707"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jc w:val="center"/>
                    <w:textAlignment w:val="auto"/>
                    <w:rPr>
                      <w:rFonts w:hint="default" w:ascii="Times New Roman" w:hAnsi="Times New Roman" w:eastAsia="宋体" w:cs="Times New Roman"/>
                      <w:b/>
                      <w:bCs/>
                      <w:color w:val="000000" w:themeColor="text1"/>
                      <w:sz w:val="21"/>
                      <w:szCs w:val="21"/>
                      <w14:textFill>
                        <w14:solidFill>
                          <w14:schemeClr w14:val="tx1"/>
                        </w14:solidFill>
                      </w14:textFill>
                    </w:rPr>
                  </w:pPr>
                  <w:r>
                    <w:rPr>
                      <w:rFonts w:hint="default" w:ascii="Times New Roman" w:hAnsi="Times New Roman" w:eastAsia="宋体" w:cs="Times New Roman"/>
                      <w:b/>
                      <w:bCs/>
                      <w:color w:val="000000" w:themeColor="text1"/>
                      <w:sz w:val="21"/>
                      <w:szCs w:val="21"/>
                      <w14:textFill>
                        <w14:solidFill>
                          <w14:schemeClr w14:val="tx1"/>
                        </w14:solidFill>
                      </w14:textFill>
                    </w:rPr>
                    <w:t>工程名称</w:t>
                  </w:r>
                </w:p>
              </w:tc>
              <w:tc>
                <w:tcPr>
                  <w:tcW w:w="5109" w:type="dxa"/>
                  <w:vAlign w:val="center"/>
                </w:tcPr>
                <w:p>
                  <w:pPr>
                    <w:keepNext w:val="0"/>
                    <w:keepLines w:val="0"/>
                    <w:pageBreakBefore w:val="0"/>
                    <w:widowControl w:val="0"/>
                    <w:kinsoku/>
                    <w:wordWrap/>
                    <w:overflowPunct/>
                    <w:topLinePunct w:val="0"/>
                    <w:autoSpaceDE/>
                    <w:autoSpaceDN/>
                    <w:bidi w:val="0"/>
                    <w:adjustRightInd/>
                    <w:snapToGrid/>
                    <w:spacing w:line="360" w:lineRule="exact"/>
                    <w:ind w:left="0" w:leftChars="0"/>
                    <w:jc w:val="center"/>
                    <w:textAlignment w:val="auto"/>
                    <w:rPr>
                      <w:rFonts w:hint="default" w:ascii="Times New Roman" w:hAnsi="Times New Roman" w:eastAsia="宋体" w:cs="Times New Roman"/>
                      <w:b/>
                      <w:bCs/>
                      <w:color w:val="000000" w:themeColor="text1"/>
                      <w:sz w:val="21"/>
                      <w:szCs w:val="21"/>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eastAsia="zh-CN"/>
                      <w14:textFill>
                        <w14:solidFill>
                          <w14:schemeClr w14:val="tx1"/>
                        </w14:solidFill>
                      </w14:textFill>
                    </w:rPr>
                    <w:t>建设内容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837"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主体工程</w:t>
                  </w:r>
                </w:p>
              </w:tc>
              <w:tc>
                <w:tcPr>
                  <w:tcW w:w="1707"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生产车间</w:t>
                  </w:r>
                </w:p>
              </w:tc>
              <w:tc>
                <w:tcPr>
                  <w:tcW w:w="5109"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1F</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钢结构，占地</w:t>
                  </w:r>
                  <w:r>
                    <w:rPr>
                      <w:rFonts w:hint="default" w:ascii="Times New Roman" w:hAnsi="Times New Roman" w:eastAsia="宋体" w:cs="Times New Roman"/>
                      <w:color w:val="000000" w:themeColor="text1"/>
                      <w:sz w:val="21"/>
                      <w:szCs w:val="21"/>
                      <w:lang w:eastAsia="zh-CN"/>
                      <w14:textFill>
                        <w14:solidFill>
                          <w14:schemeClr w14:val="tx1"/>
                        </w14:solidFill>
                      </w14:textFill>
                    </w:rPr>
                    <w:t>面积</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约6480</w:t>
                  </w:r>
                  <w:r>
                    <w:rPr>
                      <w:rFonts w:hint="default" w:ascii="Times New Roman" w:hAnsi="Times New Roman" w:eastAsia="宋体" w:cs="Times New Roman"/>
                      <w:color w:val="000000" w:themeColor="text1"/>
                      <w:sz w:val="21"/>
                      <w:szCs w:val="21"/>
                      <w:lang w:eastAsia="zh-CN"/>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lang w:eastAsia="zh-CN"/>
                      <w14:textFill>
                        <w14:solidFill>
                          <w14:schemeClr w14:val="tx1"/>
                        </w14:solidFill>
                      </w14:textFill>
                    </w:rPr>
                    <w:t>2</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内部设有原料储存区、产品储存区、生产区等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837" w:type="dxa"/>
                  <w:vMerge w:val="restart"/>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辅助工程</w:t>
                  </w:r>
                </w:p>
              </w:tc>
              <w:tc>
                <w:tcPr>
                  <w:tcW w:w="1707"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办公区</w:t>
                  </w:r>
                </w:p>
              </w:tc>
              <w:tc>
                <w:tcPr>
                  <w:tcW w:w="5109"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3F，砖混结构，占地面积约500</w:t>
                  </w:r>
                  <w:r>
                    <w:rPr>
                      <w:rFonts w:hint="default" w:ascii="Times New Roman" w:hAnsi="Times New Roman" w:eastAsia="宋体" w:cs="Times New Roman"/>
                      <w:color w:val="000000" w:themeColor="text1"/>
                      <w:sz w:val="21"/>
                      <w:szCs w:val="21"/>
                      <w:lang w:eastAsia="zh-CN"/>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lang w:eastAsia="zh-CN"/>
                      <w14:textFill>
                        <w14:solidFill>
                          <w14:schemeClr w14:val="tx1"/>
                        </w14:solidFill>
                      </w14:textFill>
                    </w:rPr>
                    <w:t>2</w:t>
                  </w:r>
                  <w:r>
                    <w:rPr>
                      <w:rFonts w:hint="default" w:ascii="Times New Roman" w:hAnsi="Times New Roman" w:eastAsia="宋体" w:cs="Times New Roman"/>
                      <w:color w:val="000000" w:themeColor="text1"/>
                      <w:sz w:val="21"/>
                      <w:szCs w:val="21"/>
                      <w:vertAlign w:val="baseline"/>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 w:hRule="atLeast"/>
                <w:jc w:val="center"/>
              </w:trPr>
              <w:tc>
                <w:tcPr>
                  <w:tcW w:w="837" w:type="dxa"/>
                  <w:vMerge w:val="continue"/>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707"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研发楼</w:t>
                  </w:r>
                </w:p>
              </w:tc>
              <w:tc>
                <w:tcPr>
                  <w:tcW w:w="5109"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3F，砖混结构，占地面积约500</w:t>
                  </w:r>
                  <w:r>
                    <w:rPr>
                      <w:rFonts w:hint="default" w:ascii="Times New Roman" w:hAnsi="Times New Roman" w:eastAsia="宋体" w:cs="Times New Roman"/>
                      <w:color w:val="000000" w:themeColor="text1"/>
                      <w:sz w:val="21"/>
                      <w:szCs w:val="21"/>
                      <w:lang w:eastAsia="zh-CN"/>
                      <w14:textFill>
                        <w14:solidFill>
                          <w14:schemeClr w14:val="tx1"/>
                        </w14:solidFill>
                      </w14:textFill>
                    </w:rPr>
                    <w:t>m</w:t>
                  </w:r>
                  <w:r>
                    <w:rPr>
                      <w:rFonts w:hint="default" w:ascii="Times New Roman" w:hAnsi="Times New Roman" w:eastAsia="宋体" w:cs="Times New Roman"/>
                      <w:color w:val="000000" w:themeColor="text1"/>
                      <w:sz w:val="21"/>
                      <w:szCs w:val="21"/>
                      <w:vertAlign w:val="superscript"/>
                      <w:lang w:eastAsia="zh-CN"/>
                      <w14:textFill>
                        <w14:solidFill>
                          <w14:schemeClr w14:val="tx1"/>
                        </w14:solidFill>
                      </w14:textFill>
                    </w:rPr>
                    <w:t>2</w:t>
                  </w:r>
                  <w:r>
                    <w:rPr>
                      <w:rFonts w:hint="default" w:ascii="Times New Roman" w:hAnsi="Times New Roman" w:eastAsia="宋体" w:cs="Times New Roman"/>
                      <w:color w:val="000000" w:themeColor="text1"/>
                      <w:sz w:val="21"/>
                      <w:szCs w:val="21"/>
                      <w:vertAlign w:val="baseline"/>
                      <w:lang w:eastAsia="zh-CN"/>
                      <w14:textFill>
                        <w14:solidFill>
                          <w14:schemeClr w14:val="tx1"/>
                        </w14:solidFill>
                      </w14:textFill>
                    </w:rPr>
                    <w:t>。</w:t>
                  </w: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为满足特定需求，提高生产效率，设计和开发新产品，推动技术创新和市场竞争力，主要用途为原料或产品的物理性能进行研发，不涉及化学反应。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7" w:type="dxa"/>
                  <w:vMerge w:val="restart"/>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公用工程</w:t>
                  </w:r>
                </w:p>
              </w:tc>
              <w:tc>
                <w:tcPr>
                  <w:tcW w:w="1707"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供水</w:t>
                  </w:r>
                </w:p>
              </w:tc>
              <w:tc>
                <w:tcPr>
                  <w:tcW w:w="5109"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市政给水管网供给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37" w:type="dxa"/>
                  <w:vMerge w:val="continue"/>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707"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供电</w:t>
                  </w:r>
                </w:p>
              </w:tc>
              <w:tc>
                <w:tcPr>
                  <w:tcW w:w="5109"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市政电网提供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jc w:val="center"/>
              </w:trPr>
              <w:tc>
                <w:tcPr>
                  <w:tcW w:w="837" w:type="dxa"/>
                  <w:vMerge w:val="continue"/>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707"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排水</w:t>
                  </w:r>
                </w:p>
              </w:tc>
              <w:tc>
                <w:tcPr>
                  <w:tcW w:w="5109"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lef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生活污水经化粪池处理后进濮阳市第三污水处理厂，无生产废水产生。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37" w:type="dxa"/>
                  <w:vMerge w:val="restart"/>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环保工程</w:t>
                  </w:r>
                </w:p>
              </w:tc>
              <w:tc>
                <w:tcPr>
                  <w:tcW w:w="1707"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废气</w:t>
                  </w:r>
                </w:p>
              </w:tc>
              <w:tc>
                <w:tcPr>
                  <w:tcW w:w="5109"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lef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切割粉尘、下料粉尘、焊接烟尘经集气装置收集后，进入覆膜袋式除尘器1#处理后15m排气筒（DA001）排放；打磨粉尘经集气装置收集后，进入滤筒除尘器+覆膜袋式除尘器1#处理后15m排气筒（DA001）排放；</w:t>
                  </w:r>
                </w:p>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lef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粘接、烘干废气、渗碳废气经集气装置收集后经干式过滤器+二级活性炭吸附后15m排气筒（DA002）排放；热处理废气经集气装置收集后进入油雾净化器+干式过滤器+二级活性炭吸附后15m排气筒（DA002）排放；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37" w:type="dxa"/>
                  <w:vMerge w:val="continue"/>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707"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废水</w:t>
                  </w:r>
                </w:p>
              </w:tc>
              <w:tc>
                <w:tcPr>
                  <w:tcW w:w="5109"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both"/>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生活污水经化粪池处理后进濮阳市第三污水处理厂，无生产废水产生。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37" w:type="dxa"/>
                  <w:vMerge w:val="continue"/>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707"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噪声</w:t>
                  </w:r>
                </w:p>
              </w:tc>
              <w:tc>
                <w:tcPr>
                  <w:tcW w:w="5109"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lef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选用低噪声设备、基础减振、厂房隔声、距离衰减、加强设备维护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37" w:type="dxa"/>
                  <w:vMerge w:val="continue"/>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707"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Times New Roman" w:hAnsi="Times New Roman" w:eastAsia="宋体" w:cs="Times New Roman"/>
                      <w:color w:val="000000" w:themeColor="text1"/>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固废</w:t>
                  </w:r>
                </w:p>
              </w:tc>
              <w:tc>
                <w:tcPr>
                  <w:tcW w:w="5109" w:type="dxa"/>
                  <w:vAlign w:val="center"/>
                </w:tcPr>
                <w:p>
                  <w:pPr>
                    <w:pStyle w:val="28"/>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t>一般固废暂存间</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（20m</w:t>
                  </w:r>
                  <w:r>
                    <w:rPr>
                      <w:rFonts w:hint="default" w:ascii="Times New Roman" w:hAnsi="Times New Roman" w:eastAsia="宋体" w:cs="Times New Roman"/>
                      <w:b/>
                      <w:bCs/>
                      <w:color w:val="000000" w:themeColor="text1"/>
                      <w:sz w:val="21"/>
                      <w:szCs w:val="21"/>
                      <w:u w:val="single"/>
                      <w:vertAlign w:val="superscript"/>
                      <w:lang w:val="en-US" w:eastAsia="zh-CN"/>
                      <w14:textFill>
                        <w14:solidFill>
                          <w14:schemeClr w14:val="tx1"/>
                        </w14:solidFill>
                      </w14:textFill>
                    </w:rPr>
                    <w:t>2</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r>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t>、</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危废暂存间（10m</w:t>
                  </w:r>
                  <w:r>
                    <w:rPr>
                      <w:rFonts w:hint="default" w:ascii="Times New Roman" w:hAnsi="Times New Roman" w:eastAsia="宋体" w:cs="Times New Roman"/>
                      <w:b/>
                      <w:bCs/>
                      <w:color w:val="000000" w:themeColor="text1"/>
                      <w:sz w:val="21"/>
                      <w:szCs w:val="21"/>
                      <w:u w:val="single"/>
                      <w:vertAlign w:val="superscript"/>
                      <w:lang w:val="en-US" w:eastAsia="zh-CN"/>
                      <w14:textFill>
                        <w14:solidFill>
                          <w14:schemeClr w14:val="tx1"/>
                        </w14:solidFill>
                      </w14:textFill>
                    </w:rPr>
                    <w:t>2</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r>
          </w:tbl>
          <w:p>
            <w:pPr>
              <w:pStyle w:val="1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2、主要产品</w:t>
            </w:r>
          </w:p>
          <w:p>
            <w:pPr>
              <w:keepNext w:val="0"/>
              <w:keepLines w:val="0"/>
              <w:pageBreakBefore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项目主要</w:t>
            </w:r>
            <w:r>
              <w:rPr>
                <w:rFonts w:hint="default" w:ascii="Times New Roman" w:hAnsi="Times New Roman" w:eastAsia="宋体" w:cs="Times New Roman"/>
                <w:color w:val="000000" w:themeColor="text1"/>
                <w:sz w:val="24"/>
                <w:lang w:val="en-US" w:eastAsia="zh-CN"/>
                <w14:textFill>
                  <w14:solidFill>
                    <w14:schemeClr w14:val="tx1"/>
                  </w14:solidFill>
                </w14:textFill>
              </w:rPr>
              <w:t>产品</w:t>
            </w:r>
            <w:r>
              <w:rPr>
                <w:rFonts w:hint="default" w:ascii="Times New Roman" w:hAnsi="Times New Roman" w:eastAsia="宋体" w:cs="Times New Roman"/>
                <w:color w:val="000000" w:themeColor="text1"/>
                <w:sz w:val="24"/>
                <w:lang w:eastAsia="zh-CN"/>
                <w14:textFill>
                  <w14:solidFill>
                    <w14:schemeClr w14:val="tx1"/>
                  </w14:solidFill>
                </w14:textFill>
              </w:rPr>
              <w:t>见下表</w:t>
            </w:r>
            <w:r>
              <w:rPr>
                <w:rFonts w:hint="default" w:ascii="Times New Roman" w:hAnsi="Times New Roman" w:eastAsia="宋体" w:cs="Times New Roman"/>
                <w:color w:val="000000" w:themeColor="text1"/>
                <w:sz w:val="24"/>
                <w14:textFill>
                  <w14:solidFill>
                    <w14:schemeClr w14:val="tx1"/>
                  </w14:solidFill>
                </w14:textFill>
              </w:rPr>
              <w:t>。</w:t>
            </w:r>
          </w:p>
          <w:p>
            <w:pPr>
              <w:pStyle w:val="15"/>
              <w:keepNext w:val="0"/>
              <w:keepLines w:val="0"/>
              <w:pageBreakBefore w:val="0"/>
              <w:widowControl w:val="0"/>
              <w:numPr>
                <w:ilvl w:val="0"/>
                <w:numId w:val="13"/>
              </w:numPr>
              <w:kinsoku/>
              <w:wordWrap/>
              <w:overflowPunct/>
              <w:topLinePunct w:val="0"/>
              <w:autoSpaceDE/>
              <w:autoSpaceDN/>
              <w:bidi w:val="0"/>
              <w:adjustRightInd/>
              <w:snapToGrid/>
              <w:spacing w:line="240" w:lineRule="auto"/>
              <w:ind w:left="425" w:leftChars="0" w:hanging="425"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eastAsia="zh-CN"/>
                <w14:textFill>
                  <w14:solidFill>
                    <w14:schemeClr w14:val="tx1"/>
                  </w14:solidFill>
                </w14:textFill>
              </w:rPr>
              <w:t>本项目</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主要产品方案</w:t>
            </w:r>
          </w:p>
          <w:tbl>
            <w:tblPr>
              <w:tblStyle w:val="16"/>
              <w:tblW w:w="766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5"/>
              <w:gridCol w:w="1412"/>
              <w:gridCol w:w="1109"/>
              <w:gridCol w:w="2029"/>
              <w:gridCol w:w="15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jc w:val="center"/>
              </w:trPr>
              <w:tc>
                <w:tcPr>
                  <w:tcW w:w="1605" w:type="dxa"/>
                  <w:vAlign w:val="center"/>
                </w:tcPr>
                <w:p>
                  <w:pPr>
                    <w:widowControl/>
                    <w:jc w:val="center"/>
                    <w:textAlignment w:val="center"/>
                    <w:rPr>
                      <w:rStyle w:val="51"/>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kern w:val="0"/>
                      <w:szCs w:val="21"/>
                      <w:lang w:bidi="ar"/>
                      <w14:textFill>
                        <w14:solidFill>
                          <w14:schemeClr w14:val="tx1"/>
                        </w14:solidFill>
                      </w14:textFill>
                    </w:rPr>
                    <w:t>产品名称</w:t>
                  </w:r>
                </w:p>
              </w:tc>
              <w:tc>
                <w:tcPr>
                  <w:tcW w:w="1412" w:type="dxa"/>
                  <w:vAlign w:val="center"/>
                </w:tcPr>
                <w:p>
                  <w:pPr>
                    <w:widowControl/>
                    <w:jc w:val="center"/>
                    <w:textAlignment w:val="center"/>
                    <w:rPr>
                      <w:rStyle w:val="51"/>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kern w:val="0"/>
                      <w:szCs w:val="21"/>
                      <w:lang w:bidi="ar"/>
                      <w14:textFill>
                        <w14:solidFill>
                          <w14:schemeClr w14:val="tx1"/>
                        </w14:solidFill>
                      </w14:textFill>
                    </w:rPr>
                    <w:t>单位</w:t>
                  </w:r>
                </w:p>
              </w:tc>
              <w:tc>
                <w:tcPr>
                  <w:tcW w:w="1109" w:type="dxa"/>
                  <w:vAlign w:val="center"/>
                </w:tcPr>
                <w:p>
                  <w:pPr>
                    <w:widowControl/>
                    <w:jc w:val="center"/>
                    <w:textAlignment w:val="center"/>
                    <w:rPr>
                      <w:rStyle w:val="51"/>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kern w:val="0"/>
                      <w:szCs w:val="21"/>
                      <w:lang w:bidi="ar"/>
                      <w14:textFill>
                        <w14:solidFill>
                          <w14:schemeClr w14:val="tx1"/>
                        </w14:solidFill>
                      </w14:textFill>
                    </w:rPr>
                    <w:t>数量</w:t>
                  </w:r>
                </w:p>
              </w:tc>
              <w:tc>
                <w:tcPr>
                  <w:tcW w:w="2029" w:type="dxa"/>
                  <w:vAlign w:val="center"/>
                </w:tcPr>
                <w:p>
                  <w:pPr>
                    <w:widowControl/>
                    <w:jc w:val="center"/>
                    <w:textAlignment w:val="center"/>
                    <w:rPr>
                      <w:rStyle w:val="51"/>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Style w:val="51"/>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类型</w:t>
                  </w:r>
                </w:p>
              </w:tc>
              <w:tc>
                <w:tcPr>
                  <w:tcW w:w="1501" w:type="dxa"/>
                  <w:vAlign w:val="center"/>
                </w:tcPr>
                <w:p>
                  <w:pPr>
                    <w:widowControl/>
                    <w:jc w:val="center"/>
                    <w:textAlignment w:val="center"/>
                    <w:rPr>
                      <w:rFonts w:hint="default" w:ascii="Times New Roman" w:hAnsi="Times New Roman" w:eastAsia="宋体" w:cs="Times New Roman"/>
                      <w:b/>
                      <w:bCs/>
                      <w:color w:val="000000" w:themeColor="text1"/>
                      <w:kern w:val="0"/>
                      <w:szCs w:val="21"/>
                      <w:lang w:bidi="ar"/>
                      <w14:textFill>
                        <w14:solidFill>
                          <w14:schemeClr w14:val="tx1"/>
                        </w14:solidFill>
                      </w14:textFill>
                    </w:rPr>
                  </w:pPr>
                  <w:r>
                    <w:rPr>
                      <w:rFonts w:hint="default" w:ascii="Times New Roman" w:hAnsi="Times New Roman" w:eastAsia="宋体" w:cs="Times New Roman"/>
                      <w:b/>
                      <w:bCs/>
                      <w:color w:val="000000" w:themeColor="text1"/>
                      <w:kern w:val="0"/>
                      <w:szCs w:val="21"/>
                      <w:lang w:bidi="ar"/>
                      <w14:textFill>
                        <w14:solidFill>
                          <w14:schemeClr w14:val="tx1"/>
                        </w14:solidFill>
                      </w14:textFill>
                    </w:rPr>
                    <w:t>备注用途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1605" w:type="dxa"/>
                  <w:vAlign w:val="center"/>
                </w:tcPr>
                <w:p>
                  <w:pPr>
                    <w:widowControl/>
                    <w:jc w:val="center"/>
                    <w:textAlignment w:val="center"/>
                    <w:rPr>
                      <w:rStyle w:val="51"/>
                      <w:rFonts w:hint="default" w:ascii="Times New Roman" w:hAnsi="Times New Roman" w:eastAsia="宋体" w:cs="Times New Roman"/>
                      <w:color w:val="000000" w:themeColor="text1"/>
                      <w:szCs w:val="21"/>
                      <w:lang w:val="en-US" w:eastAsia="zh-CN"/>
                      <w14:textFill>
                        <w14:solidFill>
                          <w14:schemeClr w14:val="tx1"/>
                        </w14:solidFill>
                      </w14:textFill>
                    </w:rPr>
                  </w:pPr>
                  <w:r>
                    <w:rPr>
                      <w:rStyle w:val="51"/>
                      <w:rFonts w:hint="default" w:ascii="Times New Roman" w:hAnsi="Times New Roman" w:eastAsia="宋体" w:cs="Times New Roman"/>
                      <w:color w:val="000000" w:themeColor="text1"/>
                      <w:szCs w:val="21"/>
                      <w:lang w:val="en-US" w:eastAsia="zh-CN"/>
                      <w14:textFill>
                        <w14:solidFill>
                          <w14:schemeClr w14:val="tx1"/>
                        </w14:solidFill>
                      </w14:textFill>
                    </w:rPr>
                    <w:t>内燃机滤芯</w:t>
                  </w:r>
                </w:p>
              </w:tc>
              <w:tc>
                <w:tcPr>
                  <w:tcW w:w="1412" w:type="dxa"/>
                  <w:vAlign w:val="center"/>
                </w:tcPr>
                <w:p>
                  <w:pPr>
                    <w:widowControl/>
                    <w:jc w:val="center"/>
                    <w:textAlignment w:val="center"/>
                    <w:rPr>
                      <w:rStyle w:val="51"/>
                      <w:rFonts w:hint="default" w:ascii="Times New Roman" w:hAnsi="Times New Roman" w:eastAsia="宋体" w:cs="Times New Roman"/>
                      <w:color w:val="000000" w:themeColor="text1"/>
                      <w:szCs w:val="21"/>
                      <w:lang w:val="en-US" w:eastAsia="zh-CN"/>
                      <w14:textFill>
                        <w14:solidFill>
                          <w14:schemeClr w14:val="tx1"/>
                        </w14:solidFill>
                      </w14:textFill>
                    </w:rPr>
                  </w:pPr>
                  <w:r>
                    <w:rPr>
                      <w:rStyle w:val="51"/>
                      <w:rFonts w:hint="default" w:ascii="Times New Roman" w:hAnsi="Times New Roman" w:eastAsia="宋体" w:cs="Times New Roman"/>
                      <w:color w:val="000000" w:themeColor="text1"/>
                      <w:szCs w:val="21"/>
                      <w:lang w:val="en-US" w:eastAsia="zh-CN"/>
                      <w14:textFill>
                        <w14:solidFill>
                          <w14:schemeClr w14:val="tx1"/>
                        </w14:solidFill>
                      </w14:textFill>
                    </w:rPr>
                    <w:t>万只/年</w:t>
                  </w:r>
                </w:p>
              </w:tc>
              <w:tc>
                <w:tcPr>
                  <w:tcW w:w="1109" w:type="dxa"/>
                  <w:vAlign w:val="center"/>
                </w:tcPr>
                <w:p>
                  <w:pPr>
                    <w:widowControl/>
                    <w:jc w:val="center"/>
                    <w:textAlignment w:val="center"/>
                    <w:rPr>
                      <w:rStyle w:val="51"/>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t>50</w:t>
                  </w:r>
                </w:p>
              </w:tc>
              <w:tc>
                <w:tcPr>
                  <w:tcW w:w="2029" w:type="dxa"/>
                  <w:vAlign w:val="center"/>
                </w:tcPr>
                <w:p>
                  <w:pPr>
                    <w:widowControl/>
                    <w:jc w:val="center"/>
                    <w:textAlignment w:val="center"/>
                    <w:rPr>
                      <w:rStyle w:val="51"/>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Style w:val="51"/>
                      <w:rFonts w:hint="default" w:ascii="Times New Roman" w:hAnsi="Times New Roman" w:eastAsia="宋体" w:cs="Times New Roman"/>
                      <w:b/>
                      <w:bCs/>
                      <w:color w:val="000000" w:themeColor="text1"/>
                      <w:szCs w:val="21"/>
                      <w:u w:val="single"/>
                      <w:lang w:eastAsia="zh-CN"/>
                      <w14:textFill>
                        <w14:solidFill>
                          <w14:schemeClr w14:val="tx1"/>
                        </w14:solidFill>
                      </w14:textFill>
                    </w:rPr>
                    <w:t>190</w:t>
                  </w:r>
                  <w:r>
                    <w:rPr>
                      <w:rStyle w:val="51"/>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型</w:t>
                  </w:r>
                  <w:r>
                    <w:rPr>
                      <w:rStyle w:val="51"/>
                      <w:rFonts w:hint="default" w:ascii="Times New Roman" w:hAnsi="Times New Roman" w:eastAsia="宋体" w:cs="Times New Roman"/>
                      <w:b/>
                      <w:bCs/>
                      <w:color w:val="000000" w:themeColor="text1"/>
                      <w:szCs w:val="21"/>
                      <w:u w:val="single"/>
                      <w:lang w:eastAsia="zh-CN"/>
                      <w14:textFill>
                        <w14:solidFill>
                          <w14:schemeClr w14:val="tx1"/>
                        </w14:solidFill>
                      </w14:textFill>
                    </w:rPr>
                    <w:t>空气滤芯（</w:t>
                  </w:r>
                  <w:r>
                    <w:rPr>
                      <w:rStyle w:val="51"/>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10目、30目、50目</w:t>
                  </w:r>
                  <w:r>
                    <w:rPr>
                      <w:rStyle w:val="51"/>
                      <w:rFonts w:hint="default" w:ascii="Times New Roman" w:hAnsi="Times New Roman" w:eastAsia="宋体" w:cs="Times New Roman"/>
                      <w:b/>
                      <w:bCs/>
                      <w:color w:val="000000" w:themeColor="text1"/>
                      <w:szCs w:val="21"/>
                      <w:u w:val="single"/>
                      <w:lang w:eastAsia="zh-CN"/>
                      <w14:textFill>
                        <w14:solidFill>
                          <w14:schemeClr w14:val="tx1"/>
                        </w14:solidFill>
                      </w14:textFill>
                    </w:rPr>
                    <w:t>）</w:t>
                  </w:r>
                </w:p>
              </w:tc>
              <w:tc>
                <w:tcPr>
                  <w:tcW w:w="1501" w:type="dxa"/>
                  <w:vAlign w:val="center"/>
                </w:tcPr>
                <w:p>
                  <w:pPr>
                    <w:widowControl/>
                    <w:jc w:val="center"/>
                    <w:textAlignment w:val="center"/>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t>内燃机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05" w:type="dxa"/>
                  <w:vAlign w:val="center"/>
                </w:tcPr>
                <w:p>
                  <w:pPr>
                    <w:widowControl/>
                    <w:jc w:val="center"/>
                    <w:textAlignment w:val="center"/>
                    <w:rPr>
                      <w:rStyle w:val="51"/>
                      <w:rFonts w:hint="default" w:ascii="Times New Roman" w:hAnsi="Times New Roman" w:eastAsia="宋体" w:cs="Times New Roman"/>
                      <w:color w:val="000000" w:themeColor="text1"/>
                      <w:szCs w:val="21"/>
                      <w:lang w:val="en-US" w:eastAsia="zh-CN"/>
                      <w14:textFill>
                        <w14:solidFill>
                          <w14:schemeClr w14:val="tx1"/>
                        </w14:solidFill>
                      </w14:textFill>
                    </w:rPr>
                  </w:pPr>
                  <w:r>
                    <w:rPr>
                      <w:rStyle w:val="51"/>
                      <w:rFonts w:hint="default" w:ascii="Times New Roman" w:hAnsi="Times New Roman" w:eastAsia="宋体" w:cs="Times New Roman"/>
                      <w:color w:val="000000" w:themeColor="text1"/>
                      <w:szCs w:val="21"/>
                      <w:lang w:val="en-US" w:eastAsia="zh-CN"/>
                      <w14:textFill>
                        <w14:solidFill>
                          <w14:schemeClr w14:val="tx1"/>
                        </w14:solidFill>
                      </w14:textFill>
                    </w:rPr>
                    <w:t>石油钻采配件</w:t>
                  </w:r>
                </w:p>
              </w:tc>
              <w:tc>
                <w:tcPr>
                  <w:tcW w:w="1412" w:type="dxa"/>
                  <w:vAlign w:val="center"/>
                </w:tcPr>
                <w:p>
                  <w:pPr>
                    <w:widowControl/>
                    <w:jc w:val="center"/>
                    <w:textAlignment w:val="center"/>
                    <w:rPr>
                      <w:rStyle w:val="51"/>
                      <w:rFonts w:hint="default" w:ascii="Times New Roman" w:hAnsi="Times New Roman" w:eastAsia="宋体" w:cs="Times New Roman"/>
                      <w:color w:val="000000" w:themeColor="text1"/>
                      <w:szCs w:val="21"/>
                      <w14:textFill>
                        <w14:solidFill>
                          <w14:schemeClr w14:val="tx1"/>
                        </w14:solidFill>
                      </w14:textFill>
                    </w:rPr>
                  </w:pPr>
                  <w:r>
                    <w:rPr>
                      <w:rStyle w:val="51"/>
                      <w:rFonts w:hint="default" w:ascii="Times New Roman" w:hAnsi="Times New Roman" w:eastAsia="宋体" w:cs="Times New Roman"/>
                      <w:color w:val="000000" w:themeColor="text1"/>
                      <w:szCs w:val="21"/>
                      <w:lang w:val="en-US" w:eastAsia="zh-CN"/>
                      <w14:textFill>
                        <w14:solidFill>
                          <w14:schemeClr w14:val="tx1"/>
                        </w14:solidFill>
                      </w14:textFill>
                    </w:rPr>
                    <w:t>万只/年</w:t>
                  </w:r>
                </w:p>
              </w:tc>
              <w:tc>
                <w:tcPr>
                  <w:tcW w:w="1109" w:type="dxa"/>
                  <w:vAlign w:val="center"/>
                </w:tcPr>
                <w:p>
                  <w:pPr>
                    <w:widowControl/>
                    <w:jc w:val="center"/>
                    <w:textAlignment w:val="center"/>
                    <w:rPr>
                      <w:rStyle w:val="51"/>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Cs w:val="21"/>
                      <w:lang w:val="en-US" w:eastAsia="zh-CN" w:bidi="ar"/>
                      <w14:textFill>
                        <w14:solidFill>
                          <w14:schemeClr w14:val="tx1"/>
                        </w14:solidFill>
                      </w14:textFill>
                    </w:rPr>
                    <w:t>10</w:t>
                  </w:r>
                </w:p>
              </w:tc>
              <w:tc>
                <w:tcPr>
                  <w:tcW w:w="2029" w:type="dxa"/>
                  <w:vAlign w:val="center"/>
                </w:tcPr>
                <w:p>
                  <w:pPr>
                    <w:widowControl/>
                    <w:jc w:val="center"/>
                    <w:textAlignment w:val="center"/>
                    <w:rPr>
                      <w:rStyle w:val="51"/>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Style w:val="51"/>
                      <w:rFonts w:hint="default" w:ascii="Times New Roman" w:hAnsi="Times New Roman" w:eastAsia="宋体" w:cs="Times New Roman"/>
                      <w:b/>
                      <w:bCs/>
                      <w:color w:val="000000" w:themeColor="text1"/>
                      <w:szCs w:val="21"/>
                      <w:u w:val="single"/>
                      <w14:textFill>
                        <w14:solidFill>
                          <w14:schemeClr w14:val="tx1"/>
                        </w14:solidFill>
                      </w14:textFill>
                    </w:rPr>
                    <w:t>泥浆泵耐磨盘</w:t>
                  </w:r>
                  <w:r>
                    <w:rPr>
                      <w:rStyle w:val="51"/>
                      <w:rFonts w:hint="default" w:ascii="Times New Roman" w:hAnsi="Times New Roman" w:eastAsia="宋体" w:cs="Times New Roman"/>
                      <w:b/>
                      <w:bCs/>
                      <w:color w:val="000000" w:themeColor="text1"/>
                      <w:szCs w:val="21"/>
                      <w:u w:val="single"/>
                      <w:lang w:eastAsia="zh-CN"/>
                      <w14:textFill>
                        <w14:solidFill>
                          <w14:schemeClr w14:val="tx1"/>
                        </w14:solidFill>
                      </w14:textFill>
                    </w:rPr>
                    <w:t>、泥浆泵活塞拉杆、泥浆泵中心拉杆、泥浆泵阀体总成</w:t>
                  </w:r>
                </w:p>
              </w:tc>
              <w:tc>
                <w:tcPr>
                  <w:tcW w:w="1501" w:type="dxa"/>
                  <w:vAlign w:val="center"/>
                </w:tcPr>
                <w:p>
                  <w:pPr>
                    <w:widowControl/>
                    <w:jc w:val="center"/>
                    <w:textAlignment w:val="center"/>
                    <w:rPr>
                      <w:rFonts w:hint="default" w:ascii="Times New Roman" w:hAnsi="Times New Roman" w:eastAsia="宋体" w:cs="Times New Roman"/>
                      <w:color w:val="000000" w:themeColor="text1"/>
                      <w:kern w:val="0"/>
                      <w:szCs w:val="21"/>
                      <w:lang w:bidi="ar"/>
                      <w14:textFill>
                        <w14:solidFill>
                          <w14:schemeClr w14:val="tx1"/>
                        </w14:solidFill>
                      </w14:textFill>
                    </w:rPr>
                  </w:pPr>
                  <w:r>
                    <w:rPr>
                      <w:rFonts w:hint="default" w:ascii="Times New Roman" w:hAnsi="Times New Roman" w:eastAsia="宋体" w:cs="Times New Roman"/>
                      <w:color w:val="000000" w:themeColor="text1"/>
                      <w:kern w:val="0"/>
                      <w:szCs w:val="21"/>
                      <w:lang w:bidi="ar"/>
                      <w14:textFill>
                        <w14:solidFill>
                          <w14:schemeClr w14:val="tx1"/>
                        </w14:solidFill>
                      </w14:textFill>
                    </w:rPr>
                    <w:t>采油设备</w:t>
                  </w:r>
                </w:p>
              </w:tc>
            </w:tr>
          </w:tbl>
          <w:tbl>
            <w:tblPr>
              <w:tblStyle w:val="17"/>
              <w:tblW w:w="766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34"/>
              <w:gridCol w:w="38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34" w:type="dxa"/>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drawing>
                      <wp:inline distT="0" distB="0" distL="114300" distR="114300">
                        <wp:extent cx="1990725" cy="2269490"/>
                        <wp:effectExtent l="0" t="0" r="16510" b="9525"/>
                        <wp:docPr id="22" name="图片 22" descr="9f54ee05e767243c161249fcff67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9f54ee05e767243c161249fcff67087"/>
                                <pic:cNvPicPr>
                                  <a:picLocks noChangeAspect="1"/>
                                </pic:cNvPicPr>
                              </pic:nvPicPr>
                              <pic:blipFill>
                                <a:blip r:embed="rId12"/>
                                <a:stretch>
                                  <a:fillRect/>
                                </a:stretch>
                              </pic:blipFill>
                              <pic:spPr>
                                <a:xfrm rot="5400000">
                                  <a:off x="0" y="0"/>
                                  <a:ext cx="1990725" cy="2269490"/>
                                </a:xfrm>
                                <a:prstGeom prst="rect">
                                  <a:avLst/>
                                </a:prstGeom>
                              </pic:spPr>
                            </pic:pic>
                          </a:graphicData>
                        </a:graphic>
                      </wp:inline>
                    </w:drawing>
                  </w:r>
                </w:p>
              </w:tc>
              <w:tc>
                <w:tcPr>
                  <w:tcW w:w="3835" w:type="dxa"/>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drawing>
                      <wp:inline distT="0" distB="0" distL="114300" distR="114300">
                        <wp:extent cx="2334260" cy="1988820"/>
                        <wp:effectExtent l="0" t="0" r="8890" b="11430"/>
                        <wp:docPr id="47" name="图片 47" descr="6046f7b37a0196cfd924c74c6bcaa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6046f7b37a0196cfd924c74c6bcaa83"/>
                                <pic:cNvPicPr>
                                  <a:picLocks noChangeAspect="1"/>
                                </pic:cNvPicPr>
                              </pic:nvPicPr>
                              <pic:blipFill>
                                <a:blip r:embed="rId13"/>
                                <a:stretch>
                                  <a:fillRect/>
                                </a:stretch>
                              </pic:blipFill>
                              <pic:spPr>
                                <a:xfrm>
                                  <a:off x="0" y="0"/>
                                  <a:ext cx="2334260" cy="198882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34" w:type="dxa"/>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t>190型空气滤芯</w:t>
                  </w:r>
                </w:p>
              </w:tc>
              <w:tc>
                <w:tcPr>
                  <w:tcW w:w="3835" w:type="dxa"/>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t>泥浆泵耐磨盘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34" w:type="dxa"/>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drawing>
                      <wp:inline distT="0" distB="0" distL="114300" distR="114300">
                        <wp:extent cx="2265680" cy="1699260"/>
                        <wp:effectExtent l="0" t="0" r="1270" b="15240"/>
                        <wp:docPr id="49" name="图片 49" descr="6a9c23b0f1c5f6a58fe2ad240c97a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6a9c23b0f1c5f6a58fe2ad240c97ae4"/>
                                <pic:cNvPicPr>
                                  <a:picLocks noChangeAspect="1"/>
                                </pic:cNvPicPr>
                              </pic:nvPicPr>
                              <pic:blipFill>
                                <a:blip r:embed="rId14"/>
                                <a:stretch>
                                  <a:fillRect/>
                                </a:stretch>
                              </pic:blipFill>
                              <pic:spPr>
                                <a:xfrm>
                                  <a:off x="0" y="0"/>
                                  <a:ext cx="2265680" cy="1699260"/>
                                </a:xfrm>
                                <a:prstGeom prst="rect">
                                  <a:avLst/>
                                </a:prstGeom>
                              </pic:spPr>
                            </pic:pic>
                          </a:graphicData>
                        </a:graphic>
                      </wp:inline>
                    </w:drawing>
                  </w:r>
                </w:p>
              </w:tc>
              <w:tc>
                <w:tcPr>
                  <w:tcW w:w="3835" w:type="dxa"/>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drawing>
                      <wp:inline distT="0" distB="0" distL="114300" distR="114300">
                        <wp:extent cx="2342515" cy="1704975"/>
                        <wp:effectExtent l="0" t="0" r="635" b="9525"/>
                        <wp:docPr id="50" name="图片 50" descr="51e0e52942d9da0f1b12266690f83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51e0e52942d9da0f1b12266690f83e0"/>
                                <pic:cNvPicPr>
                                  <a:picLocks noChangeAspect="1"/>
                                </pic:cNvPicPr>
                              </pic:nvPicPr>
                              <pic:blipFill>
                                <a:blip r:embed="rId15"/>
                                <a:stretch>
                                  <a:fillRect/>
                                </a:stretch>
                              </pic:blipFill>
                              <pic:spPr>
                                <a:xfrm>
                                  <a:off x="0" y="0"/>
                                  <a:ext cx="2342515" cy="170497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34" w:type="dxa"/>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t>泥浆泵活塞拉杆</w:t>
                  </w:r>
                </w:p>
              </w:tc>
              <w:tc>
                <w:tcPr>
                  <w:tcW w:w="3835" w:type="dxa"/>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t>泥浆泵中心拉杆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34" w:type="dxa"/>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drawing>
                      <wp:inline distT="0" distB="0" distL="114300" distR="114300">
                        <wp:extent cx="2265680" cy="1699260"/>
                        <wp:effectExtent l="0" t="0" r="1270" b="15240"/>
                        <wp:docPr id="51" name="图片 51" descr="4b73f423490ee01a400dba5a094f5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4b73f423490ee01a400dba5a094f5f3"/>
                                <pic:cNvPicPr>
                                  <a:picLocks noChangeAspect="1"/>
                                </pic:cNvPicPr>
                              </pic:nvPicPr>
                              <pic:blipFill>
                                <a:blip r:embed="rId16"/>
                                <a:stretch>
                                  <a:fillRect/>
                                </a:stretch>
                              </pic:blipFill>
                              <pic:spPr>
                                <a:xfrm>
                                  <a:off x="0" y="0"/>
                                  <a:ext cx="2265680" cy="1699260"/>
                                </a:xfrm>
                                <a:prstGeom prst="rect">
                                  <a:avLst/>
                                </a:prstGeom>
                              </pic:spPr>
                            </pic:pic>
                          </a:graphicData>
                        </a:graphic>
                      </wp:inline>
                    </w:drawing>
                  </w:r>
                </w:p>
              </w:tc>
              <w:tc>
                <w:tcPr>
                  <w:tcW w:w="383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34" w:type="dxa"/>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t>泥浆泵阀体总成（成品图）</w:t>
                  </w:r>
                </w:p>
              </w:tc>
              <w:tc>
                <w:tcPr>
                  <w:tcW w:w="3835" w:type="dxa"/>
                  <w:vAlign w:val="center"/>
                </w:tcPr>
                <w:p>
                  <w:pPr>
                    <w:pStyle w:val="1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t>/</w:t>
                  </w:r>
                </w:p>
              </w:tc>
            </w:tr>
          </w:tbl>
          <w:p>
            <w:pPr>
              <w:pStyle w:val="15"/>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t>图2-1  产品情况图</w:t>
            </w:r>
          </w:p>
          <w:p>
            <w:pPr>
              <w:pStyle w:val="1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3、主要生产设备</w:t>
            </w:r>
          </w:p>
          <w:p>
            <w:pPr>
              <w:keepNext w:val="0"/>
              <w:keepLines w:val="0"/>
              <w:pageBreakBefore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项目主要设备见下表</w:t>
            </w:r>
            <w:r>
              <w:rPr>
                <w:rFonts w:hint="default" w:ascii="Times New Roman" w:hAnsi="Times New Roman" w:eastAsia="宋体" w:cs="Times New Roman"/>
                <w:color w:val="000000" w:themeColor="text1"/>
                <w:sz w:val="24"/>
                <w14:textFill>
                  <w14:solidFill>
                    <w14:schemeClr w14:val="tx1"/>
                  </w14:solidFill>
                </w14:textFill>
              </w:rPr>
              <w:t>。</w:t>
            </w:r>
          </w:p>
          <w:p>
            <w:pPr>
              <w:pStyle w:val="15"/>
              <w:keepNext w:val="0"/>
              <w:keepLines w:val="0"/>
              <w:pageBreakBefore w:val="0"/>
              <w:widowControl w:val="0"/>
              <w:numPr>
                <w:ilvl w:val="0"/>
                <w:numId w:val="13"/>
              </w:numPr>
              <w:kinsoku/>
              <w:wordWrap/>
              <w:overflowPunct/>
              <w:topLinePunct w:val="0"/>
              <w:autoSpaceDE/>
              <w:autoSpaceDN/>
              <w:bidi w:val="0"/>
              <w:adjustRightInd/>
              <w:snapToGrid/>
              <w:spacing w:line="240" w:lineRule="auto"/>
              <w:ind w:left="425" w:leftChars="0" w:hanging="425"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lang w:eastAsia="zh-CN"/>
                <w14:textFill>
                  <w14:solidFill>
                    <w14:schemeClr w14:val="tx1"/>
                  </w14:solidFill>
                </w14:textFill>
              </w:rPr>
              <w:t>本项目</w:t>
            </w: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主要设备</w:t>
            </w:r>
            <w:r>
              <w:rPr>
                <w:rFonts w:hint="default" w:ascii="Times New Roman" w:hAnsi="Times New Roman" w:eastAsia="宋体" w:cs="Times New Roman"/>
                <w:b/>
                <w:bCs/>
                <w:color w:val="000000" w:themeColor="text1"/>
                <w:sz w:val="21"/>
                <w:szCs w:val="21"/>
                <w:lang w:eastAsia="zh-CN"/>
                <w14:textFill>
                  <w14:solidFill>
                    <w14:schemeClr w14:val="tx1"/>
                  </w14:solidFill>
                </w14:textFill>
              </w:rPr>
              <w:t>一览表</w:t>
            </w:r>
          </w:p>
          <w:tbl>
            <w:tblPr>
              <w:tblStyle w:val="16"/>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7"/>
              <w:gridCol w:w="2071"/>
              <w:gridCol w:w="2630"/>
              <w:gridCol w:w="2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序号</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设备名称</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规格/型号</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数量（台/套）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 w:hRule="atLeast"/>
                <w:jc w:val="center"/>
              </w:trPr>
              <w:tc>
                <w:tcPr>
                  <w:tcW w:w="7653" w:type="dxa"/>
                  <w:gridSpan w:val="4"/>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Style w:val="51"/>
                      <w:rFonts w:hint="default" w:ascii="Times New Roman" w:hAnsi="Times New Roman" w:eastAsia="宋体" w:cs="Times New Roman"/>
                      <w:b/>
                      <w:bCs/>
                      <w:color w:val="000000" w:themeColor="text1"/>
                      <w:szCs w:val="21"/>
                      <w:lang w:val="en-US" w:eastAsia="zh-CN"/>
                      <w14:textFill>
                        <w14:solidFill>
                          <w14:schemeClr w14:val="tx1"/>
                        </w14:solidFill>
                      </w14:textFill>
                    </w:rPr>
                    <w:t>内燃机滤芯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6"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1</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切网机</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AB-CJB1型</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切纸机</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QZJ-10-1050</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烘干室</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50m</w:t>
                  </w:r>
                  <w:r>
                    <w:rPr>
                      <w:rFonts w:hint="default" w:ascii="Times New Roman" w:hAnsi="Times New Roman" w:eastAsia="宋体" w:cs="Times New Roman"/>
                      <w:color w:val="000000" w:themeColor="text1"/>
                      <w:szCs w:val="21"/>
                      <w:highlight w:val="none"/>
                      <w:vertAlign w:val="superscript"/>
                      <w:lang w:val="en-US" w:eastAsia="zh-CN"/>
                      <w14:textFill>
                        <w14:solidFill>
                          <w14:schemeClr w14:val="tx1"/>
                        </w14:solidFill>
                      </w14:textFill>
                    </w:rPr>
                    <w:t>2</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7653" w:type="dxa"/>
                  <w:gridSpan w:val="4"/>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Style w:val="51"/>
                      <w:rFonts w:hint="default" w:ascii="Times New Roman" w:hAnsi="Times New Roman" w:eastAsia="宋体" w:cs="Times New Roman"/>
                      <w:b/>
                      <w:bCs/>
                      <w:color w:val="000000" w:themeColor="text1"/>
                      <w:szCs w:val="21"/>
                      <w:lang w:val="en-US" w:eastAsia="zh-CN"/>
                      <w14:textFill>
                        <w14:solidFill>
                          <w14:schemeClr w14:val="tx1"/>
                        </w14:solidFill>
                      </w14:textFill>
                    </w:rPr>
                    <w:t>石油钻采配件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车床</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数控加工中心</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珩磨机</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4</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数控车床</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台车炉</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6</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数控外圆磨床</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7</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高精度万能外圆磨床</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8</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空气锤</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9</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滤筒烟尘净化一体机</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10</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数控锯床</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11</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渗碳炉</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井式气体渗碳炉，RQ3-75-9型，尺寸1780×1436×2600mm</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12</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试压泵</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13</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转盘式烘干机</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14</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抛丸机</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15</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空压机</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16</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数控镗床</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17</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钻床</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18</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切割机</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7653" w:type="dxa"/>
                  <w:gridSpan w:val="4"/>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公用设备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1" w:hRule="atLeast"/>
                <w:jc w:val="center"/>
              </w:trPr>
              <w:tc>
                <w:tcPr>
                  <w:tcW w:w="897"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c>
                <w:tcPr>
                  <w:tcW w:w="2071"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全自动焊接机</w:t>
                  </w:r>
                </w:p>
              </w:tc>
              <w:tc>
                <w:tcPr>
                  <w:tcW w:w="263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2055"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6</w:t>
                  </w:r>
                </w:p>
              </w:tc>
            </w:tr>
          </w:tbl>
          <w:p>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禁止建设单位使用《产业结构调整指导目录(2024年本)》中淘汰类设备，且禁止使用《高耗能落后机电设备（产品）淘汰目录》中“第一批、第二批、第三批、第四批”淘汰设备。</w:t>
            </w:r>
          </w:p>
          <w:p>
            <w:pPr>
              <w:pStyle w:val="1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4、主要原辅材料来源及用量</w:t>
            </w:r>
          </w:p>
          <w:p>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本项目主要原辅材料用量情况见下表。</w:t>
            </w:r>
          </w:p>
          <w:p>
            <w:pPr>
              <w:pStyle w:val="15"/>
              <w:keepNext w:val="0"/>
              <w:keepLines w:val="0"/>
              <w:pageBreakBefore w:val="0"/>
              <w:widowControl w:val="0"/>
              <w:numPr>
                <w:ilvl w:val="0"/>
                <w:numId w:val="13"/>
              </w:numPr>
              <w:kinsoku/>
              <w:wordWrap/>
              <w:overflowPunct/>
              <w:topLinePunct w:val="0"/>
              <w:autoSpaceDE/>
              <w:autoSpaceDN/>
              <w:bidi w:val="0"/>
              <w:adjustRightInd/>
              <w:snapToGrid/>
              <w:spacing w:line="240" w:lineRule="auto"/>
              <w:ind w:left="425" w:leftChars="0" w:hanging="425" w:firstLineChars="0"/>
              <w:jc w:val="center"/>
              <w:textAlignment w:val="auto"/>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主要原辅材料年使用量一览表</w:t>
            </w:r>
          </w:p>
          <w:tbl>
            <w:tblPr>
              <w:tblStyle w:val="16"/>
              <w:tblW w:w="76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3"/>
              <w:gridCol w:w="648"/>
              <w:gridCol w:w="682"/>
              <w:gridCol w:w="818"/>
              <w:gridCol w:w="914"/>
              <w:gridCol w:w="872"/>
              <w:gridCol w:w="32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473"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序号</w:t>
                  </w:r>
                </w:p>
              </w:tc>
              <w:tc>
                <w:tcPr>
                  <w:tcW w:w="1330" w:type="dxa"/>
                  <w:gridSpan w:val="2"/>
                  <w:vAlign w:val="center"/>
                </w:tcPr>
                <w:p>
                  <w:pPr>
                    <w:pStyle w:val="15"/>
                    <w:ind w:firstLine="0" w:firstLineChars="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名称</w:t>
                  </w:r>
                </w:p>
              </w:tc>
              <w:tc>
                <w:tcPr>
                  <w:tcW w:w="818"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单位</w:t>
                  </w:r>
                </w:p>
              </w:tc>
              <w:tc>
                <w:tcPr>
                  <w:tcW w:w="914"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用量</w:t>
                  </w:r>
                </w:p>
              </w:tc>
              <w:tc>
                <w:tcPr>
                  <w:tcW w:w="872"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最大暂存量</w:t>
                  </w:r>
                </w:p>
              </w:tc>
              <w:tc>
                <w:tcPr>
                  <w:tcW w:w="3247"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trPr>
              <w:tc>
                <w:tcPr>
                  <w:tcW w:w="7654" w:type="dxa"/>
                  <w:gridSpan w:val="7"/>
                  <w:vAlign w:val="center"/>
                </w:tcPr>
                <w:p>
                  <w:pPr>
                    <w:pStyle w:val="15"/>
                    <w:ind w:firstLine="0" w:firstLineChars="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b/>
                      <w:bCs/>
                      <w:color w:val="000000" w:themeColor="text1"/>
                      <w:szCs w:val="21"/>
                      <w:highlight w:val="none"/>
                      <w14:textFill>
                        <w14:solidFill>
                          <w14:schemeClr w14:val="tx1"/>
                        </w14:solidFill>
                      </w14:textFill>
                    </w:rPr>
                    <w:t>内燃机滤芯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2" w:hRule="atLeast"/>
              </w:trPr>
              <w:tc>
                <w:tcPr>
                  <w:tcW w:w="473"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1</w:t>
                  </w:r>
                </w:p>
              </w:tc>
              <w:tc>
                <w:tcPr>
                  <w:tcW w:w="1330" w:type="dxa"/>
                  <w:gridSpan w:val="2"/>
                  <w:vAlign w:val="center"/>
                </w:tcPr>
                <w:p>
                  <w:pPr>
                    <w:pStyle w:val="15"/>
                    <w:ind w:firstLine="0" w:firstLineChars="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滤纸</w:t>
                  </w:r>
                </w:p>
              </w:tc>
              <w:tc>
                <w:tcPr>
                  <w:tcW w:w="818"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t/a</w:t>
                  </w:r>
                </w:p>
              </w:tc>
              <w:tc>
                <w:tcPr>
                  <w:tcW w:w="914"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50</w:t>
                  </w:r>
                </w:p>
              </w:tc>
              <w:tc>
                <w:tcPr>
                  <w:tcW w:w="872"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w:t>
                  </w:r>
                </w:p>
              </w:tc>
              <w:tc>
                <w:tcPr>
                  <w:tcW w:w="3247"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外购，汽车运输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2</w:t>
                  </w:r>
                </w:p>
              </w:tc>
              <w:tc>
                <w:tcPr>
                  <w:tcW w:w="1330" w:type="dxa"/>
                  <w:gridSpan w:val="2"/>
                  <w:vAlign w:val="center"/>
                </w:tcPr>
                <w:p>
                  <w:pPr>
                    <w:pStyle w:val="15"/>
                    <w:ind w:firstLine="0" w:firstLineChars="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滤网</w:t>
                  </w:r>
                </w:p>
              </w:tc>
              <w:tc>
                <w:tcPr>
                  <w:tcW w:w="818"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捆/a</w:t>
                  </w:r>
                </w:p>
              </w:tc>
              <w:tc>
                <w:tcPr>
                  <w:tcW w:w="914"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20000</w:t>
                  </w:r>
                </w:p>
              </w:tc>
              <w:tc>
                <w:tcPr>
                  <w:tcW w:w="872"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1000</w:t>
                  </w:r>
                </w:p>
              </w:tc>
              <w:tc>
                <w:tcPr>
                  <w:tcW w:w="3247" w:type="dxa"/>
                  <w:vAlign w:val="center"/>
                </w:tcPr>
                <w:p>
                  <w:pPr>
                    <w:ind w:firstLine="0" w:firstLineChars="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外购，汽车运输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2" w:hRule="atLeast"/>
              </w:trPr>
              <w:tc>
                <w:tcPr>
                  <w:tcW w:w="473"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3</w:t>
                  </w:r>
                </w:p>
              </w:tc>
              <w:tc>
                <w:tcPr>
                  <w:tcW w:w="1330" w:type="dxa"/>
                  <w:gridSpan w:val="2"/>
                  <w:vAlign w:val="center"/>
                </w:tcPr>
                <w:p>
                  <w:pPr>
                    <w:pStyle w:val="15"/>
                    <w:ind w:firstLine="0" w:firstLineChars="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端盖</w:t>
                  </w:r>
                </w:p>
              </w:tc>
              <w:tc>
                <w:tcPr>
                  <w:tcW w:w="818"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套/a</w:t>
                  </w:r>
                </w:p>
              </w:tc>
              <w:tc>
                <w:tcPr>
                  <w:tcW w:w="914"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500000</w:t>
                  </w:r>
                </w:p>
              </w:tc>
              <w:tc>
                <w:tcPr>
                  <w:tcW w:w="872"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50000</w:t>
                  </w:r>
                </w:p>
              </w:tc>
              <w:tc>
                <w:tcPr>
                  <w:tcW w:w="3247" w:type="dxa"/>
                  <w:vAlign w:val="center"/>
                </w:tcPr>
                <w:p>
                  <w:pPr>
                    <w:ind w:firstLine="0" w:firstLineChars="0"/>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外购，汽车运输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 w:hRule="atLeast"/>
              </w:trPr>
              <w:tc>
                <w:tcPr>
                  <w:tcW w:w="473" w:type="dxa"/>
                  <w:vMerge w:val="restart"/>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4</w:t>
                  </w:r>
                </w:p>
              </w:tc>
              <w:tc>
                <w:tcPr>
                  <w:tcW w:w="648" w:type="dxa"/>
                  <w:vMerge w:val="restart"/>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双组份胶</w:t>
                  </w:r>
                </w:p>
              </w:tc>
              <w:tc>
                <w:tcPr>
                  <w:tcW w:w="682"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A料</w:t>
                  </w:r>
                </w:p>
              </w:tc>
              <w:tc>
                <w:tcPr>
                  <w:tcW w:w="818"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kg/a</w:t>
                  </w:r>
                </w:p>
              </w:tc>
              <w:tc>
                <w:tcPr>
                  <w:tcW w:w="914"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300</w:t>
                  </w:r>
                </w:p>
              </w:tc>
              <w:tc>
                <w:tcPr>
                  <w:tcW w:w="872"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30</w:t>
                  </w:r>
                </w:p>
              </w:tc>
              <w:tc>
                <w:tcPr>
                  <w:tcW w:w="3247" w:type="dxa"/>
                  <w:vAlign w:val="center"/>
                </w:tcPr>
                <w:p>
                  <w:pPr>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外购，汽车运输，桶装，30kg/桶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trPr>
              <w:tc>
                <w:tcPr>
                  <w:tcW w:w="473" w:type="dxa"/>
                  <w:vMerge w:val="continue"/>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14:textFill>
                        <w14:solidFill>
                          <w14:schemeClr w14:val="tx1"/>
                        </w14:solidFill>
                      </w14:textFill>
                    </w:rPr>
                  </w:pPr>
                </w:p>
              </w:tc>
              <w:tc>
                <w:tcPr>
                  <w:tcW w:w="648" w:type="dxa"/>
                  <w:vMerge w:val="continue"/>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14:textFill>
                        <w14:solidFill>
                          <w14:schemeClr w14:val="tx1"/>
                        </w14:solidFill>
                      </w14:textFill>
                    </w:rPr>
                  </w:pPr>
                </w:p>
              </w:tc>
              <w:tc>
                <w:tcPr>
                  <w:tcW w:w="682"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B料</w:t>
                  </w:r>
                </w:p>
              </w:tc>
              <w:tc>
                <w:tcPr>
                  <w:tcW w:w="818"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kg/a</w:t>
                  </w:r>
                </w:p>
              </w:tc>
              <w:tc>
                <w:tcPr>
                  <w:tcW w:w="914"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50</w:t>
                  </w:r>
                </w:p>
              </w:tc>
              <w:tc>
                <w:tcPr>
                  <w:tcW w:w="872"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30</w:t>
                  </w:r>
                </w:p>
              </w:tc>
              <w:tc>
                <w:tcPr>
                  <w:tcW w:w="3247" w:type="dxa"/>
                  <w:vAlign w:val="center"/>
                </w:tcPr>
                <w:p>
                  <w:pPr>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外购，汽车运输，桶装，30kg/桶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trPr>
              <w:tc>
                <w:tcPr>
                  <w:tcW w:w="7654" w:type="dxa"/>
                  <w:gridSpan w:val="7"/>
                  <w:vAlign w:val="center"/>
                </w:tcPr>
                <w:p>
                  <w:pPr>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石油钻采配件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c>
                <w:tcPr>
                  <w:tcW w:w="1330" w:type="dxa"/>
                  <w:gridSpan w:val="2"/>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圆钢</w:t>
                  </w:r>
                </w:p>
              </w:tc>
              <w:tc>
                <w:tcPr>
                  <w:tcW w:w="818"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t/a</w:t>
                  </w:r>
                </w:p>
              </w:tc>
              <w:tc>
                <w:tcPr>
                  <w:tcW w:w="914"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900</w:t>
                  </w:r>
                </w:p>
              </w:tc>
              <w:tc>
                <w:tcPr>
                  <w:tcW w:w="872"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30</w:t>
                  </w:r>
                </w:p>
              </w:tc>
              <w:tc>
                <w:tcPr>
                  <w:tcW w:w="3247" w:type="dxa"/>
                  <w:vAlign w:val="center"/>
                </w:tcPr>
                <w:p>
                  <w:pPr>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外购，汽车运输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w:t>
                  </w:r>
                </w:p>
              </w:tc>
              <w:tc>
                <w:tcPr>
                  <w:tcW w:w="1330" w:type="dxa"/>
                  <w:gridSpan w:val="2"/>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钢板</w:t>
                  </w:r>
                </w:p>
              </w:tc>
              <w:tc>
                <w:tcPr>
                  <w:tcW w:w="818"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t/a</w:t>
                  </w:r>
                </w:p>
              </w:tc>
              <w:tc>
                <w:tcPr>
                  <w:tcW w:w="914"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50</w:t>
                  </w:r>
                </w:p>
              </w:tc>
              <w:tc>
                <w:tcPr>
                  <w:tcW w:w="872"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w:t>
                  </w:r>
                </w:p>
              </w:tc>
              <w:tc>
                <w:tcPr>
                  <w:tcW w:w="3247" w:type="dxa"/>
                  <w:vAlign w:val="center"/>
                </w:tcPr>
                <w:p>
                  <w:pPr>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外购，汽车运输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3</w:t>
                  </w:r>
                </w:p>
              </w:tc>
              <w:tc>
                <w:tcPr>
                  <w:tcW w:w="1330" w:type="dxa"/>
                  <w:gridSpan w:val="2"/>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钢材A3</w:t>
                  </w:r>
                </w:p>
              </w:tc>
              <w:tc>
                <w:tcPr>
                  <w:tcW w:w="818"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t/a</w:t>
                  </w:r>
                </w:p>
              </w:tc>
              <w:tc>
                <w:tcPr>
                  <w:tcW w:w="914"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50</w:t>
                  </w:r>
                </w:p>
              </w:tc>
              <w:tc>
                <w:tcPr>
                  <w:tcW w:w="872"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w:t>
                  </w:r>
                </w:p>
              </w:tc>
              <w:tc>
                <w:tcPr>
                  <w:tcW w:w="3247" w:type="dxa"/>
                  <w:vAlign w:val="center"/>
                </w:tcPr>
                <w:p>
                  <w:pPr>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外购，汽车运输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4</w:t>
                  </w:r>
                </w:p>
              </w:tc>
              <w:tc>
                <w:tcPr>
                  <w:tcW w:w="1330" w:type="dxa"/>
                  <w:gridSpan w:val="2"/>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钢材ZG230~450</w:t>
                  </w:r>
                </w:p>
              </w:tc>
              <w:tc>
                <w:tcPr>
                  <w:tcW w:w="818"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t/a</w:t>
                  </w:r>
                </w:p>
              </w:tc>
              <w:tc>
                <w:tcPr>
                  <w:tcW w:w="914"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200</w:t>
                  </w:r>
                </w:p>
              </w:tc>
              <w:tc>
                <w:tcPr>
                  <w:tcW w:w="872"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20</w:t>
                  </w:r>
                </w:p>
              </w:tc>
              <w:tc>
                <w:tcPr>
                  <w:tcW w:w="3247" w:type="dxa"/>
                  <w:vAlign w:val="center"/>
                </w:tcPr>
                <w:p>
                  <w:pPr>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外购，汽车运输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w:t>
                  </w:r>
                </w:p>
              </w:tc>
              <w:tc>
                <w:tcPr>
                  <w:tcW w:w="1330" w:type="dxa"/>
                  <w:gridSpan w:val="2"/>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焊条</w:t>
                  </w:r>
                </w:p>
              </w:tc>
              <w:tc>
                <w:tcPr>
                  <w:tcW w:w="818"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t/a</w:t>
                  </w:r>
                </w:p>
              </w:tc>
              <w:tc>
                <w:tcPr>
                  <w:tcW w:w="914"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w:t>
                  </w:r>
                </w:p>
              </w:tc>
              <w:tc>
                <w:tcPr>
                  <w:tcW w:w="872"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0.5</w:t>
                  </w:r>
                </w:p>
              </w:tc>
              <w:tc>
                <w:tcPr>
                  <w:tcW w:w="3247"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外购，汽车运输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 w:hRule="atLeast"/>
              </w:trPr>
              <w:tc>
                <w:tcPr>
                  <w:tcW w:w="473"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6</w:t>
                  </w:r>
                </w:p>
              </w:tc>
              <w:tc>
                <w:tcPr>
                  <w:tcW w:w="1330" w:type="dxa"/>
                  <w:gridSpan w:val="2"/>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切削液</w:t>
                  </w:r>
                </w:p>
              </w:tc>
              <w:tc>
                <w:tcPr>
                  <w:tcW w:w="818"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t/a</w:t>
                  </w:r>
                </w:p>
              </w:tc>
              <w:tc>
                <w:tcPr>
                  <w:tcW w:w="914"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0.02</w:t>
                  </w:r>
                </w:p>
              </w:tc>
              <w:tc>
                <w:tcPr>
                  <w:tcW w:w="872"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0.02</w:t>
                  </w:r>
                </w:p>
              </w:tc>
              <w:tc>
                <w:tcPr>
                  <w:tcW w:w="3247"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外购，汽车运输，桶装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 w:hRule="atLeast"/>
              </w:trPr>
              <w:tc>
                <w:tcPr>
                  <w:tcW w:w="473"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7</w:t>
                  </w:r>
                </w:p>
              </w:tc>
              <w:tc>
                <w:tcPr>
                  <w:tcW w:w="1330" w:type="dxa"/>
                  <w:gridSpan w:val="2"/>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甲醇</w:t>
                  </w:r>
                </w:p>
              </w:tc>
              <w:tc>
                <w:tcPr>
                  <w:tcW w:w="818"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t/a</w:t>
                  </w:r>
                </w:p>
              </w:tc>
              <w:tc>
                <w:tcPr>
                  <w:tcW w:w="914"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0.2</w:t>
                  </w:r>
                </w:p>
              </w:tc>
              <w:tc>
                <w:tcPr>
                  <w:tcW w:w="872"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0.2</w:t>
                  </w:r>
                </w:p>
              </w:tc>
              <w:tc>
                <w:tcPr>
                  <w:tcW w:w="3247"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外购，汽车运输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473"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8</w:t>
                  </w:r>
                </w:p>
              </w:tc>
              <w:tc>
                <w:tcPr>
                  <w:tcW w:w="1330" w:type="dxa"/>
                  <w:gridSpan w:val="2"/>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氮气</w:t>
                  </w:r>
                </w:p>
              </w:tc>
              <w:tc>
                <w:tcPr>
                  <w:tcW w:w="818"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m</w:t>
                  </w:r>
                  <w:r>
                    <w:rPr>
                      <w:rFonts w:hint="default" w:ascii="Times New Roman" w:hAnsi="Times New Roman" w:eastAsia="宋体" w:cs="Times New Roman"/>
                      <w:b/>
                      <w:bCs/>
                      <w:color w:val="000000" w:themeColor="text1"/>
                      <w:szCs w:val="21"/>
                      <w:highlight w:val="none"/>
                      <w:u w:val="single"/>
                      <w:vertAlign w:val="superscript"/>
                      <w:lang w:val="en-US" w:eastAsia="zh-CN"/>
                      <w14:textFill>
                        <w14:solidFill>
                          <w14:schemeClr w14:val="tx1"/>
                        </w14:solidFill>
                      </w14:textFill>
                    </w:rPr>
                    <w:t>3</w:t>
                  </w: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/a</w:t>
                  </w:r>
                </w:p>
              </w:tc>
              <w:tc>
                <w:tcPr>
                  <w:tcW w:w="914"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300</w:t>
                  </w:r>
                </w:p>
              </w:tc>
              <w:tc>
                <w:tcPr>
                  <w:tcW w:w="872"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4</w:t>
                  </w:r>
                </w:p>
              </w:tc>
              <w:tc>
                <w:tcPr>
                  <w:tcW w:w="3247"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外购，汽车运输，钢瓶，每瓶40L约64kg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473"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9</w:t>
                  </w:r>
                </w:p>
              </w:tc>
              <w:tc>
                <w:tcPr>
                  <w:tcW w:w="1330" w:type="dxa"/>
                  <w:gridSpan w:val="2"/>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淬火液</w:t>
                  </w:r>
                </w:p>
              </w:tc>
              <w:tc>
                <w:tcPr>
                  <w:tcW w:w="818"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t/a</w:t>
                  </w:r>
                </w:p>
              </w:tc>
              <w:tc>
                <w:tcPr>
                  <w:tcW w:w="914"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2</w:t>
                  </w:r>
                </w:p>
              </w:tc>
              <w:tc>
                <w:tcPr>
                  <w:tcW w:w="872"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0.2</w:t>
                  </w:r>
                </w:p>
              </w:tc>
              <w:tc>
                <w:tcPr>
                  <w:tcW w:w="3247"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外购，汽车运输，桶装，200kg/桶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trPr>
              <w:tc>
                <w:tcPr>
                  <w:tcW w:w="7654" w:type="dxa"/>
                  <w:gridSpan w:val="7"/>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lang w:val="en-US" w:eastAsia="zh-CN"/>
                      <w14:textFill>
                        <w14:solidFill>
                          <w14:schemeClr w14:val="tx1"/>
                        </w14:solidFill>
                      </w14:textFill>
                    </w:rPr>
                    <w:t>能源消耗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 w:hRule="atLeast"/>
              </w:trPr>
              <w:tc>
                <w:tcPr>
                  <w:tcW w:w="473"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1</w:t>
                  </w:r>
                </w:p>
              </w:tc>
              <w:tc>
                <w:tcPr>
                  <w:tcW w:w="1330" w:type="dxa"/>
                  <w:gridSpan w:val="2"/>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水</w:t>
                  </w:r>
                </w:p>
              </w:tc>
              <w:tc>
                <w:tcPr>
                  <w:tcW w:w="818"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m</w:t>
                  </w:r>
                  <w:r>
                    <w:rPr>
                      <w:rFonts w:hint="default" w:ascii="Times New Roman" w:hAnsi="Times New Roman" w:eastAsia="宋体" w:cs="Times New Roman"/>
                      <w:color w:val="000000" w:themeColor="text1"/>
                      <w:szCs w:val="21"/>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/a</w:t>
                  </w:r>
                </w:p>
              </w:tc>
              <w:tc>
                <w:tcPr>
                  <w:tcW w:w="914"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550</w:t>
                  </w:r>
                </w:p>
              </w:tc>
              <w:tc>
                <w:tcPr>
                  <w:tcW w:w="872"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w:t>
                  </w:r>
                </w:p>
              </w:tc>
              <w:tc>
                <w:tcPr>
                  <w:tcW w:w="3247" w:type="dxa"/>
                  <w:vAlign w:val="center"/>
                </w:tcPr>
                <w:p>
                  <w:pPr>
                    <w:pStyle w:val="15"/>
                    <w:ind w:firstLine="0" w:firstLineChars="0"/>
                    <w:jc w:val="cente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市政供水管网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2</w:t>
                  </w:r>
                </w:p>
              </w:tc>
              <w:tc>
                <w:tcPr>
                  <w:tcW w:w="1330" w:type="dxa"/>
                  <w:gridSpan w:val="2"/>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电</w:t>
                  </w:r>
                </w:p>
              </w:tc>
              <w:tc>
                <w:tcPr>
                  <w:tcW w:w="818"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kwh/a</w:t>
                  </w:r>
                </w:p>
              </w:tc>
              <w:tc>
                <w:tcPr>
                  <w:tcW w:w="914"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530万</w:t>
                  </w:r>
                </w:p>
              </w:tc>
              <w:tc>
                <w:tcPr>
                  <w:tcW w:w="872"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w:t>
                  </w:r>
                </w:p>
              </w:tc>
              <w:tc>
                <w:tcPr>
                  <w:tcW w:w="3247" w:type="dxa"/>
                  <w:vAlign w:val="center"/>
                </w:tcPr>
                <w:p>
                  <w:pPr>
                    <w:pStyle w:val="15"/>
                    <w:ind w:firstLine="0" w:firstLineChars="0"/>
                    <w:jc w:val="cente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highlight w:val="none"/>
                      <w:u w:val="single"/>
                      <w:lang w:val="en-US" w:eastAsia="zh-CN"/>
                      <w14:textFill>
                        <w14:solidFill>
                          <w14:schemeClr w14:val="tx1"/>
                        </w14:solidFill>
                      </w14:textFill>
                    </w:rPr>
                    <w:t>市政供电电网</w:t>
                  </w:r>
                </w:p>
              </w:tc>
            </w:tr>
          </w:tbl>
          <w:p>
            <w:pPr>
              <w:pStyle w:val="1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原辅料理化性质：</w:t>
            </w:r>
          </w:p>
          <w:p>
            <w:pPr>
              <w:pStyle w:val="1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双组份胶</w:t>
            </w: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常温固化胶粘剂6：1配比型号，无色或淡黄色透明液体，由于具有很高的反应性，能够室温固化，因而对金属、橡胶、玻璃、陶瓷、木材、织物、皮革等多种材料都有优良的胶粘性能。根据企业提供双组份胶技术数据，本项目使用的双组份胶是一种基于聚氨酯的无溶剂双组份胶粘剂。组分A为树脂部分，为具有羟基的有机化合物；组分B为以异氰酸酯为基础的硬化剂。</w:t>
            </w:r>
          </w:p>
          <w:p>
            <w:pPr>
              <w:pStyle w:val="1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淬火液：是一种工艺用油，用做淬火介质。油在550～650℃范围内冷却能力不足，平均冷却速度只有60～100℃/s，但在200～300℃范围内，缓慢的冷却速度对于淬火来说非常适宜。油用于合金钢及小截面碳钢淬火，既可以得到满意的淬硬性和淬透性，又可防止开裂和减少变形。为了满足热处理的工艺要求，淬火用油应具备下列特点：①较高的闪点，以减少起火的危险；②较低的粘度，以减少油附着在工件上造成的损失；③不易氧化，性能稳定，以减缓老化，延长使用寿命。</w:t>
            </w:r>
          </w:p>
          <w:p>
            <w:pPr>
              <w:pStyle w:val="1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5、劳动定员</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65"/>
              <w:textAlignment w:val="auto"/>
              <w:rPr>
                <w:rFonts w:hint="default" w:ascii="Times New Roman" w:hAnsi="Times New Roman" w:eastAsia="宋体" w:cs="Times New Roman"/>
                <w:color w:val="000000" w:themeColor="text1"/>
                <w:sz w:val="24"/>
                <w:lang w:val="en-US"/>
                <w14:textFill>
                  <w14:solidFill>
                    <w14:schemeClr w14:val="tx1"/>
                  </w14:solidFill>
                </w14:textFill>
              </w:rPr>
            </w:pPr>
            <w:r>
              <w:rPr>
                <w:rFonts w:hint="default" w:ascii="Times New Roman" w:hAnsi="Times New Roman" w:eastAsia="宋体" w:cs="Times New Roman"/>
                <w:color w:val="000000" w:themeColor="text1"/>
                <w:sz w:val="24"/>
                <w:lang w:val="en-US" w:eastAsia="zh-CN"/>
                <w14:textFill>
                  <w14:solidFill>
                    <w14:schemeClr w14:val="tx1"/>
                  </w14:solidFill>
                </w14:textFill>
              </w:rPr>
              <w:t>项目劳动定员25人，均不在厂区内食宿，年工作300天，实行单班制，每班8小时。</w:t>
            </w:r>
          </w:p>
          <w:p>
            <w:pPr>
              <w:pStyle w:val="1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6、公用工程及辅助设施</w:t>
            </w:r>
          </w:p>
          <w:p>
            <w:pPr>
              <w:pStyle w:val="1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（1）供电</w:t>
            </w:r>
          </w:p>
          <w:p>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本项目用电由市政供电电网统一供给，可以满足项目生产需求。</w:t>
            </w:r>
          </w:p>
          <w:p>
            <w:pPr>
              <w:pStyle w:val="1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（2）给排水</w:t>
            </w:r>
          </w:p>
          <w:p>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本项目劳动定员25人，年工作日300天，参照河南省地方标准《工业与城镇生活用水定额》（DB41/T385-2020）：“机关单位（无食堂）生活用水定额通用值为22m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/（人·a）”，用水量约为1.833m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/d（550m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/a）；废水排放量按用水量的80%计，则废水排放量约为1.467m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/d（440m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/a）。生活污水经化粪池预处理后进入濮阳市第三污水处理厂处理达标后，排入金堤河。</w:t>
            </w:r>
          </w:p>
          <w:p>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项目水平衡图如下：</w:t>
            </w:r>
          </w:p>
          <w:p>
            <w:pPr>
              <w:pStyle w:val="15"/>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object>
                <v:shape id="_x0000_i1025" o:spt="75" type="#_x0000_t75" style="height:85.25pt;width:374.3pt;" o:ole="t" filled="f" o:preferrelative="t" stroked="f" coordsize="21600,21600">
                  <v:path/>
                  <v:fill on="f" focussize="0,0"/>
                  <v:stroke on="f"/>
                  <v:imagedata r:id="rId18" cropleft="6398f" croptop="18306f" cropright="7976f" cropbottom="30623f" o:title=""/>
                  <o:lock v:ext="edit" aspectratio="f"/>
                  <w10:wrap type="none"/>
                  <w10:anchorlock/>
                </v:shape>
                <o:OLEObject Type="Embed" ProgID="Visio.Drawing.11" ShapeID="_x0000_i1025" DrawAspect="Content" ObjectID="_1468075725" r:id="rId17">
                  <o:LockedField>false</o:LockedField>
                </o:OLEObject>
              </w:object>
            </w:r>
          </w:p>
          <w:p>
            <w:pPr>
              <w:pStyle w:val="15"/>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图2-2  本项目水平衡图  单位m</w:t>
            </w:r>
            <w:r>
              <w:rPr>
                <w:rFonts w:hint="default" w:ascii="Times New Roman" w:hAnsi="Times New Roman" w:eastAsia="宋体" w:cs="Times New Roman"/>
                <w:b/>
                <w:bCs/>
                <w:color w:val="000000" w:themeColor="text1"/>
                <w:sz w:val="21"/>
                <w:szCs w:val="24"/>
                <w:vertAlign w:val="superscript"/>
                <w:lang w:val="en-US" w:eastAsia="zh-CN"/>
                <w14:textFill>
                  <w14:solidFill>
                    <w14:schemeClr w14:val="tx1"/>
                  </w14:solidFill>
                </w14:textFill>
              </w:rPr>
              <w:t>3</w:t>
            </w: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/a</w:t>
            </w:r>
          </w:p>
          <w:p>
            <w:pPr>
              <w:pStyle w:val="1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7、总平面布置</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本项目生产</w:t>
            </w:r>
            <w:r>
              <w:rPr>
                <w:rFonts w:hint="default" w:ascii="Times New Roman" w:hAnsi="Times New Roman" w:eastAsia="宋体" w:cs="Times New Roman"/>
                <w:color w:val="000000" w:themeColor="text1"/>
                <w:sz w:val="24"/>
                <w:lang w:val="en-US" w:eastAsia="zh-CN"/>
                <w14:textFill>
                  <w14:solidFill>
                    <w14:schemeClr w14:val="tx1"/>
                  </w14:solidFill>
                </w14:textFill>
              </w:rPr>
              <w:t>车间</w:t>
            </w:r>
            <w:r>
              <w:rPr>
                <w:rFonts w:hint="default" w:ascii="Times New Roman" w:hAnsi="Times New Roman" w:eastAsia="宋体" w:cs="Times New Roman"/>
                <w:color w:val="000000" w:themeColor="text1"/>
                <w:sz w:val="24"/>
                <w14:textFill>
                  <w14:solidFill>
                    <w14:schemeClr w14:val="tx1"/>
                  </w14:solidFill>
                </w14:textFill>
              </w:rPr>
              <w:t>主要布置于</w:t>
            </w:r>
            <w:r>
              <w:rPr>
                <w:rFonts w:hint="default" w:ascii="Times New Roman" w:hAnsi="Times New Roman" w:eastAsia="宋体" w:cs="Times New Roman"/>
                <w:color w:val="000000" w:themeColor="text1"/>
                <w:sz w:val="24"/>
                <w:lang w:val="en-US" w:eastAsia="zh-CN"/>
                <w14:textFill>
                  <w14:solidFill>
                    <w14:schemeClr w14:val="tx1"/>
                  </w14:solidFill>
                </w14:textFill>
              </w:rPr>
              <w:t>厂区</w:t>
            </w:r>
            <w:r>
              <w:rPr>
                <w:rFonts w:hint="default" w:ascii="Times New Roman" w:hAnsi="Times New Roman" w:eastAsia="宋体" w:cs="Times New Roman"/>
                <w:color w:val="000000" w:themeColor="text1"/>
                <w:sz w:val="24"/>
                <w14:textFill>
                  <w14:solidFill>
                    <w14:schemeClr w14:val="tx1"/>
                  </w14:solidFill>
                </w14:textFill>
              </w:rPr>
              <w:t>北侧，</w:t>
            </w:r>
            <w:r>
              <w:rPr>
                <w:rFonts w:hint="default" w:ascii="Times New Roman" w:hAnsi="Times New Roman" w:eastAsia="宋体" w:cs="Times New Roman"/>
                <w:color w:val="000000" w:themeColor="text1"/>
                <w:sz w:val="24"/>
                <w:lang w:val="en-US" w:eastAsia="zh-CN"/>
                <w14:textFill>
                  <w14:solidFill>
                    <w14:schemeClr w14:val="tx1"/>
                  </w14:solidFill>
                </w14:textFill>
              </w:rPr>
              <w:t>内部布设有生产区、原料储存区、成品储存区</w:t>
            </w:r>
            <w:r>
              <w:rPr>
                <w:rFonts w:hint="default" w:ascii="Times New Roman" w:hAnsi="Times New Roman" w:eastAsia="宋体" w:cs="Times New Roman"/>
                <w:color w:val="000000" w:themeColor="text1"/>
                <w:sz w:val="24"/>
                <w14:textFill>
                  <w14:solidFill>
                    <w14:schemeClr w14:val="tx1"/>
                  </w14:solidFill>
                </w14:textFill>
              </w:rPr>
              <w:t>，生产线全部布置于密闭车间内，能够减少无组织废气及高噪声设备对于项目四周的影响。项目设备按照生产线紧邻布置，各个工序相互衔接，原料及成品暂存于生产</w:t>
            </w:r>
            <w:r>
              <w:rPr>
                <w:rFonts w:hint="default" w:ascii="Times New Roman" w:hAnsi="Times New Roman" w:eastAsia="宋体" w:cs="Times New Roman"/>
                <w:color w:val="000000" w:themeColor="text1"/>
                <w:sz w:val="24"/>
                <w:lang w:val="en-US" w:eastAsia="zh-CN"/>
                <w14:textFill>
                  <w14:solidFill>
                    <w14:schemeClr w14:val="tx1"/>
                  </w14:solidFill>
                </w14:textFill>
              </w:rPr>
              <w:t>区两</w:t>
            </w:r>
            <w:r>
              <w:rPr>
                <w:rFonts w:hint="default" w:ascii="Times New Roman" w:hAnsi="Times New Roman" w:eastAsia="宋体" w:cs="Times New Roman"/>
                <w:color w:val="000000" w:themeColor="text1"/>
                <w:sz w:val="24"/>
                <w14:textFill>
                  <w14:solidFill>
                    <w14:schemeClr w14:val="tx1"/>
                  </w14:solidFill>
                </w14:textFill>
              </w:rPr>
              <w:t>侧，减少了物料运输距离，可有效提高工作效率。</w:t>
            </w:r>
            <w:r>
              <w:rPr>
                <w:rFonts w:hint="default" w:ascii="Times New Roman" w:hAnsi="Times New Roman" w:eastAsia="宋体" w:cs="Times New Roman"/>
                <w:color w:val="000000" w:themeColor="text1"/>
                <w:sz w:val="24"/>
                <w:lang w:val="en-US" w:eastAsia="zh-CN"/>
                <w14:textFill>
                  <w14:solidFill>
                    <w14:schemeClr w14:val="tx1"/>
                  </w14:solidFill>
                </w14:textFill>
              </w:rPr>
              <w:t>生产车间内侧为办公区，最大限度减少了生产过程对办公生活产生的影响</w:t>
            </w:r>
            <w:r>
              <w:rPr>
                <w:rFonts w:hint="default" w:ascii="Times New Roman" w:hAnsi="Times New Roman" w:eastAsia="宋体" w:cs="Times New Roman"/>
                <w:color w:val="000000" w:themeColor="text1"/>
                <w:sz w:val="24"/>
                <w14:textFill>
                  <w14:solidFill>
                    <w14:schemeClr w14:val="tx1"/>
                  </w14:solidFill>
                </w14:textFill>
              </w:rPr>
              <w:t>。综上项目平面布局合理。项目平面布置图详见附图</w:t>
            </w:r>
            <w:r>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7" w:type="dxa"/>
            <w:vAlign w:val="center"/>
          </w:tcPr>
          <w:p>
            <w:pPr>
              <w:pStyle w:val="15"/>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工艺流程和产排污环节</w:t>
            </w:r>
          </w:p>
        </w:tc>
        <w:tc>
          <w:tcPr>
            <w:tcW w:w="7885" w:type="dxa"/>
            <w:vAlign w:val="top"/>
          </w:tcPr>
          <w:p>
            <w:pPr>
              <w:pStyle w:val="1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1、施工期工艺流程及产污环节</w:t>
            </w:r>
          </w:p>
          <w:p>
            <w:pPr>
              <w:bidi w:val="0"/>
              <w:jc w:val="cente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anchor distT="0" distB="0" distL="114300" distR="114300" simplePos="0" relativeHeight="251665408" behindDoc="1" locked="0" layoutInCell="1" allowOverlap="1">
                  <wp:simplePos x="0" y="0"/>
                  <wp:positionH relativeFrom="column">
                    <wp:posOffset>113665</wp:posOffset>
                  </wp:positionH>
                  <wp:positionV relativeFrom="paragraph">
                    <wp:posOffset>71120</wp:posOffset>
                  </wp:positionV>
                  <wp:extent cx="4566285" cy="1270635"/>
                  <wp:effectExtent l="0" t="0" r="5715" b="5715"/>
                  <wp:wrapTight wrapText="bothSides">
                    <wp:wrapPolygon>
                      <wp:start x="21592" y="-2"/>
                      <wp:lineTo x="0" y="0"/>
                      <wp:lineTo x="0" y="21600"/>
                      <wp:lineTo x="21592" y="21602"/>
                      <wp:lineTo x="8" y="21602"/>
                      <wp:lineTo x="21600" y="21600"/>
                      <wp:lineTo x="21600" y="0"/>
                      <wp:lineTo x="8" y="-2"/>
                      <wp:lineTo x="21592" y="-2"/>
                    </wp:wrapPolygon>
                  </wp:wrapTight>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19"/>
                          <a:stretch>
                            <a:fillRect/>
                          </a:stretch>
                        </pic:blipFill>
                        <pic:spPr>
                          <a:xfrm>
                            <a:off x="0" y="0"/>
                            <a:ext cx="4566285" cy="1270635"/>
                          </a:xfrm>
                          <a:prstGeom prst="rect">
                            <a:avLst/>
                          </a:prstGeom>
                          <a:noFill/>
                          <a:ln>
                            <a:noFill/>
                          </a:ln>
                        </pic:spPr>
                      </pic:pic>
                    </a:graphicData>
                  </a:graphic>
                </wp:anchor>
              </w:drawing>
            </w: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图2-3  项目施工期工艺流程及排污环节图</w:t>
            </w:r>
          </w:p>
          <w:p>
            <w:pPr>
              <w:pStyle w:val="1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2、营运期工艺流程及产污环节</w:t>
            </w:r>
          </w:p>
          <w:p>
            <w:pPr>
              <w:bidi w:val="0"/>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object>
                <v:shape id="_x0000_i1026" o:spt="75" type="#_x0000_t75" style="height:443.2pt;width:370.3pt;" o:ole="t" filled="f" o:preferrelative="t" stroked="f" coordsize="21600,21600">
                  <v:path/>
                  <v:fill on="f" focussize="0,0"/>
                  <v:stroke on="f"/>
                  <v:imagedata r:id="rId21" o:title=""/>
                  <o:lock v:ext="edit" aspectratio="f"/>
                  <w10:wrap type="none"/>
                  <w10:anchorlock/>
                </v:shape>
                <o:OLEObject Type="Embed" ProgID="Visio.Drawing.11" ShapeID="_x0000_i1026" DrawAspect="Content" ObjectID="_1468075726" r:id="rId20">
                  <o:LockedField>false</o:LockedField>
                </o:OLEObject>
              </w:object>
            </w:r>
          </w:p>
          <w:p>
            <w:pPr>
              <w:pStyle w:val="15"/>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图2-4  内燃机滤芯工艺流程图</w:t>
            </w:r>
          </w:p>
          <w:p>
            <w:pPr>
              <w:pStyle w:val="1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工艺流程简述：</w:t>
            </w:r>
          </w:p>
          <w:p>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本项目内燃机滤芯生产工艺较为简单，外购的原料滤纸经切纸机切割成产品相应尺寸，原料滤网经切网机切割成相应尺寸及端盖后，滤网切割后，经点焊焊接成桶状，并对两端端盖组装后成型（半成品）；切割后的滤纸经粘接成桶状后，与端盖成型的半成品滤网进行组装，组装成型后，进入烘干室进行烘干（电加热），烘干后的成品经检验合格后入库暂存后待售。</w:t>
            </w:r>
          </w:p>
          <w:p>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该工艺生产过程产生的废气主要为滤网切割粉尘、粘接废气、点焊废气、烘干废气；产生的固体废物为废边角料、废包装材料、废焊材焊渣、不合格品；产生的噪声主要为设备运行过程产生的噪声。</w:t>
            </w:r>
          </w:p>
          <w:p>
            <w:pPr>
              <w:pStyle w:val="1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object>
                <v:shape id="_x0000_i1027" o:spt="75" type="#_x0000_t75" style="height:143.8pt;width:376.1pt;" o:ole="t" filled="f" o:preferrelative="t" stroked="f" coordsize="21600,21600">
                  <v:path/>
                  <v:fill on="f" focussize="0,0"/>
                  <v:stroke on="f"/>
                  <v:imagedata r:id="rId23" o:title=""/>
                  <o:lock v:ext="edit" aspectratio="f"/>
                  <w10:wrap type="none"/>
                  <w10:anchorlock/>
                </v:shape>
                <o:OLEObject Type="Embed" ProgID="Visio.Drawing.11" ShapeID="_x0000_i1027" DrawAspect="Content" ObjectID="_1468075727" r:id="rId22">
                  <o:LockedField>false</o:LockedField>
                </o:OLEObject>
              </w:object>
            </w:r>
          </w:p>
          <w:p>
            <w:pPr>
              <w:pStyle w:val="15"/>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图2-5  石油钻采设备及配件工艺流程图</w:t>
            </w:r>
          </w:p>
          <w:p>
            <w:pPr>
              <w:pStyle w:val="1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工艺流程简述：</w:t>
            </w:r>
          </w:p>
          <w:p>
            <w:pPr>
              <w:pStyle w:val="15"/>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本项目石油钻采设备及配件产品主要针对油田钻采企业，采用实用新型技术，根据不同产品的规格要求进行加工生产。本项目采用的原材料均为外购的毛坯件，首先对毛坯件进行下料及粗加工，下料主要为使用数控锯床切割原料成需要的尺寸，粗加工按照零件要求进行锻打（采用空气锤对金属坯料施加压力，使其产生塑性变形，从而获得具有一定形状、尺寸和机械性能），采用数控车床进行车削，车削后的物料进入热处理炉（台车炉、电加热）进行简单解热处理，热处理主要目的是为了增加产品的硬度，加热后在铁箱子内自然冷却，冷却后的产品根据设计尺寸使用车床、钻床、铣床等机械设备进行精加工，零件装配需要焊接部位进行焊接，焊接后的零部件在渗碳炉内进行渗碳。</w:t>
            </w:r>
          </w:p>
          <w:p>
            <w:pPr>
              <w:pStyle w:val="15"/>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热处理（淬火）：将粗车后的工件采用淬火液冷却淬火，淬火液循环使用，定期补加，不外排。项目淬火工序也在热处理炉中进行，热处理炉淬火为间歇式淬火。淬火的目的是使过冷奥氏体进行马氏体或贝氏体转变，得到马氏体或贝氏体组织。淬火液池为密闭结构，淬火过程淬火液挥发形成油雾。</w:t>
            </w:r>
          </w:p>
          <w:p>
            <w:pPr>
              <w:pStyle w:val="15"/>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渗碳</w:t>
            </w: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：指将工件置于具有活性渗碳介质的设备中，加热到900℃左右，保温足够时间后，使渗碳介质中分解出的活性碳原子渗入钢件表层，从而获得表层高碳的金属热处理工艺。</w:t>
            </w: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渗碳层的厚度通常在0.1到2.5mm之间</w:t>
            </w: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。本项目将需要渗碳的工件装入渗碳炉内，同时通入甲醇及氮气作为保护气氛，甲醇可提供碳源，渗碳炉采用电加热，在炉内高温（大于500℃，本</w:t>
            </w: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drawing>
                <wp:anchor distT="0" distB="0" distL="114300" distR="114300" simplePos="0" relativeHeight="253613056" behindDoc="1" locked="0" layoutInCell="1" allowOverlap="1">
                  <wp:simplePos x="0" y="0"/>
                  <wp:positionH relativeFrom="column">
                    <wp:posOffset>2438400</wp:posOffset>
                  </wp:positionH>
                  <wp:positionV relativeFrom="paragraph">
                    <wp:posOffset>1962150</wp:posOffset>
                  </wp:positionV>
                  <wp:extent cx="2307590" cy="1297940"/>
                  <wp:effectExtent l="0" t="0" r="16510" b="16510"/>
                  <wp:wrapNone/>
                  <wp:docPr id="5" name="图片 5" descr="759613b2d3d10bd6796af7dcbd075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759613b2d3d10bd6796af7dcbd075bb"/>
                          <pic:cNvPicPr>
                            <a:picLocks noChangeAspect="1"/>
                          </pic:cNvPicPr>
                        </pic:nvPicPr>
                        <pic:blipFill>
                          <a:blip r:embed="rId24"/>
                          <a:stretch>
                            <a:fillRect/>
                          </a:stretch>
                        </pic:blipFill>
                        <pic:spPr>
                          <a:xfrm>
                            <a:off x="0" y="0"/>
                            <a:ext cx="2307590" cy="1297940"/>
                          </a:xfrm>
                          <a:prstGeom prst="rect">
                            <a:avLst/>
                          </a:prstGeom>
                        </pic:spPr>
                      </pic:pic>
                    </a:graphicData>
                  </a:graphic>
                </wp:anchor>
              </w:drawing>
            </w: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项目渗碳工序保温温度为900℃，该温度下基本已分解，仅极少部分未分解通过设备外壁出气口排出）下分解产生活性碳原子，不断吸附到工件表面，并扩散渗入工件表层内，甲醇起到渗碳碳源。</w:t>
            </w: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渗碳持续时间约5~8h，</w:t>
            </w: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渗碳完成后停止加热保温，由于炉内温度较高，再加上炉内氧气量不足，导致炉内甲醇分解，其分解产物主要为CH</w:t>
            </w:r>
            <w:r>
              <w:rPr>
                <w:rFonts w:hint="default" w:ascii="Times New Roman" w:hAnsi="Times New Roman" w:eastAsia="宋体" w:cs="Times New Roman"/>
                <w:b w:val="0"/>
                <w:bCs w:val="0"/>
                <w:color w:val="000000" w:themeColor="text1"/>
                <w:sz w:val="24"/>
                <w:szCs w:val="32"/>
                <w:vertAlign w:val="subscript"/>
                <w:lang w:val="en-US" w:eastAsia="zh-CN"/>
                <w14:textFill>
                  <w14:solidFill>
                    <w14:schemeClr w14:val="tx1"/>
                  </w14:solidFill>
                </w14:textFill>
              </w:rPr>
              <w:t>4</w:t>
            </w: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、碳原子、H</w:t>
            </w:r>
            <w:r>
              <w:rPr>
                <w:rFonts w:hint="default" w:ascii="Times New Roman" w:hAnsi="Times New Roman" w:eastAsia="宋体" w:cs="Times New Roman"/>
                <w:b w:val="0"/>
                <w:bCs w:val="0"/>
                <w:color w:val="000000" w:themeColor="text1"/>
                <w:sz w:val="24"/>
                <w:szCs w:val="32"/>
                <w:vertAlign w:val="subscript"/>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及CO，其中分解产物碳原子作为渗碳剂被金属工件吸收，渗入到工件表面层，从而获得表层高碳，中心部仍保持原有成分。</w:t>
            </w:r>
          </w:p>
          <w:p>
            <w:pPr>
              <w:pStyle w:val="1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渗碳原理如下：</w:t>
            </w:r>
          </w:p>
          <w:p>
            <w:pPr>
              <w:pStyle w:val="1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甲醇裂解：</w:t>
            </w:r>
          </w:p>
          <w:p>
            <w:pPr>
              <w:pStyle w:val="1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CH</w:t>
            </w:r>
            <w:r>
              <w:rPr>
                <w:rFonts w:hint="default" w:ascii="Times New Roman" w:hAnsi="Times New Roman" w:eastAsia="宋体" w:cs="Times New Roman"/>
                <w:b w:val="0"/>
                <w:bCs w:val="0"/>
                <w:color w:val="000000" w:themeColor="text1"/>
                <w:sz w:val="24"/>
                <w:szCs w:val="32"/>
                <w:vertAlign w:val="subscript"/>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OH→CO+2H</w:t>
            </w:r>
            <w:r>
              <w:rPr>
                <w:rFonts w:hint="default" w:ascii="Times New Roman" w:hAnsi="Times New Roman" w:eastAsia="宋体" w:cs="Times New Roman"/>
                <w:b w:val="0"/>
                <w:bCs w:val="0"/>
                <w:color w:val="000000" w:themeColor="text1"/>
                <w:sz w:val="24"/>
                <w:szCs w:val="32"/>
                <w:vertAlign w:val="subscript"/>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 xml:space="preserve">     CO→C+O</w:t>
            </w:r>
          </w:p>
          <w:p>
            <w:pPr>
              <w:pStyle w:val="1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渗碳：</w:t>
            </w:r>
          </w:p>
          <w:p>
            <w:pPr>
              <w:pStyle w:val="1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 xml:space="preserve">Fe+C→FeC                             </w:t>
            </w: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图2-6  渗碳炉示意图</w:t>
            </w:r>
          </w:p>
          <w:p>
            <w:pPr>
              <w:pStyle w:val="15"/>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渗碳后的工件送至抛丸工序进行打磨，去除毛刺及除锈，经打磨后的工件，进入包装工序进行包装待售。</w:t>
            </w:r>
          </w:p>
          <w:p>
            <w:pPr>
              <w:pStyle w:val="15"/>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该工艺生产过程产生的废气主要为下料过程产生的切割粉尘、焊接烟尘、渗碳废气、打磨粉尘；产生的固体废物为废边角料、废包装材料、废焊材、除尘器收集粉尘；产生的噪声主要为设备运行过程产生的噪声。</w:t>
            </w:r>
          </w:p>
          <w:p>
            <w:pPr>
              <w:pStyle w:val="15"/>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产污环节：</w:t>
            </w:r>
          </w:p>
          <w:p>
            <w:pPr>
              <w:pStyle w:val="1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施工期</w:t>
            </w:r>
          </w:p>
          <w:p>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（1）废气：项目施工期产生的主要废气主要是土方开挖、机械运输、装修废气粉尘和装修室内空气污染等。</w:t>
            </w:r>
          </w:p>
          <w:p>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（2）废水：施工废水主要是施工人员的生活污水。</w:t>
            </w:r>
          </w:p>
          <w:p>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（3）噪声：施工噪声主要为开挖机械、运输噪声、室内凿打声、电钻声和物料撞击声等。</w:t>
            </w:r>
          </w:p>
          <w:p>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（4）固废：施工期的固废主要是装修建筑垃圾和施工人员的生活垃圾等。</w:t>
            </w:r>
          </w:p>
          <w:p>
            <w:pPr>
              <w:pStyle w:val="15"/>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运营期</w:t>
            </w:r>
          </w:p>
          <w:p>
            <w:pPr>
              <w:pStyle w:val="15"/>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表2-5  营运期主要污染工序</w:t>
            </w:r>
          </w:p>
          <w:tbl>
            <w:tblPr>
              <w:tblStyle w:val="16"/>
              <w:tblW w:w="765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2"/>
              <w:gridCol w:w="1136"/>
              <w:gridCol w:w="1284"/>
              <w:gridCol w:w="1303"/>
              <w:gridCol w:w="3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42" w:type="dxa"/>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污染类别</w:t>
                  </w:r>
                </w:p>
              </w:tc>
              <w:tc>
                <w:tcPr>
                  <w:tcW w:w="2420" w:type="dxa"/>
                  <w:gridSpan w:val="2"/>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污染源名称</w:t>
                  </w:r>
                </w:p>
              </w:tc>
              <w:tc>
                <w:tcPr>
                  <w:tcW w:w="1303" w:type="dxa"/>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产生工序</w:t>
                  </w:r>
                </w:p>
              </w:tc>
              <w:tc>
                <w:tcPr>
                  <w:tcW w:w="3185" w:type="dxa"/>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主要污染因子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42" w:type="dxa"/>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废水</w:t>
                  </w:r>
                </w:p>
              </w:tc>
              <w:tc>
                <w:tcPr>
                  <w:tcW w:w="2420" w:type="dxa"/>
                  <w:gridSpan w:val="2"/>
                  <w:vAlign w:val="center"/>
                </w:tcPr>
                <w:p>
                  <w:pPr>
                    <w:pStyle w:val="15"/>
                    <w:ind w:firstLine="0" w:firstLineChars="0"/>
                    <w:jc w:val="center"/>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生活污水</w:t>
                  </w:r>
                </w:p>
              </w:tc>
              <w:tc>
                <w:tcPr>
                  <w:tcW w:w="1303" w:type="dxa"/>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员工生活</w:t>
                  </w:r>
                </w:p>
              </w:tc>
              <w:tc>
                <w:tcPr>
                  <w:tcW w:w="3185" w:type="dxa"/>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pH、BOD</w:t>
                  </w:r>
                  <w:r>
                    <w:rPr>
                      <w:rFonts w:hint="default" w:ascii="Times New Roman" w:hAnsi="Times New Roman" w:eastAsia="宋体" w:cs="Times New Roman"/>
                      <w:color w:val="000000" w:themeColor="text1"/>
                      <w:highlight w:val="none"/>
                      <w:vertAlign w:val="subscript"/>
                      <w:lang w:val="en-US" w:eastAsia="zh-CN"/>
                      <w14:textFill>
                        <w14:solidFill>
                          <w14:schemeClr w14:val="tx1"/>
                        </w14:solidFill>
                      </w14:textFill>
                    </w:rPr>
                    <w:t>5</w:t>
                  </w:r>
                  <w:r>
                    <w:rPr>
                      <w:rFonts w:hint="default" w:ascii="Times New Roman" w:hAnsi="Times New Roman" w:eastAsia="宋体" w:cs="Times New Roman"/>
                      <w:color w:val="000000" w:themeColor="text1"/>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highlight w:val="none"/>
                      <w14:textFill>
                        <w14:solidFill>
                          <w14:schemeClr w14:val="tx1"/>
                        </w14:solidFill>
                      </w14:textFill>
                    </w:rPr>
                    <w:t>COD、SS、氨氮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trPr>
              <w:tc>
                <w:tcPr>
                  <w:tcW w:w="742" w:type="dxa"/>
                  <w:vMerge w:val="restart"/>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废气</w:t>
                  </w:r>
                </w:p>
              </w:tc>
              <w:tc>
                <w:tcPr>
                  <w:tcW w:w="1136" w:type="dxa"/>
                  <w:vMerge w:val="restart"/>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内燃机滤芯生产线</w:t>
                  </w:r>
                </w:p>
              </w:tc>
              <w:tc>
                <w:tcPr>
                  <w:tcW w:w="1284"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切割粉尘</w:t>
                  </w:r>
                </w:p>
              </w:tc>
              <w:tc>
                <w:tcPr>
                  <w:tcW w:w="1303"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滤网切割</w:t>
                  </w:r>
                </w:p>
              </w:tc>
              <w:tc>
                <w:tcPr>
                  <w:tcW w:w="3185" w:type="dxa"/>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1136"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1284"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焊接烟尘</w:t>
                  </w:r>
                </w:p>
              </w:tc>
              <w:tc>
                <w:tcPr>
                  <w:tcW w:w="1303"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点焊工序</w:t>
                  </w:r>
                </w:p>
              </w:tc>
              <w:tc>
                <w:tcPr>
                  <w:tcW w:w="3185" w:type="dxa"/>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1136" w:type="dxa"/>
                  <w:vMerge w:val="continue"/>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1284"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粘接废气</w:t>
                  </w:r>
                </w:p>
              </w:tc>
              <w:tc>
                <w:tcPr>
                  <w:tcW w:w="1303"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粘接工序</w:t>
                  </w:r>
                </w:p>
              </w:tc>
              <w:tc>
                <w:tcPr>
                  <w:tcW w:w="3185" w:type="dxa"/>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1136" w:type="dxa"/>
                  <w:vMerge w:val="continue"/>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1284"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烘干废气</w:t>
                  </w:r>
                </w:p>
              </w:tc>
              <w:tc>
                <w:tcPr>
                  <w:tcW w:w="1303"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烘干工序</w:t>
                  </w:r>
                </w:p>
              </w:tc>
              <w:tc>
                <w:tcPr>
                  <w:tcW w:w="3185" w:type="dxa"/>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1136" w:type="dxa"/>
                  <w:vMerge w:val="restart"/>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石油钻采设备及配件生产线</w:t>
                  </w:r>
                </w:p>
              </w:tc>
              <w:tc>
                <w:tcPr>
                  <w:tcW w:w="1284"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下料粉尘</w:t>
                  </w:r>
                </w:p>
              </w:tc>
              <w:tc>
                <w:tcPr>
                  <w:tcW w:w="1303"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下料工序</w:t>
                  </w:r>
                </w:p>
              </w:tc>
              <w:tc>
                <w:tcPr>
                  <w:tcW w:w="3185"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3"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1136"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1284"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焊接烟尘</w:t>
                  </w:r>
                </w:p>
              </w:tc>
              <w:tc>
                <w:tcPr>
                  <w:tcW w:w="1303"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焊接工序</w:t>
                  </w:r>
                </w:p>
              </w:tc>
              <w:tc>
                <w:tcPr>
                  <w:tcW w:w="3185"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1136"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1284"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热处理废气</w:t>
                  </w:r>
                </w:p>
              </w:tc>
              <w:tc>
                <w:tcPr>
                  <w:tcW w:w="1303"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热处理工序</w:t>
                  </w:r>
                </w:p>
              </w:tc>
              <w:tc>
                <w:tcPr>
                  <w:tcW w:w="3185"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油雾（颗粒物）、非甲烷总烃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1136"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1284"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渗碳废气</w:t>
                  </w:r>
                </w:p>
              </w:tc>
              <w:tc>
                <w:tcPr>
                  <w:tcW w:w="1303"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渗碳工序</w:t>
                  </w:r>
                </w:p>
              </w:tc>
              <w:tc>
                <w:tcPr>
                  <w:tcW w:w="3185"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非甲烷总烃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1136" w:type="dxa"/>
                  <w:vMerge w:val="continue"/>
                  <w:tcBorders>
                    <w:bottom w:val="single" w:color="000000" w:sz="6"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p>
              </w:tc>
              <w:tc>
                <w:tcPr>
                  <w:tcW w:w="1284" w:type="dxa"/>
                  <w:tcBorders>
                    <w:bottom w:val="single" w:color="000000" w:sz="6"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打磨粉尘</w:t>
                  </w:r>
                </w:p>
              </w:tc>
              <w:tc>
                <w:tcPr>
                  <w:tcW w:w="1303" w:type="dxa"/>
                  <w:tcBorders>
                    <w:bottom w:val="single" w:color="000000" w:sz="6" w:space="0"/>
                  </w:tcBorders>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打磨工序</w:t>
                  </w:r>
                </w:p>
              </w:tc>
              <w:tc>
                <w:tcPr>
                  <w:tcW w:w="3185" w:type="dxa"/>
                  <w:tcBorders>
                    <w:bottom w:val="single" w:color="000000" w:sz="6" w:space="0"/>
                  </w:tcBorders>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42" w:type="dxa"/>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噪声</w:t>
                  </w:r>
                </w:p>
              </w:tc>
              <w:tc>
                <w:tcPr>
                  <w:tcW w:w="2420" w:type="dxa"/>
                  <w:gridSpan w:val="2"/>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设备噪声</w:t>
                  </w:r>
                </w:p>
              </w:tc>
              <w:tc>
                <w:tcPr>
                  <w:tcW w:w="1303" w:type="dxa"/>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生产设备运行</w:t>
                  </w:r>
                </w:p>
              </w:tc>
              <w:tc>
                <w:tcPr>
                  <w:tcW w:w="3185" w:type="dxa"/>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42" w:type="dxa"/>
                  <w:vMerge w:val="restart"/>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固废</w:t>
                  </w:r>
                </w:p>
              </w:tc>
              <w:tc>
                <w:tcPr>
                  <w:tcW w:w="2420" w:type="dxa"/>
                  <w:gridSpan w:val="2"/>
                  <w:vAlign w:val="center"/>
                </w:tcPr>
                <w:p>
                  <w:pPr>
                    <w:topLinePunct/>
                    <w:adjustRightInd w:val="0"/>
                    <w:snapToGrid w:val="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废边角料</w:t>
                  </w:r>
                </w:p>
              </w:tc>
              <w:tc>
                <w:tcPr>
                  <w:tcW w:w="1303" w:type="dxa"/>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切割、下料</w:t>
                  </w:r>
                </w:p>
              </w:tc>
              <w:tc>
                <w:tcPr>
                  <w:tcW w:w="3185" w:type="dxa"/>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2420" w:type="dxa"/>
                  <w:gridSpan w:val="2"/>
                  <w:vAlign w:val="center"/>
                </w:tcPr>
                <w:p>
                  <w:pPr>
                    <w:topLinePunct/>
                    <w:adjustRightInd w:val="0"/>
                    <w:snapToGrid w:val="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废钢屑</w:t>
                  </w:r>
                </w:p>
              </w:tc>
              <w:tc>
                <w:tcPr>
                  <w:tcW w:w="1303" w:type="dxa"/>
                  <w:vAlign w:val="center"/>
                </w:tcPr>
                <w:p>
                  <w:pPr>
                    <w:topLinePunct/>
                    <w:adjustRightInd w:val="0"/>
                    <w:snapToGrid w:val="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车床加工</w:t>
                  </w:r>
                </w:p>
              </w:tc>
              <w:tc>
                <w:tcPr>
                  <w:tcW w:w="3185" w:type="dxa"/>
                  <w:vAlign w:val="center"/>
                </w:tcPr>
                <w:p>
                  <w:pPr>
                    <w:topLinePunct/>
                    <w:adjustRightInd w:val="0"/>
                    <w:snapToGrid w:val="0"/>
                    <w:jc w:val="center"/>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2420" w:type="dxa"/>
                  <w:gridSpan w:val="2"/>
                  <w:vAlign w:val="center"/>
                </w:tcPr>
                <w:p>
                  <w:pPr>
                    <w:topLinePunct/>
                    <w:adjustRightInd w:val="0"/>
                    <w:snapToGrid w:val="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不合格品</w:t>
                  </w:r>
                </w:p>
              </w:tc>
              <w:tc>
                <w:tcPr>
                  <w:tcW w:w="1303" w:type="dxa"/>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检验工序</w:t>
                  </w:r>
                </w:p>
              </w:tc>
              <w:tc>
                <w:tcPr>
                  <w:tcW w:w="3185" w:type="dxa"/>
                  <w:vAlign w:val="center"/>
                </w:tcPr>
                <w:p>
                  <w:pPr>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2420" w:type="dxa"/>
                  <w:gridSpan w:val="2"/>
                  <w:vAlign w:val="center"/>
                </w:tcPr>
                <w:p>
                  <w:pPr>
                    <w:topLinePunct/>
                    <w:adjustRightInd w:val="0"/>
                    <w:snapToGrid w:val="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废切削液</w:t>
                  </w:r>
                </w:p>
              </w:tc>
              <w:tc>
                <w:tcPr>
                  <w:tcW w:w="1303" w:type="dxa"/>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设备运转</w:t>
                  </w:r>
                </w:p>
              </w:tc>
              <w:tc>
                <w:tcPr>
                  <w:tcW w:w="3185" w:type="dxa"/>
                  <w:vAlign w:val="center"/>
                </w:tcPr>
                <w:p>
                  <w:pPr>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2420" w:type="dxa"/>
                  <w:gridSpan w:val="2"/>
                  <w:vAlign w:val="center"/>
                </w:tcPr>
                <w:p>
                  <w:pPr>
                    <w:topLinePunct/>
                    <w:adjustRightInd w:val="0"/>
                    <w:snapToGrid w:val="0"/>
                    <w:jc w:val="center"/>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废包装</w:t>
                  </w:r>
                  <w:r>
                    <w:rPr>
                      <w:rFonts w:hint="default" w:ascii="Times New Roman" w:hAnsi="Times New Roman" w:eastAsia="宋体" w:cs="Times New Roman"/>
                      <w:color w:val="000000" w:themeColor="text1"/>
                      <w:szCs w:val="21"/>
                      <w:lang w:val="en-US" w:eastAsia="zh-CN"/>
                      <w14:textFill>
                        <w14:solidFill>
                          <w14:schemeClr w14:val="tx1"/>
                        </w14:solidFill>
                      </w14:textFill>
                    </w:rPr>
                    <w:t>材料</w:t>
                  </w:r>
                </w:p>
              </w:tc>
              <w:tc>
                <w:tcPr>
                  <w:tcW w:w="1303" w:type="dxa"/>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包装工序、原料包装</w:t>
                  </w:r>
                </w:p>
              </w:tc>
              <w:tc>
                <w:tcPr>
                  <w:tcW w:w="3185" w:type="dxa"/>
                  <w:vAlign w:val="center"/>
                </w:tcPr>
                <w:p>
                  <w:pPr>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2420" w:type="dxa"/>
                  <w:gridSpan w:val="2"/>
                  <w:vAlign w:val="center"/>
                </w:tcPr>
                <w:p>
                  <w:pPr>
                    <w:topLinePunct/>
                    <w:adjustRightInd w:val="0"/>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废焊材</w:t>
                  </w:r>
                </w:p>
              </w:tc>
              <w:tc>
                <w:tcPr>
                  <w:tcW w:w="1303" w:type="dxa"/>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焊接工序</w:t>
                  </w:r>
                </w:p>
              </w:tc>
              <w:tc>
                <w:tcPr>
                  <w:tcW w:w="3185" w:type="dxa"/>
                  <w:vAlign w:val="center"/>
                </w:tcPr>
                <w:p>
                  <w:pPr>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8"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2420" w:type="dxa"/>
                  <w:gridSpan w:val="2"/>
                  <w:vAlign w:val="center"/>
                </w:tcPr>
                <w:p>
                  <w:pPr>
                    <w:topLinePunct/>
                    <w:adjustRightInd w:val="0"/>
                    <w:snapToGrid w:val="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废活性炭</w:t>
                  </w:r>
                </w:p>
              </w:tc>
              <w:tc>
                <w:tcPr>
                  <w:tcW w:w="1303" w:type="dxa"/>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环保设施</w:t>
                  </w:r>
                </w:p>
              </w:tc>
              <w:tc>
                <w:tcPr>
                  <w:tcW w:w="3185" w:type="dxa"/>
                  <w:vAlign w:val="center"/>
                </w:tcPr>
                <w:p>
                  <w:pPr>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9"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2420" w:type="dxa"/>
                  <w:gridSpan w:val="2"/>
                  <w:vAlign w:val="center"/>
                </w:tcPr>
                <w:p>
                  <w:pPr>
                    <w:topLinePunct/>
                    <w:adjustRightInd w:val="0"/>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废润滑油</w:t>
                  </w:r>
                </w:p>
              </w:tc>
              <w:tc>
                <w:tcPr>
                  <w:tcW w:w="1303" w:type="dxa"/>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设备维护</w:t>
                  </w:r>
                </w:p>
              </w:tc>
              <w:tc>
                <w:tcPr>
                  <w:tcW w:w="3185" w:type="dxa"/>
                  <w:vAlign w:val="center"/>
                </w:tcPr>
                <w:p>
                  <w:pPr>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2420" w:type="dxa"/>
                  <w:gridSpan w:val="2"/>
                  <w:vAlign w:val="center"/>
                </w:tcPr>
                <w:p>
                  <w:pPr>
                    <w:topLinePunct/>
                    <w:adjustRightInd w:val="0"/>
                    <w:snapToGrid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废包装桶</w:t>
                  </w:r>
                </w:p>
              </w:tc>
              <w:tc>
                <w:tcPr>
                  <w:tcW w:w="1303" w:type="dxa"/>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双组份胶/润滑油</w:t>
                  </w:r>
                </w:p>
              </w:tc>
              <w:tc>
                <w:tcPr>
                  <w:tcW w:w="3185" w:type="dxa"/>
                  <w:vAlign w:val="center"/>
                </w:tcPr>
                <w:p>
                  <w:pPr>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2420" w:type="dxa"/>
                  <w:gridSpan w:val="2"/>
                  <w:vAlign w:val="center"/>
                </w:tcPr>
                <w:p>
                  <w:pPr>
                    <w:topLinePunct/>
                    <w:adjustRightInd w:val="0"/>
                    <w:snapToGrid w:val="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除尘器收集粉尘</w:t>
                  </w:r>
                </w:p>
              </w:tc>
              <w:tc>
                <w:tcPr>
                  <w:tcW w:w="1303" w:type="dxa"/>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环保设施</w:t>
                  </w:r>
                </w:p>
              </w:tc>
              <w:tc>
                <w:tcPr>
                  <w:tcW w:w="3185" w:type="dxa"/>
                  <w:vAlign w:val="center"/>
                </w:tcPr>
                <w:p>
                  <w:pPr>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742" w:type="dxa"/>
                  <w:vMerge w:val="continue"/>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p>
              </w:tc>
              <w:tc>
                <w:tcPr>
                  <w:tcW w:w="2420" w:type="dxa"/>
                  <w:gridSpan w:val="2"/>
                  <w:vAlign w:val="center"/>
                </w:tcPr>
                <w:p>
                  <w:pPr>
                    <w:topLinePunct/>
                    <w:adjustRightInd w:val="0"/>
                    <w:snapToGrid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生活垃圾</w:t>
                  </w:r>
                </w:p>
              </w:tc>
              <w:tc>
                <w:tcPr>
                  <w:tcW w:w="1303" w:type="dxa"/>
                  <w:vAlign w:val="center"/>
                </w:tcPr>
                <w:p>
                  <w:pPr>
                    <w:pStyle w:val="15"/>
                    <w:ind w:firstLine="0" w:firstLineChars="0"/>
                    <w:jc w:val="center"/>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员工生活</w:t>
                  </w:r>
                </w:p>
              </w:tc>
              <w:tc>
                <w:tcPr>
                  <w:tcW w:w="3185" w:type="dxa"/>
                  <w:vAlign w:val="center"/>
                </w:tcPr>
                <w:p>
                  <w:pPr>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w:t>
                  </w:r>
                </w:p>
              </w:tc>
            </w:tr>
          </w:tbl>
          <w:p>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2" w:hRule="atLeast"/>
        </w:trPr>
        <w:tc>
          <w:tcPr>
            <w:tcW w:w="637" w:type="dxa"/>
            <w:vAlign w:val="center"/>
          </w:tcPr>
          <w:p>
            <w:pPr>
              <w:pStyle w:val="15"/>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与项目有关的原有环境污染问题</w:t>
            </w:r>
          </w:p>
        </w:tc>
        <w:tc>
          <w:tcPr>
            <w:tcW w:w="7885" w:type="dxa"/>
            <w:vAlign w:val="top"/>
          </w:tcPr>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bCs/>
                <w:color w:val="000000" w:themeColor="text1"/>
                <w:kern w:val="0"/>
                <w:sz w:val="24"/>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u w:val="none"/>
                <w:lang w:val="en-US" w:eastAsia="zh-CN"/>
                <w14:textFill>
                  <w14:solidFill>
                    <w14:schemeClr w14:val="tx1"/>
                  </w14:solidFill>
                </w14:textFill>
              </w:rPr>
              <w:t>一、现有工程情况</w:t>
            </w:r>
          </w:p>
          <w:p>
            <w:pPr>
              <w:widowControl/>
              <w:snapToGrid w:val="0"/>
              <w:spacing w:line="360" w:lineRule="auto"/>
              <w:ind w:firstLine="482"/>
              <w:jc w:val="left"/>
              <w:textAlignment w:val="top"/>
              <w:rPr>
                <w:rFonts w:hint="default" w:ascii="Times New Roman" w:hAnsi="Times New Roman" w:eastAsia="宋体" w:cs="Times New Roman"/>
                <w:b/>
                <w:bCs/>
                <w:color w:val="000000" w:themeColor="text1"/>
                <w:kern w:val="0"/>
                <w:sz w:val="24"/>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u w:val="single"/>
                <w:vertAlign w:val="baseline"/>
                <w:lang w:val="en-US" w:eastAsia="zh-CN"/>
                <w14:textFill>
                  <w14:solidFill>
                    <w14:schemeClr w14:val="tx1"/>
                  </w14:solidFill>
                </w14:textFill>
              </w:rPr>
              <w:t>濮阳市国胜机械加工有限公司成立于2003年，公司位于濮阳市106国道北段工业园，是一家以生产滤芯及石油钻采设备及配件为主的企业，2017年9月委托广州环发环保工程有限公司编制《濮阳市国胜机械加工有限公司年产滤芯21万只项目现状环境影响评估报告》，2021年7月委托山东蒲公英环保技术有限公司编制《濮阳市国胜机械加工有限公司国胜钻采设备配件加工项目环境影响评价报告表》，2021年7月14日通过濮阳市生态环境局华龙分局审批，批复文号：华龙环审表[2021]22号，2021年12月进行自主验收；2022年10月，委托河南青城环保科技有限公司编制《濮阳市国胜机械加工有限公司新增生产设备及抛丸工序项目环境影响评价报告表》2022年10月18日通过濮阳市生态环境局华龙分局审批，批复文号：华龙环审表[2022]12号；2023年1月进行自主验收。</w:t>
            </w:r>
          </w:p>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val="0"/>
                <w:bCs w:val="0"/>
                <w:color w:val="000000" w:themeColor="text1"/>
                <w:kern w:val="0"/>
                <w:sz w:val="24"/>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u w:val="none"/>
                <w:lang w:val="en-US" w:eastAsia="zh-CN"/>
                <w14:textFill>
                  <w14:solidFill>
                    <w14:schemeClr w14:val="tx1"/>
                  </w14:solidFill>
                </w14:textFill>
              </w:rPr>
              <w:t>现有工程环保手续履行情况见下表。</w:t>
            </w:r>
          </w:p>
          <w:p>
            <w:pPr>
              <w:pStyle w:val="15"/>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表2-6  现有工程环保手续履行情况一览表</w:t>
            </w:r>
          </w:p>
          <w:tbl>
            <w:tblPr>
              <w:tblStyle w:val="16"/>
              <w:tblW w:w="7666" w:type="dxa"/>
              <w:tblInd w:w="0" w:type="dxa"/>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Layout w:type="fixed"/>
              <w:tblCellMar>
                <w:top w:w="0" w:type="dxa"/>
                <w:left w:w="108" w:type="dxa"/>
                <w:bottom w:w="0" w:type="dxa"/>
                <w:right w:w="108" w:type="dxa"/>
              </w:tblCellMar>
            </w:tblPr>
            <w:tblGrid>
              <w:gridCol w:w="1684"/>
              <w:gridCol w:w="2075"/>
              <w:gridCol w:w="1300"/>
              <w:gridCol w:w="2607"/>
            </w:tblGrid>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684" w:type="dxa"/>
                  <w:tcBorders>
                    <w:top w:val="single" w:color="auto" w:sz="4" w:space="0"/>
                    <w:left w:val="single" w:color="auto" w:sz="0" w:space="0"/>
                    <w:tl2br w:val="nil"/>
                    <w:tr2bl w:val="nil"/>
                  </w:tcBorders>
                  <w:vAlign w:val="center"/>
                </w:tcPr>
                <w:p>
                  <w:pPr>
                    <w:jc w:val="center"/>
                    <w:rPr>
                      <w:rFonts w:hint="default" w:ascii="Times New Roman" w:hAnsi="Times New Roman" w:eastAsia="宋体" w:cs="Times New Roman"/>
                      <w:b/>
                      <w:bCs/>
                      <w:color w:val="000000" w:themeColor="text1"/>
                      <w:spacing w:val="6"/>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spacing w:val="6"/>
                      <w:szCs w:val="21"/>
                      <w:u w:val="none"/>
                      <w:lang w:val="en-US" w:eastAsia="zh-CN"/>
                      <w14:textFill>
                        <w14:solidFill>
                          <w14:schemeClr w14:val="tx1"/>
                        </w14:solidFill>
                      </w14:textFill>
                    </w:rPr>
                    <w:t>项目名称</w:t>
                  </w:r>
                </w:p>
              </w:tc>
              <w:tc>
                <w:tcPr>
                  <w:tcW w:w="2075" w:type="dxa"/>
                  <w:tcBorders>
                    <w:top w:val="single" w:color="auto" w:sz="4" w:space="0"/>
                    <w:tl2br w:val="nil"/>
                    <w:tr2bl w:val="nil"/>
                  </w:tcBorders>
                  <w:vAlign w:val="center"/>
                </w:tcPr>
                <w:p>
                  <w:pPr>
                    <w:jc w:val="center"/>
                    <w:rPr>
                      <w:rFonts w:hint="default" w:ascii="Times New Roman" w:hAnsi="Times New Roman" w:eastAsia="宋体" w:cs="Times New Roman"/>
                      <w:b/>
                      <w:bCs/>
                      <w:color w:val="000000" w:themeColor="text1"/>
                      <w:spacing w:val="6"/>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spacing w:val="6"/>
                      <w:szCs w:val="21"/>
                      <w:u w:val="none"/>
                      <w:lang w:val="en-US" w:eastAsia="zh-CN"/>
                      <w14:textFill>
                        <w14:solidFill>
                          <w14:schemeClr w14:val="tx1"/>
                        </w14:solidFill>
                      </w14:textFill>
                    </w:rPr>
                    <w:t>环评手续</w:t>
                  </w:r>
                </w:p>
              </w:tc>
              <w:tc>
                <w:tcPr>
                  <w:tcW w:w="1300" w:type="dxa"/>
                  <w:tcBorders>
                    <w:top w:val="single" w:color="auto" w:sz="4" w:space="0"/>
                    <w:tl2br w:val="nil"/>
                    <w:tr2bl w:val="nil"/>
                  </w:tcBorders>
                  <w:vAlign w:val="center"/>
                </w:tcPr>
                <w:p>
                  <w:pPr>
                    <w:jc w:val="center"/>
                    <w:rPr>
                      <w:rFonts w:hint="default" w:ascii="Times New Roman" w:hAnsi="Times New Roman" w:eastAsia="宋体" w:cs="Times New Roman"/>
                      <w:b/>
                      <w:bCs/>
                      <w:color w:val="000000" w:themeColor="text1"/>
                      <w:spacing w:val="6"/>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spacing w:val="6"/>
                      <w:szCs w:val="21"/>
                      <w:u w:val="none"/>
                      <w:lang w:val="en-US" w:eastAsia="zh-CN"/>
                      <w14:textFill>
                        <w14:solidFill>
                          <w14:schemeClr w14:val="tx1"/>
                        </w14:solidFill>
                      </w14:textFill>
                    </w:rPr>
                    <w:t>竣工环境保护验收</w:t>
                  </w:r>
                </w:p>
              </w:tc>
              <w:tc>
                <w:tcPr>
                  <w:tcW w:w="2607" w:type="dxa"/>
                  <w:tcBorders>
                    <w:top w:val="single" w:color="auto" w:sz="4" w:space="0"/>
                    <w:right w:val="single" w:color="auto" w:sz="4" w:space="0"/>
                    <w:tl2br w:val="nil"/>
                    <w:tr2bl w:val="nil"/>
                  </w:tcBorders>
                  <w:vAlign w:val="center"/>
                </w:tcPr>
                <w:p>
                  <w:pPr>
                    <w:jc w:val="center"/>
                    <w:rPr>
                      <w:rFonts w:hint="default" w:ascii="Times New Roman" w:hAnsi="Times New Roman" w:eastAsia="宋体" w:cs="Times New Roman"/>
                      <w:b/>
                      <w:bCs/>
                      <w:color w:val="000000" w:themeColor="text1"/>
                      <w:spacing w:val="6"/>
                      <w:szCs w:val="21"/>
                      <w:u w:val="none"/>
                      <w:lang w:val="en-US" w:eastAsia="zh-CN"/>
                      <w14:textFill>
                        <w14:solidFill>
                          <w14:schemeClr w14:val="tx1"/>
                        </w14:solidFill>
                      </w14:textFill>
                    </w:rPr>
                  </w:pPr>
                  <w:r>
                    <w:rPr>
                      <w:rFonts w:hint="default" w:ascii="Times New Roman" w:hAnsi="Times New Roman" w:eastAsia="宋体" w:cs="Times New Roman"/>
                      <w:b/>
                      <w:bCs/>
                      <w:color w:val="000000" w:themeColor="text1"/>
                      <w:spacing w:val="6"/>
                      <w:szCs w:val="21"/>
                      <w:u w:val="none"/>
                      <w:lang w:val="en-US" w:eastAsia="zh-CN"/>
                      <w14:textFill>
                        <w14:solidFill>
                          <w14:schemeClr w14:val="tx1"/>
                        </w14:solidFill>
                      </w14:textFill>
                    </w:rPr>
                    <w:t>排污许可</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684" w:type="dxa"/>
                  <w:tcBorders>
                    <w:left w:val="single" w:color="auto" w:sz="4" w:space="0"/>
                    <w:bottom w:val="single" w:color="auto" w:sz="4" w:space="0"/>
                    <w:tl2br w:val="nil"/>
                    <w:tr2bl w:val="nil"/>
                  </w:tcBorders>
                  <w:vAlign w:val="center"/>
                </w:tcPr>
                <w:p>
                  <w:pPr>
                    <w:jc w:val="cente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t>濮阳市国胜机械加工有限公司年产滤芯21万只项目</w:t>
                  </w:r>
                </w:p>
              </w:tc>
              <w:tc>
                <w:tcPr>
                  <w:tcW w:w="2075" w:type="dxa"/>
                  <w:tcBorders>
                    <w:bottom w:val="single" w:color="auto" w:sz="4" w:space="0"/>
                    <w:tl2br w:val="nil"/>
                    <w:tr2bl w:val="nil"/>
                  </w:tcBorders>
                  <w:vAlign w:val="center"/>
                </w:tcPr>
                <w:p>
                  <w:pPr>
                    <w:jc w:val="cente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t>2017年9月委托广州环发环保工程有限公司进行现状环境影响评估</w:t>
                  </w:r>
                </w:p>
              </w:tc>
              <w:tc>
                <w:tcPr>
                  <w:tcW w:w="1300" w:type="dxa"/>
                  <w:tcBorders>
                    <w:bottom w:val="single" w:color="auto" w:sz="4" w:space="0"/>
                    <w:tl2br w:val="nil"/>
                    <w:tr2bl w:val="nil"/>
                  </w:tcBorders>
                  <w:vAlign w:val="center"/>
                </w:tcPr>
                <w:p>
                  <w:pPr>
                    <w:jc w:val="cente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t>/</w:t>
                  </w:r>
                </w:p>
              </w:tc>
              <w:tc>
                <w:tcPr>
                  <w:tcW w:w="2607" w:type="dxa"/>
                  <w:tcBorders>
                    <w:bottom w:val="single" w:color="auto" w:sz="4" w:space="0"/>
                    <w:right w:val="single" w:color="auto" w:sz="4" w:space="0"/>
                    <w:tl2br w:val="nil"/>
                    <w:tr2bl w:val="nil"/>
                  </w:tcBorders>
                  <w:vAlign w:val="center"/>
                </w:tcPr>
                <w:p>
                  <w:pPr>
                    <w:jc w:val="cente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t>/</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684" w:type="dxa"/>
                  <w:tcBorders>
                    <w:top w:val="single" w:color="auto" w:sz="4" w:space="0"/>
                    <w:left w:val="single" w:color="auto" w:sz="4" w:space="0"/>
                    <w:bottom w:val="single" w:color="auto" w:sz="4" w:space="0"/>
                    <w:tl2br w:val="nil"/>
                    <w:tr2bl w:val="nil"/>
                  </w:tcBorders>
                  <w:vAlign w:val="center"/>
                </w:tcPr>
                <w:p>
                  <w:pPr>
                    <w:jc w:val="cente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t>濮阳市国胜机械加工有限公司国胜钻采设备配件加工项目</w:t>
                  </w:r>
                </w:p>
              </w:tc>
              <w:tc>
                <w:tcPr>
                  <w:tcW w:w="2075" w:type="dxa"/>
                  <w:tcBorders>
                    <w:top w:val="single" w:color="auto" w:sz="4" w:space="0"/>
                    <w:bottom w:val="single" w:color="auto" w:sz="4" w:space="0"/>
                    <w:tl2br w:val="nil"/>
                    <w:tr2bl w:val="nil"/>
                  </w:tcBorders>
                  <w:vAlign w:val="center"/>
                </w:tcPr>
                <w:p>
                  <w:pPr>
                    <w:jc w:val="cente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t>2021年7月14日通过濮阳市生态环境局华龙分局审批，批复文号：华龙环审表[2021]22号</w:t>
                  </w:r>
                </w:p>
              </w:tc>
              <w:tc>
                <w:tcPr>
                  <w:tcW w:w="1300" w:type="dxa"/>
                  <w:tcBorders>
                    <w:top w:val="single" w:color="auto" w:sz="4" w:space="0"/>
                    <w:bottom w:val="single" w:color="auto" w:sz="4" w:space="0"/>
                    <w:tl2br w:val="nil"/>
                    <w:tr2bl w:val="nil"/>
                  </w:tcBorders>
                  <w:vAlign w:val="center"/>
                </w:tcPr>
                <w:p>
                  <w:pPr>
                    <w:jc w:val="cente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t>2021年12月自主验收</w:t>
                  </w:r>
                </w:p>
              </w:tc>
              <w:tc>
                <w:tcPr>
                  <w:tcW w:w="2607" w:type="dxa"/>
                  <w:tcBorders>
                    <w:top w:val="single" w:color="auto" w:sz="4" w:space="0"/>
                    <w:bottom w:val="single" w:color="auto" w:sz="4" w:space="0"/>
                    <w:right w:val="single" w:color="auto" w:sz="4" w:space="0"/>
                    <w:tl2br w:val="nil"/>
                    <w:tr2bl w:val="nil"/>
                  </w:tcBorders>
                  <w:vAlign w:val="center"/>
                </w:tcPr>
                <w:p>
                  <w:pPr>
                    <w:jc w:val="cente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t>2021年10月20日取得排污许可证（登记编号914109027522791395002Z）</w:t>
                  </w:r>
                </w:p>
              </w:tc>
            </w:tr>
            <w:tr>
              <w:tblPrEx>
                <w:tblBorders>
                  <w:top w:val="single" w:color="auto" w:sz="12" w:space="0"/>
                  <w:left w:val="none" w:color="auto" w:sz="0" w:space="0"/>
                  <w:bottom w:val="single" w:color="auto" w:sz="12" w:space="0"/>
                  <w:right w:val="none" w:color="auto" w:sz="0" w:space="0"/>
                  <w:insideH w:val="single" w:color="auto" w:sz="2" w:space="0"/>
                  <w:insideV w:val="single" w:color="auto" w:sz="2" w:space="0"/>
                </w:tblBorders>
                <w:tblCellMar>
                  <w:top w:w="0" w:type="dxa"/>
                  <w:left w:w="108" w:type="dxa"/>
                  <w:bottom w:w="0" w:type="dxa"/>
                  <w:right w:w="108" w:type="dxa"/>
                </w:tblCellMar>
              </w:tblPrEx>
              <w:tc>
                <w:tcPr>
                  <w:tcW w:w="1684" w:type="dxa"/>
                  <w:tcBorders>
                    <w:top w:val="single" w:color="auto" w:sz="4" w:space="0"/>
                    <w:left w:val="single" w:color="auto" w:sz="4" w:space="0"/>
                    <w:bottom w:val="single" w:color="auto" w:sz="4" w:space="0"/>
                    <w:tl2br w:val="nil"/>
                    <w:tr2bl w:val="nil"/>
                  </w:tcBorders>
                  <w:vAlign w:val="center"/>
                </w:tcPr>
                <w:p>
                  <w:pPr>
                    <w:jc w:val="cente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t>濮阳市国胜机械加工有限公司新增生产设备及抛丸工序项目</w:t>
                  </w:r>
                </w:p>
              </w:tc>
              <w:tc>
                <w:tcPr>
                  <w:tcW w:w="2075" w:type="dxa"/>
                  <w:tcBorders>
                    <w:top w:val="single" w:color="auto" w:sz="4" w:space="0"/>
                    <w:bottom w:val="single" w:color="auto" w:sz="4" w:space="0"/>
                    <w:tl2br w:val="nil"/>
                    <w:tr2bl w:val="nil"/>
                  </w:tcBorders>
                  <w:vAlign w:val="center"/>
                </w:tcPr>
                <w:p>
                  <w:pPr>
                    <w:jc w:val="cente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t>2022年10月18日通过濮阳市生态环境局华龙分局审批，批复文号：华龙环审表[2022]12号</w:t>
                  </w:r>
                </w:p>
              </w:tc>
              <w:tc>
                <w:tcPr>
                  <w:tcW w:w="1300" w:type="dxa"/>
                  <w:tcBorders>
                    <w:top w:val="single" w:color="auto" w:sz="4" w:space="0"/>
                    <w:bottom w:val="single" w:color="auto" w:sz="4" w:space="0"/>
                    <w:tl2br w:val="nil"/>
                    <w:tr2bl w:val="nil"/>
                  </w:tcBorders>
                  <w:vAlign w:val="center"/>
                </w:tcPr>
                <w:p>
                  <w:pPr>
                    <w:jc w:val="cente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t>2023年1月自主验收</w:t>
                  </w:r>
                </w:p>
              </w:tc>
              <w:tc>
                <w:tcPr>
                  <w:tcW w:w="2607" w:type="dxa"/>
                  <w:tcBorders>
                    <w:top w:val="single" w:color="auto" w:sz="4" w:space="0"/>
                    <w:bottom w:val="single" w:color="auto" w:sz="4" w:space="0"/>
                    <w:right w:val="single" w:color="auto" w:sz="4" w:space="0"/>
                    <w:tl2br w:val="nil"/>
                    <w:tr2bl w:val="nil"/>
                  </w:tcBorders>
                  <w:vAlign w:val="center"/>
                </w:tcPr>
                <w:p>
                  <w:pPr>
                    <w:jc w:val="cente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pacing w:val="6"/>
                      <w:szCs w:val="21"/>
                      <w:u w:val="none"/>
                      <w:lang w:val="en-US" w:eastAsia="zh-CN"/>
                      <w14:textFill>
                        <w14:solidFill>
                          <w14:schemeClr w14:val="tx1"/>
                        </w14:solidFill>
                      </w14:textFill>
                    </w:rPr>
                    <w:t>2022年12月02日进行排污许可证变更（登记编号914109027522791395002Z）</w:t>
                  </w:r>
                </w:p>
              </w:tc>
            </w:tr>
          </w:tbl>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bCs/>
                <w:color w:val="000000" w:themeColor="text1"/>
                <w:kern w:val="0"/>
                <w:sz w:val="24"/>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u w:val="none"/>
                <w:lang w:val="en-US" w:eastAsia="zh-CN"/>
                <w14:textFill>
                  <w14:solidFill>
                    <w14:schemeClr w14:val="tx1"/>
                  </w14:solidFill>
                </w14:textFill>
              </w:rPr>
              <w:t>二、现有工程污染物排放情况</w:t>
            </w:r>
          </w:p>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val="0"/>
                <w:bCs w:val="0"/>
                <w:color w:val="000000" w:themeColor="text1"/>
                <w:kern w:val="0"/>
                <w:sz w:val="24"/>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u w:val="none"/>
                <w:lang w:val="en-US" w:eastAsia="zh-CN"/>
                <w14:textFill>
                  <w14:solidFill>
                    <w14:schemeClr w14:val="tx1"/>
                  </w14:solidFill>
                </w14:textFill>
              </w:rPr>
              <w:t>现有工程污染物排放情况根据2022年12月2日检测数据（河南永蓝检测技术有限公司&lt;YLJC2211060Y&gt;）、2023年8月7日检测数据（河南中玖环保科技有限公司&lt;中玖环检字（E20230727606号）&gt;），现有工程建成后污染物排放情况见下表。</w:t>
            </w:r>
          </w:p>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bCs/>
                <w:color w:val="000000" w:themeColor="text1"/>
                <w:kern w:val="0"/>
                <w:sz w:val="24"/>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u w:val="none"/>
                <w:lang w:val="en-US" w:eastAsia="zh-CN"/>
                <w14:textFill>
                  <w14:solidFill>
                    <w14:schemeClr w14:val="tx1"/>
                  </w14:solidFill>
                </w14:textFill>
              </w:rPr>
              <w:t>2.1废水</w:t>
            </w:r>
          </w:p>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val="0"/>
                <w:bCs w:val="0"/>
                <w:color w:val="000000" w:themeColor="text1"/>
                <w:kern w:val="0"/>
                <w:sz w:val="24"/>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u w:val="none"/>
                <w:lang w:val="en-US" w:eastAsia="zh-CN"/>
                <w14:textFill>
                  <w14:solidFill>
                    <w14:schemeClr w14:val="tx1"/>
                  </w14:solidFill>
                </w14:textFill>
              </w:rPr>
              <w:t>项目无生产废水，生活污水经化粪池处理后，排入市政管网，进入濮阳市第三污水处理厂进一步处理，根据《排污许可证申请与核发技术规范 总则》（HJ942-2018）要求，单独排入城镇集中污水处理设施的生活污水仅说明排放去向。</w:t>
            </w:r>
          </w:p>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bCs/>
                <w:color w:val="000000" w:themeColor="text1"/>
                <w:kern w:val="0"/>
                <w:sz w:val="24"/>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u w:val="none"/>
                <w:lang w:val="en-US" w:eastAsia="zh-CN"/>
                <w14:textFill>
                  <w14:solidFill>
                    <w14:schemeClr w14:val="tx1"/>
                  </w14:solidFill>
                </w14:textFill>
              </w:rPr>
              <w:t>2.2废气</w:t>
            </w:r>
          </w:p>
          <w:p>
            <w:pPr>
              <w:pStyle w:val="15"/>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表2-7  抛丸及焊接污染物排放情况一览表</w:t>
            </w:r>
          </w:p>
          <w:tbl>
            <w:tblPr>
              <w:tblStyle w:val="52"/>
              <w:tblW w:w="765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Layout w:type="fixed"/>
              <w:tblCellMar>
                <w:top w:w="57" w:type="dxa"/>
                <w:left w:w="28" w:type="dxa"/>
                <w:bottom w:w="57" w:type="dxa"/>
                <w:right w:w="28" w:type="dxa"/>
              </w:tblCellMar>
            </w:tblPr>
            <w:tblGrid>
              <w:gridCol w:w="1001"/>
              <w:gridCol w:w="1280"/>
              <w:gridCol w:w="755"/>
              <w:gridCol w:w="1586"/>
              <w:gridCol w:w="1600"/>
              <w:gridCol w:w="143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001"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采样日期</w:t>
                  </w:r>
                </w:p>
              </w:tc>
              <w:tc>
                <w:tcPr>
                  <w:tcW w:w="1280"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采样点位</w:t>
                  </w:r>
                </w:p>
              </w:tc>
              <w:tc>
                <w:tcPr>
                  <w:tcW w:w="755"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测次</w:t>
                  </w:r>
                </w:p>
              </w:tc>
              <w:tc>
                <w:tcPr>
                  <w:tcW w:w="1586"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标干流量</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Nm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/h</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3034" w:type="dxa"/>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非甲烷总烃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00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28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55"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586"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60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排放浓度</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mg/m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43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排放速率</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kg/h</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001"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2022.12.03</w:t>
                  </w:r>
                </w:p>
              </w:tc>
              <w:tc>
                <w:tcPr>
                  <w:tcW w:w="1280"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7"/>
                      <w:sz w:val="21"/>
                      <w:szCs w:val="21"/>
                      <w:lang w:val="en-US" w:eastAsia="zh-CN"/>
                      <w14:textFill>
                        <w14:solidFill>
                          <w14:schemeClr w14:val="tx1"/>
                        </w14:solidFill>
                      </w14:textFill>
                    </w:rPr>
                    <w:t>除尘器</w:t>
                  </w:r>
                  <w:r>
                    <w:rPr>
                      <w:rFonts w:hint="default" w:ascii="Times New Roman" w:hAnsi="Times New Roman" w:eastAsia="宋体" w:cs="Times New Roman"/>
                      <w:color w:val="000000" w:themeColor="text1"/>
                      <w:spacing w:val="7"/>
                      <w:sz w:val="21"/>
                      <w:szCs w:val="21"/>
                      <w14:textFill>
                        <w14:solidFill>
                          <w14:schemeClr w14:val="tx1"/>
                        </w14:solidFill>
                      </w14:textFill>
                    </w:rPr>
                    <w:t>排放</w:t>
                  </w:r>
                  <w:r>
                    <w:rPr>
                      <w:rFonts w:hint="default" w:ascii="Times New Roman" w:hAnsi="Times New Roman" w:eastAsia="宋体" w:cs="Times New Roman"/>
                      <w:color w:val="000000" w:themeColor="text1"/>
                      <w:spacing w:val="6"/>
                      <w:sz w:val="21"/>
                      <w:szCs w:val="21"/>
                      <w14:textFill>
                        <w14:solidFill>
                          <w14:schemeClr w14:val="tx1"/>
                        </w14:solidFill>
                      </w14:textFill>
                    </w:rPr>
                    <w:t>口</w:t>
                  </w:r>
                </w:p>
              </w:tc>
              <w:tc>
                <w:tcPr>
                  <w:tcW w:w="75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58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t>1.32</w:t>
                  </w:r>
                  <w:r>
                    <w:rPr>
                      <w:rFonts w:hint="default" w:ascii="Times New Roman" w:hAnsi="Times New Roman" w:eastAsia="宋体" w:cs="Times New Roman"/>
                      <w:color w:val="000000" w:themeColor="text1"/>
                      <w:spacing w:val="3"/>
                      <w:sz w:val="21"/>
                      <w:szCs w:val="21"/>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10</w:t>
                  </w:r>
                  <w:r>
                    <w:rPr>
                      <w:rFonts w:hint="default" w:ascii="Times New Roman" w:hAnsi="Times New Roman" w:eastAsia="宋体" w:cs="Times New Roman"/>
                      <w:color w:val="000000" w:themeColor="text1"/>
                      <w:spacing w:val="6"/>
                      <w:sz w:val="21"/>
                      <w:szCs w:val="21"/>
                      <w:vertAlign w:val="superscript"/>
                      <w:lang w:val="en-US" w:eastAsia="zh-CN"/>
                      <w14:textFill>
                        <w14:solidFill>
                          <w14:schemeClr w14:val="tx1"/>
                        </w14:solidFill>
                      </w14:textFill>
                    </w:rPr>
                    <w:t>3</w:t>
                  </w:r>
                </w:p>
              </w:tc>
              <w:tc>
                <w:tcPr>
                  <w:tcW w:w="160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4.6</w:t>
                  </w:r>
                </w:p>
              </w:tc>
              <w:tc>
                <w:tcPr>
                  <w:tcW w:w="143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6.07</w:t>
                  </w:r>
                  <w:r>
                    <w:rPr>
                      <w:rFonts w:hint="default" w:ascii="Times New Roman" w:hAnsi="Times New Roman" w:eastAsia="宋体" w:cs="Times New Roman"/>
                      <w:color w:val="000000" w:themeColor="text1"/>
                      <w:spacing w:val="3"/>
                      <w:sz w:val="21"/>
                      <w:szCs w:val="21"/>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10</w:t>
                  </w:r>
                  <w:r>
                    <w:rPr>
                      <w:rFonts w:hint="default" w:ascii="Times New Roman" w:hAnsi="Times New Roman" w:eastAsia="宋体" w:cs="Times New Roman"/>
                      <w:color w:val="000000" w:themeColor="text1"/>
                      <w:spacing w:val="6"/>
                      <w:sz w:val="21"/>
                      <w:szCs w:val="21"/>
                      <w:vertAlign w:val="superscript"/>
                      <w:lang w:val="en-US" w:eastAsia="zh-CN"/>
                      <w14:textFill>
                        <w14:solidFill>
                          <w14:schemeClr w14:val="tx1"/>
                        </w14:solidFill>
                      </w14:textFill>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00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28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5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58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1.35</w:t>
                  </w:r>
                  <w:r>
                    <w:rPr>
                      <w:rFonts w:hint="default" w:ascii="Times New Roman" w:hAnsi="Times New Roman" w:eastAsia="宋体" w:cs="Times New Roman"/>
                      <w:color w:val="000000" w:themeColor="text1"/>
                      <w:spacing w:val="3"/>
                      <w:sz w:val="21"/>
                      <w:szCs w:val="21"/>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10</w:t>
                  </w:r>
                  <w:r>
                    <w:rPr>
                      <w:rFonts w:hint="default" w:ascii="Times New Roman" w:hAnsi="Times New Roman" w:eastAsia="宋体" w:cs="Times New Roman"/>
                      <w:color w:val="000000" w:themeColor="text1"/>
                      <w:spacing w:val="6"/>
                      <w:sz w:val="21"/>
                      <w:szCs w:val="21"/>
                      <w:vertAlign w:val="superscript"/>
                      <w:lang w:val="en-US" w:eastAsia="zh-CN"/>
                      <w14:textFill>
                        <w14:solidFill>
                          <w14:schemeClr w14:val="tx1"/>
                        </w14:solidFill>
                      </w14:textFill>
                    </w:rPr>
                    <w:t>3</w:t>
                  </w:r>
                </w:p>
              </w:tc>
              <w:tc>
                <w:tcPr>
                  <w:tcW w:w="160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4.9</w:t>
                  </w:r>
                </w:p>
              </w:tc>
              <w:tc>
                <w:tcPr>
                  <w:tcW w:w="143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6.62</w:t>
                  </w:r>
                  <w:r>
                    <w:rPr>
                      <w:rFonts w:hint="default" w:ascii="Times New Roman" w:hAnsi="Times New Roman" w:eastAsia="宋体" w:cs="Times New Roman"/>
                      <w:color w:val="000000" w:themeColor="text1"/>
                      <w:spacing w:val="3"/>
                      <w:sz w:val="21"/>
                      <w:szCs w:val="21"/>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10</w:t>
                  </w:r>
                  <w:r>
                    <w:rPr>
                      <w:rFonts w:hint="default" w:ascii="Times New Roman" w:hAnsi="Times New Roman" w:eastAsia="宋体" w:cs="Times New Roman"/>
                      <w:color w:val="000000" w:themeColor="text1"/>
                      <w:spacing w:val="6"/>
                      <w:sz w:val="21"/>
                      <w:szCs w:val="21"/>
                      <w:vertAlign w:val="superscript"/>
                      <w:lang w:val="en-US" w:eastAsia="zh-CN"/>
                      <w14:textFill>
                        <w14:solidFill>
                          <w14:schemeClr w14:val="tx1"/>
                        </w14:solidFill>
                      </w14:textFill>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00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28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5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158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t>1.39</w:t>
                  </w:r>
                  <w:r>
                    <w:rPr>
                      <w:rFonts w:hint="default" w:ascii="Times New Roman" w:hAnsi="Times New Roman" w:eastAsia="宋体" w:cs="Times New Roman"/>
                      <w:color w:val="000000" w:themeColor="text1"/>
                      <w:spacing w:val="3"/>
                      <w:sz w:val="21"/>
                      <w:szCs w:val="21"/>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10</w:t>
                  </w:r>
                  <w:r>
                    <w:rPr>
                      <w:rFonts w:hint="default" w:ascii="Times New Roman" w:hAnsi="Times New Roman" w:eastAsia="宋体" w:cs="Times New Roman"/>
                      <w:color w:val="000000" w:themeColor="text1"/>
                      <w:spacing w:val="6"/>
                      <w:sz w:val="21"/>
                      <w:szCs w:val="21"/>
                      <w:vertAlign w:val="superscript"/>
                      <w:lang w:val="en-US" w:eastAsia="zh-CN"/>
                      <w14:textFill>
                        <w14:solidFill>
                          <w14:schemeClr w14:val="tx1"/>
                        </w14:solidFill>
                      </w14:textFill>
                    </w:rPr>
                    <w:t>3</w:t>
                  </w:r>
                </w:p>
              </w:tc>
              <w:tc>
                <w:tcPr>
                  <w:tcW w:w="160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5.1</w:t>
                  </w:r>
                </w:p>
              </w:tc>
              <w:tc>
                <w:tcPr>
                  <w:tcW w:w="143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7.09</w:t>
                  </w:r>
                  <w:r>
                    <w:rPr>
                      <w:rFonts w:hint="default" w:ascii="Times New Roman" w:hAnsi="Times New Roman" w:eastAsia="宋体" w:cs="Times New Roman"/>
                      <w:color w:val="000000" w:themeColor="text1"/>
                      <w:spacing w:val="3"/>
                      <w:sz w:val="21"/>
                      <w:szCs w:val="21"/>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10</w:t>
                  </w:r>
                  <w:r>
                    <w:rPr>
                      <w:rFonts w:hint="default" w:ascii="Times New Roman" w:hAnsi="Times New Roman" w:eastAsia="宋体" w:cs="Times New Roman"/>
                      <w:color w:val="000000" w:themeColor="text1"/>
                      <w:spacing w:val="6"/>
                      <w:sz w:val="21"/>
                      <w:szCs w:val="21"/>
                      <w:vertAlign w:val="superscript"/>
                      <w:lang w:val="en-US" w:eastAsia="zh-CN"/>
                      <w14:textFill>
                        <w14:solidFill>
                          <w14:schemeClr w14:val="tx1"/>
                        </w14:solidFill>
                      </w14:textFill>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00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280"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5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均值</w:t>
                  </w:r>
                </w:p>
              </w:tc>
              <w:tc>
                <w:tcPr>
                  <w:tcW w:w="158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t>1.35</w:t>
                  </w:r>
                  <w:r>
                    <w:rPr>
                      <w:rFonts w:hint="default" w:ascii="Times New Roman" w:hAnsi="Times New Roman" w:eastAsia="宋体" w:cs="Times New Roman"/>
                      <w:color w:val="000000" w:themeColor="text1"/>
                      <w:spacing w:val="3"/>
                      <w:sz w:val="21"/>
                      <w:szCs w:val="21"/>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10</w:t>
                  </w:r>
                  <w:r>
                    <w:rPr>
                      <w:rFonts w:hint="default" w:ascii="Times New Roman" w:hAnsi="Times New Roman" w:eastAsia="宋体" w:cs="Times New Roman"/>
                      <w:color w:val="000000" w:themeColor="text1"/>
                      <w:spacing w:val="6"/>
                      <w:sz w:val="21"/>
                      <w:szCs w:val="21"/>
                      <w:vertAlign w:val="superscript"/>
                      <w:lang w:val="en-US" w:eastAsia="zh-CN"/>
                      <w14:textFill>
                        <w14:solidFill>
                          <w14:schemeClr w14:val="tx1"/>
                        </w14:solidFill>
                      </w14:textFill>
                    </w:rPr>
                    <w:t>3</w:t>
                  </w:r>
                </w:p>
              </w:tc>
              <w:tc>
                <w:tcPr>
                  <w:tcW w:w="1600"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4.9</w:t>
                  </w:r>
                </w:p>
              </w:tc>
              <w:tc>
                <w:tcPr>
                  <w:tcW w:w="143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6.62</w:t>
                  </w:r>
                  <w:r>
                    <w:rPr>
                      <w:rFonts w:hint="default" w:ascii="Times New Roman" w:hAnsi="Times New Roman" w:eastAsia="宋体" w:cs="Times New Roman"/>
                      <w:color w:val="000000" w:themeColor="text1"/>
                      <w:spacing w:val="3"/>
                      <w:sz w:val="21"/>
                      <w:szCs w:val="21"/>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10</w:t>
                  </w:r>
                  <w:r>
                    <w:rPr>
                      <w:rFonts w:hint="default" w:ascii="Times New Roman" w:hAnsi="Times New Roman" w:eastAsia="宋体" w:cs="Times New Roman"/>
                      <w:color w:val="000000" w:themeColor="text1"/>
                      <w:spacing w:val="6"/>
                      <w:sz w:val="21"/>
                      <w:szCs w:val="21"/>
                      <w:vertAlign w:val="superscript"/>
                      <w:lang w:val="en-US" w:eastAsia="zh-CN"/>
                      <w14:textFill>
                        <w14:solidFill>
                          <w14:schemeClr w14:val="tx1"/>
                        </w14:solidFill>
                      </w14:textFill>
                    </w:rPr>
                    <w:t>-3</w:t>
                  </w:r>
                </w:p>
              </w:tc>
            </w:tr>
          </w:tbl>
          <w:p>
            <w:pPr>
              <w:pStyle w:val="15"/>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表2-8  粘胶工序污染物排放情况一览表</w:t>
            </w:r>
          </w:p>
          <w:tbl>
            <w:tblPr>
              <w:tblStyle w:val="52"/>
              <w:tblW w:w="7656"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Layout w:type="fixed"/>
              <w:tblCellMar>
                <w:top w:w="57" w:type="dxa"/>
                <w:left w:w="28" w:type="dxa"/>
                <w:bottom w:w="57" w:type="dxa"/>
                <w:right w:w="28" w:type="dxa"/>
              </w:tblCellMar>
            </w:tblPr>
            <w:tblGrid>
              <w:gridCol w:w="925"/>
              <w:gridCol w:w="1298"/>
              <w:gridCol w:w="771"/>
              <w:gridCol w:w="1601"/>
              <w:gridCol w:w="1615"/>
              <w:gridCol w:w="144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925"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采样日期</w:t>
                  </w:r>
                </w:p>
              </w:tc>
              <w:tc>
                <w:tcPr>
                  <w:tcW w:w="1298"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采样点位</w:t>
                  </w:r>
                </w:p>
              </w:tc>
              <w:tc>
                <w:tcPr>
                  <w:tcW w:w="771"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测次</w:t>
                  </w:r>
                </w:p>
              </w:tc>
              <w:tc>
                <w:tcPr>
                  <w:tcW w:w="1601"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标干流量</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Nm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14:textFill>
                        <w14:solidFill>
                          <w14:schemeClr w14:val="tx1"/>
                        </w14:solidFill>
                      </w14:textFill>
                    </w:rPr>
                    <w:t>/h</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3061" w:type="dxa"/>
                  <w:gridSpan w:val="2"/>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非甲烷总烃</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925"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298"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7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60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61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排放浓度</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mg/m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c>
                <w:tcPr>
                  <w:tcW w:w="14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排放速率</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r>
                    <w:rPr>
                      <w:rFonts w:hint="default" w:ascii="Times New Roman" w:hAnsi="Times New Roman" w:eastAsia="宋体" w:cs="Times New Roman"/>
                      <w:color w:val="000000" w:themeColor="text1"/>
                      <w:sz w:val="21"/>
                      <w:szCs w:val="21"/>
                      <w14:textFill>
                        <w14:solidFill>
                          <w14:schemeClr w14:val="tx1"/>
                        </w14:solidFill>
                      </w14:textFill>
                    </w:rPr>
                    <w:t>kg/h</w:t>
                  </w:r>
                  <w:r>
                    <w:rPr>
                      <w:rFonts w:hint="default" w:ascii="Times New Roman" w:hAnsi="Times New Roman" w:eastAsia="宋体" w:cs="Times New Roman"/>
                      <w:color w:val="000000" w:themeColor="text1"/>
                      <w:sz w:val="21"/>
                      <w:szCs w:val="21"/>
                      <w:lang w:eastAsia="zh-CN"/>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925"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000000" w:themeColor="text1"/>
                      <w:sz w:val="21"/>
                      <w:szCs w:val="21"/>
                      <w:lang w:val="en-US"/>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2023.8.2</w:t>
                  </w:r>
                </w:p>
              </w:tc>
              <w:tc>
                <w:tcPr>
                  <w:tcW w:w="1298"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7"/>
                      <w:sz w:val="21"/>
                      <w:szCs w:val="21"/>
                      <w:lang w:val="en-US" w:eastAsia="zh-CN"/>
                      <w14:textFill>
                        <w14:solidFill>
                          <w14:schemeClr w14:val="tx1"/>
                        </w14:solidFill>
                      </w14:textFill>
                    </w:rPr>
                    <w:t>粘胶工序</w:t>
                  </w:r>
                  <w:r>
                    <w:rPr>
                      <w:rFonts w:hint="default" w:ascii="Times New Roman" w:hAnsi="Times New Roman" w:eastAsia="宋体" w:cs="Times New Roman"/>
                      <w:color w:val="000000" w:themeColor="text1"/>
                      <w:spacing w:val="7"/>
                      <w:sz w:val="21"/>
                      <w:szCs w:val="21"/>
                      <w14:textFill>
                        <w14:solidFill>
                          <w14:schemeClr w14:val="tx1"/>
                        </w14:solidFill>
                      </w14:textFill>
                    </w:rPr>
                    <w:t>废气</w:t>
                  </w:r>
                  <w:r>
                    <w:rPr>
                      <w:rFonts w:hint="default" w:ascii="Times New Roman" w:hAnsi="Times New Roman" w:eastAsia="宋体" w:cs="Times New Roman"/>
                      <w:color w:val="000000" w:themeColor="text1"/>
                      <w:spacing w:val="6"/>
                      <w:sz w:val="21"/>
                      <w:szCs w:val="21"/>
                      <w14:textFill>
                        <w14:solidFill>
                          <w14:schemeClr w14:val="tx1"/>
                        </w14:solidFill>
                      </w14:textFill>
                    </w:rPr>
                    <w:t>治理设施</w:t>
                  </w:r>
                  <w:r>
                    <w:rPr>
                      <w:rFonts w:hint="default" w:ascii="Times New Roman" w:hAnsi="Times New Roman" w:eastAsia="宋体" w:cs="Times New Roman"/>
                      <w:color w:val="000000" w:themeColor="text1"/>
                      <w:spacing w:val="7"/>
                      <w:sz w:val="21"/>
                      <w:szCs w:val="21"/>
                      <w14:textFill>
                        <w14:solidFill>
                          <w14:schemeClr w14:val="tx1"/>
                        </w14:solidFill>
                      </w14:textFill>
                    </w:rPr>
                    <w:t>排放</w:t>
                  </w:r>
                  <w:r>
                    <w:rPr>
                      <w:rFonts w:hint="default" w:ascii="Times New Roman" w:hAnsi="Times New Roman" w:eastAsia="宋体" w:cs="Times New Roman"/>
                      <w:color w:val="000000" w:themeColor="text1"/>
                      <w:spacing w:val="6"/>
                      <w:sz w:val="21"/>
                      <w:szCs w:val="21"/>
                      <w14:textFill>
                        <w14:solidFill>
                          <w14:schemeClr w14:val="tx1"/>
                        </w14:solidFill>
                      </w14:textFill>
                    </w:rPr>
                    <w:t>口</w:t>
                  </w:r>
                </w:p>
              </w:tc>
              <w:tc>
                <w:tcPr>
                  <w:tcW w:w="77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60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t>5.08</w:t>
                  </w:r>
                  <w:r>
                    <w:rPr>
                      <w:rFonts w:hint="default" w:ascii="Times New Roman" w:hAnsi="Times New Roman" w:eastAsia="宋体" w:cs="Times New Roman"/>
                      <w:color w:val="000000" w:themeColor="text1"/>
                      <w:spacing w:val="3"/>
                      <w:sz w:val="21"/>
                      <w:szCs w:val="21"/>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10</w:t>
                  </w:r>
                  <w:r>
                    <w:rPr>
                      <w:rFonts w:hint="default" w:ascii="Times New Roman" w:hAnsi="Times New Roman" w:eastAsia="宋体" w:cs="Times New Roman"/>
                      <w:color w:val="000000" w:themeColor="text1"/>
                      <w:spacing w:val="6"/>
                      <w:sz w:val="21"/>
                      <w:szCs w:val="21"/>
                      <w:vertAlign w:val="superscript"/>
                      <w:lang w:val="en-US" w:eastAsia="zh-CN"/>
                      <w14:textFill>
                        <w14:solidFill>
                          <w14:schemeClr w14:val="tx1"/>
                        </w14:solidFill>
                      </w14:textFill>
                    </w:rPr>
                    <w:t>3</w:t>
                  </w:r>
                </w:p>
              </w:tc>
              <w:tc>
                <w:tcPr>
                  <w:tcW w:w="161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7.49</w:t>
                  </w:r>
                </w:p>
              </w:tc>
              <w:tc>
                <w:tcPr>
                  <w:tcW w:w="14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0.0381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925"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298"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7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60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3"/>
                      <w:sz w:val="21"/>
                      <w:szCs w:val="21"/>
                      <w:lang w:val="en-US" w:eastAsia="zh-CN"/>
                      <w14:textFill>
                        <w14:solidFill>
                          <w14:schemeClr w14:val="tx1"/>
                        </w14:solidFill>
                      </w14:textFill>
                    </w:rPr>
                    <w:t>5.03</w:t>
                  </w:r>
                  <w:r>
                    <w:rPr>
                      <w:rFonts w:hint="default" w:ascii="Times New Roman" w:hAnsi="Times New Roman" w:eastAsia="宋体" w:cs="Times New Roman"/>
                      <w:color w:val="000000" w:themeColor="text1"/>
                      <w:spacing w:val="3"/>
                      <w:sz w:val="21"/>
                      <w:szCs w:val="21"/>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10</w:t>
                  </w:r>
                  <w:r>
                    <w:rPr>
                      <w:rFonts w:hint="default" w:ascii="Times New Roman" w:hAnsi="Times New Roman" w:eastAsia="宋体" w:cs="Times New Roman"/>
                      <w:color w:val="000000" w:themeColor="text1"/>
                      <w:spacing w:val="6"/>
                      <w:sz w:val="21"/>
                      <w:szCs w:val="21"/>
                      <w:vertAlign w:val="superscript"/>
                      <w:lang w:val="en-US" w:eastAsia="zh-CN"/>
                      <w14:textFill>
                        <w14:solidFill>
                          <w14:schemeClr w14:val="tx1"/>
                        </w14:solidFill>
                      </w14:textFill>
                    </w:rPr>
                    <w:t>3</w:t>
                  </w:r>
                </w:p>
              </w:tc>
              <w:tc>
                <w:tcPr>
                  <w:tcW w:w="161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7.28</w:t>
                  </w:r>
                </w:p>
              </w:tc>
              <w:tc>
                <w:tcPr>
                  <w:tcW w:w="14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0.0366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925"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1298"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p>
              </w:tc>
              <w:tc>
                <w:tcPr>
                  <w:tcW w:w="77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3</w:t>
                  </w:r>
                </w:p>
              </w:tc>
              <w:tc>
                <w:tcPr>
                  <w:tcW w:w="160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6"/>
                      <w:sz w:val="21"/>
                      <w:szCs w:val="21"/>
                      <w:lang w:val="en-US" w:eastAsia="zh-CN"/>
                      <w14:textFill>
                        <w14:solidFill>
                          <w14:schemeClr w14:val="tx1"/>
                        </w14:solidFill>
                      </w14:textFill>
                    </w:rPr>
                    <w:t>4.94</w:t>
                  </w:r>
                  <w:r>
                    <w:rPr>
                      <w:rFonts w:hint="default" w:ascii="Times New Roman" w:hAnsi="Times New Roman" w:eastAsia="宋体" w:cs="Times New Roman"/>
                      <w:color w:val="000000" w:themeColor="text1"/>
                      <w:spacing w:val="3"/>
                      <w:sz w:val="21"/>
                      <w:szCs w:val="21"/>
                      <w14:textFill>
                        <w14:solidFill>
                          <w14:schemeClr w14:val="tx1"/>
                        </w14:solidFill>
                      </w14:textFill>
                    </w:rPr>
                    <w:t>×</w:t>
                  </w:r>
                  <w:r>
                    <w:rPr>
                      <w:rFonts w:hint="default" w:ascii="Times New Roman" w:hAnsi="Times New Roman" w:eastAsia="宋体" w:cs="Times New Roman"/>
                      <w:color w:val="000000" w:themeColor="text1"/>
                      <w:spacing w:val="6"/>
                      <w:sz w:val="21"/>
                      <w:szCs w:val="21"/>
                      <w14:textFill>
                        <w14:solidFill>
                          <w14:schemeClr w14:val="tx1"/>
                        </w14:solidFill>
                      </w14:textFill>
                    </w:rPr>
                    <w:t>10</w:t>
                  </w:r>
                  <w:r>
                    <w:rPr>
                      <w:rFonts w:hint="default" w:ascii="Times New Roman" w:hAnsi="Times New Roman" w:eastAsia="宋体" w:cs="Times New Roman"/>
                      <w:color w:val="000000" w:themeColor="text1"/>
                      <w:spacing w:val="6"/>
                      <w:sz w:val="21"/>
                      <w:szCs w:val="21"/>
                      <w:vertAlign w:val="superscript"/>
                      <w:lang w:val="en-US" w:eastAsia="zh-CN"/>
                      <w14:textFill>
                        <w14:solidFill>
                          <w14:schemeClr w14:val="tx1"/>
                        </w14:solidFill>
                      </w14:textFill>
                    </w:rPr>
                    <w:t>3</w:t>
                  </w:r>
                </w:p>
              </w:tc>
              <w:tc>
                <w:tcPr>
                  <w:tcW w:w="1615"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6.90</w:t>
                  </w:r>
                </w:p>
              </w:tc>
              <w:tc>
                <w:tcPr>
                  <w:tcW w:w="1446"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leftChars="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0.0341</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kern w:val="0"/>
                <w:sz w:val="24"/>
                <w:szCs w:val="20"/>
                <w:u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0"/>
                <w:u w:val="none"/>
                <w:lang w:val="en-US" w:eastAsia="zh-CN" w:bidi="ar-SA"/>
                <w14:textFill>
                  <w14:solidFill>
                    <w14:schemeClr w14:val="tx1"/>
                  </w14:solidFill>
                </w14:textFill>
              </w:rPr>
              <w:t>该项目袋式除尘器排放口颗粒物排放浓度满足《大气污染物综合排放标准》（GB16297-1996）标准要求，粘胶工序非甲烷总烃排放浓度满足《关于全省开展工业企业挥发性有机物专项治理工作中排放建议值的通知》（豫环攻坚办［2017］162号）中排放浓度限值的要求。</w:t>
            </w:r>
          </w:p>
          <w:p>
            <w:pPr>
              <w:pStyle w:val="15"/>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表2-9  无组织废气检测结果</w:t>
            </w:r>
          </w:p>
          <w:tbl>
            <w:tblPr>
              <w:tblStyle w:val="52"/>
              <w:tblW w:w="765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Layout w:type="fixed"/>
              <w:tblCellMar>
                <w:top w:w="57" w:type="dxa"/>
                <w:left w:w="28" w:type="dxa"/>
                <w:bottom w:w="57" w:type="dxa"/>
                <w:right w:w="28" w:type="dxa"/>
              </w:tblCellMar>
            </w:tblPr>
            <w:tblGrid>
              <w:gridCol w:w="1671"/>
              <w:gridCol w:w="1808"/>
              <w:gridCol w:w="1704"/>
              <w:gridCol w:w="247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671"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采样日期</w:t>
                  </w:r>
                </w:p>
              </w:tc>
              <w:tc>
                <w:tcPr>
                  <w:tcW w:w="18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采样点位</w:t>
                  </w:r>
                </w:p>
              </w:tc>
              <w:tc>
                <w:tcPr>
                  <w:tcW w:w="170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颗粒物</w:t>
                  </w:r>
                  <w:r>
                    <w:rPr>
                      <w:rFonts w:hint="default" w:ascii="Times New Roman" w:hAnsi="Times New Roman" w:eastAsia="宋体" w:cs="Times New Roman"/>
                      <w:color w:val="000000" w:themeColor="text1"/>
                      <w:spacing w:val="4"/>
                      <w:sz w:val="21"/>
                      <w:szCs w:val="21"/>
                      <w14:textFill>
                        <w14:solidFill>
                          <w14:schemeClr w14:val="tx1"/>
                        </w14:solidFill>
                      </w14:textFill>
                    </w:rPr>
                    <w:t>(</w:t>
                  </w: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mg/m</w:t>
                  </w:r>
                  <w:r>
                    <w:rPr>
                      <w:rFonts w:hint="default" w:ascii="Times New Roman" w:hAnsi="Times New Roman" w:eastAsia="宋体" w:cs="Times New Roman"/>
                      <w:color w:val="000000" w:themeColor="text1"/>
                      <w:spacing w:val="4"/>
                      <w:sz w:val="21"/>
                      <w:szCs w:val="21"/>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pacing w:val="4"/>
                      <w:sz w:val="21"/>
                      <w:szCs w:val="21"/>
                      <w14:textFill>
                        <w14:solidFill>
                          <w14:schemeClr w14:val="tx1"/>
                        </w14:solidFill>
                      </w14:textFill>
                    </w:rPr>
                    <w:t>)</w:t>
                  </w:r>
                </w:p>
              </w:tc>
              <w:tc>
                <w:tcPr>
                  <w:tcW w:w="247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非甲烷总烃</w:t>
                  </w:r>
                  <w:r>
                    <w:rPr>
                      <w:rFonts w:hint="default" w:ascii="Times New Roman" w:hAnsi="Times New Roman" w:eastAsia="宋体" w:cs="Times New Roman"/>
                      <w:color w:val="000000" w:themeColor="text1"/>
                      <w:spacing w:val="4"/>
                      <w:sz w:val="21"/>
                      <w:szCs w:val="21"/>
                      <w14:textFill>
                        <w14:solidFill>
                          <w14:schemeClr w14:val="tx1"/>
                        </w14:solidFill>
                      </w14:textFill>
                    </w:rPr>
                    <w:t>(</w:t>
                  </w: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mg/m</w:t>
                  </w:r>
                  <w:r>
                    <w:rPr>
                      <w:rFonts w:hint="default" w:ascii="Times New Roman" w:hAnsi="Times New Roman" w:eastAsia="宋体" w:cs="Times New Roman"/>
                      <w:color w:val="000000" w:themeColor="text1"/>
                      <w:spacing w:val="4"/>
                      <w:sz w:val="21"/>
                      <w:szCs w:val="21"/>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pacing w:val="4"/>
                      <w:sz w:val="21"/>
                      <w:szCs w:val="21"/>
                      <w14:textFill>
                        <w14:solidFill>
                          <w14:schemeClr w14:val="tx1"/>
                        </w14:solidFill>
                      </w14:textFill>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671" w:type="dxa"/>
                  <w:vMerge w:val="restart"/>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202</w:t>
                  </w: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3.08.02</w:t>
                  </w:r>
                </w:p>
              </w:tc>
              <w:tc>
                <w:tcPr>
                  <w:tcW w:w="18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上风向</w:t>
                  </w:r>
                </w:p>
              </w:tc>
              <w:tc>
                <w:tcPr>
                  <w:tcW w:w="170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0.263</w:t>
                  </w:r>
                </w:p>
              </w:tc>
              <w:tc>
                <w:tcPr>
                  <w:tcW w:w="247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0.64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67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p>
              </w:tc>
              <w:tc>
                <w:tcPr>
                  <w:tcW w:w="18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下风向1#</w:t>
                  </w:r>
                </w:p>
              </w:tc>
              <w:tc>
                <w:tcPr>
                  <w:tcW w:w="170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0.368</w:t>
                  </w:r>
                </w:p>
              </w:tc>
              <w:tc>
                <w:tcPr>
                  <w:tcW w:w="247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0.96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67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p>
              </w:tc>
              <w:tc>
                <w:tcPr>
                  <w:tcW w:w="18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下风向2#</w:t>
                  </w:r>
                </w:p>
              </w:tc>
              <w:tc>
                <w:tcPr>
                  <w:tcW w:w="170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0.392</w:t>
                  </w:r>
                </w:p>
              </w:tc>
              <w:tc>
                <w:tcPr>
                  <w:tcW w:w="247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0.97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67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p>
              </w:tc>
              <w:tc>
                <w:tcPr>
                  <w:tcW w:w="18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下风向3#</w:t>
                  </w:r>
                </w:p>
              </w:tc>
              <w:tc>
                <w:tcPr>
                  <w:tcW w:w="170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0.398</w:t>
                  </w:r>
                </w:p>
              </w:tc>
              <w:tc>
                <w:tcPr>
                  <w:tcW w:w="247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0.93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67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p>
              </w:tc>
              <w:tc>
                <w:tcPr>
                  <w:tcW w:w="18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上风向</w:t>
                  </w:r>
                </w:p>
              </w:tc>
              <w:tc>
                <w:tcPr>
                  <w:tcW w:w="170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0.257</w:t>
                  </w:r>
                </w:p>
              </w:tc>
              <w:tc>
                <w:tcPr>
                  <w:tcW w:w="247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0.63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67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p>
              </w:tc>
              <w:tc>
                <w:tcPr>
                  <w:tcW w:w="18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下风向1#</w:t>
                  </w:r>
                </w:p>
              </w:tc>
              <w:tc>
                <w:tcPr>
                  <w:tcW w:w="170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0.367</w:t>
                  </w:r>
                </w:p>
              </w:tc>
              <w:tc>
                <w:tcPr>
                  <w:tcW w:w="247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0.91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67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p>
              </w:tc>
              <w:tc>
                <w:tcPr>
                  <w:tcW w:w="18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下风向2#</w:t>
                  </w:r>
                </w:p>
              </w:tc>
              <w:tc>
                <w:tcPr>
                  <w:tcW w:w="170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0.375</w:t>
                  </w:r>
                </w:p>
              </w:tc>
              <w:tc>
                <w:tcPr>
                  <w:tcW w:w="247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67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p>
              </w:tc>
              <w:tc>
                <w:tcPr>
                  <w:tcW w:w="18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下风向3#</w:t>
                  </w:r>
                </w:p>
              </w:tc>
              <w:tc>
                <w:tcPr>
                  <w:tcW w:w="170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0.383</w:t>
                  </w:r>
                </w:p>
              </w:tc>
              <w:tc>
                <w:tcPr>
                  <w:tcW w:w="247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0.82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67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p>
              </w:tc>
              <w:tc>
                <w:tcPr>
                  <w:tcW w:w="18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上风向</w:t>
                  </w:r>
                </w:p>
              </w:tc>
              <w:tc>
                <w:tcPr>
                  <w:tcW w:w="170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0.282</w:t>
                  </w:r>
                </w:p>
              </w:tc>
              <w:tc>
                <w:tcPr>
                  <w:tcW w:w="247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0.58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67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p>
              </w:tc>
              <w:tc>
                <w:tcPr>
                  <w:tcW w:w="18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下风向1#</w:t>
                  </w:r>
                </w:p>
              </w:tc>
              <w:tc>
                <w:tcPr>
                  <w:tcW w:w="170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0.380</w:t>
                  </w:r>
                </w:p>
              </w:tc>
              <w:tc>
                <w:tcPr>
                  <w:tcW w:w="247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67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p>
              </w:tc>
              <w:tc>
                <w:tcPr>
                  <w:tcW w:w="18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下风向2#</w:t>
                  </w:r>
                </w:p>
              </w:tc>
              <w:tc>
                <w:tcPr>
                  <w:tcW w:w="170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0.400</w:t>
                  </w:r>
                </w:p>
              </w:tc>
              <w:tc>
                <w:tcPr>
                  <w:tcW w:w="247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0.87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67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p>
              </w:tc>
              <w:tc>
                <w:tcPr>
                  <w:tcW w:w="18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下风向3#</w:t>
                  </w:r>
                </w:p>
              </w:tc>
              <w:tc>
                <w:tcPr>
                  <w:tcW w:w="170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0.405</w:t>
                  </w:r>
                </w:p>
              </w:tc>
              <w:tc>
                <w:tcPr>
                  <w:tcW w:w="247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0.90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67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p>
              </w:tc>
              <w:tc>
                <w:tcPr>
                  <w:tcW w:w="18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上风向</w:t>
                  </w:r>
                </w:p>
              </w:tc>
              <w:tc>
                <w:tcPr>
                  <w:tcW w:w="170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0.275</w:t>
                  </w:r>
                </w:p>
              </w:tc>
              <w:tc>
                <w:tcPr>
                  <w:tcW w:w="247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0.67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67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p>
              </w:tc>
              <w:tc>
                <w:tcPr>
                  <w:tcW w:w="18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下风向1#</w:t>
                  </w:r>
                </w:p>
              </w:tc>
              <w:tc>
                <w:tcPr>
                  <w:tcW w:w="170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0.372</w:t>
                  </w:r>
                </w:p>
              </w:tc>
              <w:tc>
                <w:tcPr>
                  <w:tcW w:w="247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0.88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67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p>
              </w:tc>
              <w:tc>
                <w:tcPr>
                  <w:tcW w:w="18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下风向2#</w:t>
                  </w:r>
                </w:p>
              </w:tc>
              <w:tc>
                <w:tcPr>
                  <w:tcW w:w="170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0.395</w:t>
                  </w:r>
                </w:p>
              </w:tc>
              <w:tc>
                <w:tcPr>
                  <w:tcW w:w="247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2" w:space="0"/>
                </w:tblBorders>
                <w:tblCellMar>
                  <w:top w:w="57" w:type="dxa"/>
                  <w:left w:w="28" w:type="dxa"/>
                  <w:bottom w:w="57" w:type="dxa"/>
                  <w:right w:w="28" w:type="dxa"/>
                </w:tblCellMar>
              </w:tblPrEx>
              <w:trPr>
                <w:trHeight w:val="0" w:hRule="atLeast"/>
              </w:trPr>
              <w:tc>
                <w:tcPr>
                  <w:tcW w:w="1671" w:type="dxa"/>
                  <w:vMerge w:val="continue"/>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p>
              </w:tc>
              <w:tc>
                <w:tcPr>
                  <w:tcW w:w="1808"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下风向3#</w:t>
                  </w:r>
                </w:p>
              </w:tc>
              <w:tc>
                <w:tcPr>
                  <w:tcW w:w="170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0.408</w:t>
                  </w:r>
                </w:p>
              </w:tc>
              <w:tc>
                <w:tcPr>
                  <w:tcW w:w="2474" w:type="dxa"/>
                  <w:tcBorders>
                    <w:tl2br w:val="nil"/>
                    <w:tr2bl w:val="nil"/>
                  </w:tcBorders>
                  <w:vAlign w:val="center"/>
                </w:tcPr>
                <w:p>
                  <w:pPr>
                    <w:keepNext w:val="0"/>
                    <w:keepLines w:val="0"/>
                    <w:pageBreakBefore w:val="0"/>
                    <w:widowControl/>
                    <w:kinsoku w:val="0"/>
                    <w:wordWrap/>
                    <w:overflowPunct/>
                    <w:topLinePunct w:val="0"/>
                    <w:autoSpaceDE w:val="0"/>
                    <w:autoSpaceDN w:val="0"/>
                    <w:bidi w:val="0"/>
                    <w:adjustRightInd w:val="0"/>
                    <w:snapToGrid w:val="0"/>
                    <w:spacing w:line="240" w:lineRule="auto"/>
                    <w:ind w:left="0" w:firstLine="0" w:firstLineChars="0"/>
                    <w:jc w:val="center"/>
                    <w:textAlignment w:val="baseline"/>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0.79</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kern w:val="0"/>
                <w:sz w:val="24"/>
                <w:szCs w:val="20"/>
                <w:u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0"/>
                <w:u w:val="none"/>
                <w:lang w:val="en-US" w:eastAsia="zh-CN" w:bidi="ar-SA"/>
                <w14:textFill>
                  <w14:solidFill>
                    <w14:schemeClr w14:val="tx1"/>
                  </w14:solidFill>
                </w14:textFill>
              </w:rPr>
              <w:t>项目厂界无组织颗粒物满足《大气污染物综合排放标准》（GB16297-1996）标准要求。</w:t>
            </w:r>
          </w:p>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bCs/>
                <w:color w:val="000000" w:themeColor="text1"/>
                <w:kern w:val="0"/>
                <w:sz w:val="24"/>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u w:val="none"/>
                <w:lang w:val="en-US" w:eastAsia="zh-CN"/>
                <w14:textFill>
                  <w14:solidFill>
                    <w14:schemeClr w14:val="tx1"/>
                  </w14:solidFill>
                </w14:textFill>
              </w:rPr>
              <w:t>2.3噪声</w:t>
            </w:r>
          </w:p>
          <w:p>
            <w:pPr>
              <w:pStyle w:val="15"/>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themeColor="text1"/>
                <w:kern w:val="0"/>
                <w:sz w:val="24"/>
                <w:szCs w:val="20"/>
                <w:u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0"/>
                <w:u w:val="none"/>
                <w:lang w:val="en-US" w:eastAsia="zh-CN" w:bidi="ar-SA"/>
                <w14:textFill>
                  <w14:solidFill>
                    <w14:schemeClr w14:val="tx1"/>
                  </w14:solidFill>
                </w14:textFill>
              </w:rPr>
              <w:t>项目现状噪声监测结果见下表。</w:t>
            </w:r>
          </w:p>
          <w:p>
            <w:pPr>
              <w:pStyle w:val="15"/>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表2-10  噪声检测结果</w:t>
            </w:r>
          </w:p>
          <w:tbl>
            <w:tblPr>
              <w:tblStyle w:val="17"/>
              <w:tblW w:w="76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2205"/>
              <w:gridCol w:w="2626"/>
              <w:gridCol w:w="28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c>
                <w:tcPr>
                  <w:tcW w:w="220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监测时间</w:t>
                  </w:r>
                </w:p>
              </w:tc>
              <w:tc>
                <w:tcPr>
                  <w:tcW w:w="262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监测点位</w:t>
                  </w:r>
                </w:p>
              </w:tc>
              <w:tc>
                <w:tcPr>
                  <w:tcW w:w="282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昼间噪声值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c>
                <w:tcPr>
                  <w:tcW w:w="2205"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2023.08.02</w:t>
                  </w:r>
                </w:p>
              </w:tc>
              <w:tc>
                <w:tcPr>
                  <w:tcW w:w="262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东</w:t>
                  </w:r>
                </w:p>
              </w:tc>
              <w:tc>
                <w:tcPr>
                  <w:tcW w:w="282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c>
                <w:tcPr>
                  <w:tcW w:w="4831"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《工业企业厂界环境噪声排放标准》（GB 12348-2008）3类</w:t>
                  </w:r>
                </w:p>
              </w:tc>
              <w:tc>
                <w:tcPr>
                  <w:tcW w:w="282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c>
                <w:tcPr>
                  <w:tcW w:w="4831" w:type="dxa"/>
                  <w:gridSpan w:val="2"/>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是否达标</w:t>
                  </w:r>
                </w:p>
              </w:tc>
              <w:tc>
                <w:tcPr>
                  <w:tcW w:w="2826"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达标</w:t>
                  </w:r>
                </w:p>
              </w:tc>
            </w:tr>
          </w:tbl>
          <w:p>
            <w:pPr>
              <w:keepNext w:val="0"/>
              <w:keepLines w:val="0"/>
              <w:pageBreakBefore w:val="0"/>
              <w:widowControl w:val="0"/>
              <w:kinsoku/>
              <w:wordWrap/>
              <w:overflowPunct/>
              <w:topLinePunct w:val="0"/>
              <w:autoSpaceDE/>
              <w:autoSpaceDN/>
              <w:bidi w:val="0"/>
              <w:adjustRightInd/>
              <w:snapToGrid/>
              <w:spacing w:line="240" w:lineRule="auto"/>
              <w:ind w:firstLine="422" w:firstLineChars="200"/>
              <w:textAlignment w:val="auto"/>
              <w:rPr>
                <w:rFonts w:hint="default" w:ascii="Times New Roman" w:hAnsi="Times New Roman" w:eastAsia="宋体" w:cs="Times New Roman"/>
                <w:b/>
                <w:bCs/>
                <w:color w:val="000000" w:themeColor="text1"/>
                <w:kern w:val="0"/>
                <w:sz w:val="21"/>
                <w:szCs w:val="16"/>
                <w:u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1"/>
                <w:szCs w:val="16"/>
                <w:u w:val="none"/>
                <w:lang w:val="en-US" w:eastAsia="zh-CN" w:bidi="ar-SA"/>
                <w14:textFill>
                  <w14:solidFill>
                    <w14:schemeClr w14:val="tx1"/>
                  </w14:solidFill>
                </w14:textFill>
              </w:rPr>
              <w:t>注：西、南、北三侧为共用墙，不具备检测条件，且夜间不生产。</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kern w:val="0"/>
                <w:sz w:val="24"/>
                <w:szCs w:val="20"/>
                <w:u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0"/>
                <w:u w:val="none"/>
                <w:lang w:val="en-US" w:eastAsia="zh-CN" w:bidi="ar-SA"/>
                <w14:textFill>
                  <w14:solidFill>
                    <w14:schemeClr w14:val="tx1"/>
                  </w14:solidFill>
                </w14:textFill>
              </w:rPr>
              <w:t>项目厂界噪声测点昼间、夜间等效声级值均达到《工业企业厂界环境噪声排放标准》（GB 12348-2008）3类标准限值要求。</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kern w:val="0"/>
                <w:sz w:val="24"/>
                <w:szCs w:val="20"/>
                <w:u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0"/>
                <w:sz w:val="24"/>
                <w:szCs w:val="20"/>
                <w:u w:val="none"/>
                <w:lang w:val="en-US" w:eastAsia="zh-CN" w:bidi="ar-SA"/>
                <w14:textFill>
                  <w14:solidFill>
                    <w14:schemeClr w14:val="tx1"/>
                  </w14:solidFill>
                </w14:textFill>
              </w:rPr>
              <w:t>2.4固体废物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kern w:val="0"/>
                <w:sz w:val="24"/>
                <w:szCs w:val="20"/>
                <w:u w:val="none"/>
                <w:lang w:val="en-US" w:eastAsia="zh-CN" w:bidi="ar-SA"/>
                <w14:textFill>
                  <w14:solidFill>
                    <w14:schemeClr w14:val="tx1"/>
                  </w14:solidFill>
                </w14:textFill>
              </w:rPr>
            </w:pPr>
            <w:r>
              <w:rPr>
                <w:rFonts w:hint="default" w:ascii="Times New Roman" w:hAnsi="Times New Roman" w:eastAsia="宋体" w:cs="Times New Roman"/>
                <w:b w:val="0"/>
                <w:bCs w:val="0"/>
                <w:color w:val="000000" w:themeColor="text1"/>
                <w:kern w:val="0"/>
                <w:sz w:val="24"/>
                <w:szCs w:val="20"/>
                <w:u w:val="none"/>
                <w:lang w:val="en-US" w:eastAsia="zh-CN" w:bidi="ar-SA"/>
                <w14:textFill>
                  <w14:solidFill>
                    <w14:schemeClr w14:val="tx1"/>
                  </w14:solidFill>
                </w14:textFill>
              </w:rPr>
              <w:t>该项目正常运营过程中产生的办公生活垃圾、一般工业固体废物及危险废物等。生活垃圾产生量约为3.64t/a，收集后由环卫部门统一清运；废边角料产生量约为1t/a；废金属屑产生量约为0.86t/a，集中收集后定期外售；不合格产品产生量为1.0t/a；废机油产生量为0.02t/a，废切削液产生量为0.01t/a，已与有资质单位签订好危废处置协议，确保所有危险废物得到妥善处置。因此，该项目固体废物不会对周围环境造成明显影响。</w:t>
            </w:r>
          </w:p>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bCs/>
                <w:color w:val="000000" w:themeColor="text1"/>
                <w:kern w:val="0"/>
                <w:sz w:val="24"/>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u w:val="none"/>
                <w:lang w:val="en-US" w:eastAsia="zh-CN"/>
                <w14:textFill>
                  <w14:solidFill>
                    <w14:schemeClr w14:val="tx1"/>
                  </w14:solidFill>
                </w14:textFill>
              </w:rPr>
              <w:t>三、现有工程污染物总量批复情况</w:t>
            </w:r>
          </w:p>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val="0"/>
                <w:bCs w:val="0"/>
                <w:color w:val="000000" w:themeColor="text1"/>
                <w:kern w:val="0"/>
                <w:sz w:val="24"/>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u w:val="none"/>
                <w:lang w:val="en-US" w:eastAsia="zh-CN"/>
                <w14:textFill>
                  <w14:solidFill>
                    <w14:schemeClr w14:val="tx1"/>
                  </w14:solidFill>
                </w14:textFill>
              </w:rPr>
              <w:t>现有工程总量情况见下表。</w:t>
            </w:r>
          </w:p>
          <w:p>
            <w:pPr>
              <w:pStyle w:val="15"/>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表2-11  总量排放情况一览表</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1914"/>
              <w:gridCol w:w="1914"/>
              <w:gridCol w:w="1914"/>
              <w:gridCol w:w="19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项目</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实际排放量</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总量控制指标</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颗粒物</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0.0159</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0.025</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非甲烷总烃</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0.087</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现状评估未说明非甲烷总烃总量控制指标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COD</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0.016</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0.0186</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氨氮</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0.0008</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0.0009</w:t>
                  </w:r>
                </w:p>
              </w:tc>
              <w:tc>
                <w:tcPr>
                  <w:tcW w:w="1250" w:type="pct"/>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t>/</w:t>
                  </w:r>
                </w:p>
              </w:tc>
            </w:tr>
          </w:tbl>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bCs/>
                <w:color w:val="000000" w:themeColor="text1"/>
                <w:kern w:val="0"/>
                <w:sz w:val="24"/>
                <w:u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u w:val="none"/>
                <w:lang w:val="en-US" w:eastAsia="zh-CN"/>
                <w14:textFill>
                  <w14:solidFill>
                    <w14:schemeClr w14:val="tx1"/>
                  </w14:solidFill>
                </w14:textFill>
              </w:rPr>
              <w:t>四、现有工程存在环保问题及整改措施</w:t>
            </w:r>
          </w:p>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val="0"/>
                <w:bCs w:val="0"/>
                <w:color w:val="000000" w:themeColor="text1"/>
                <w:kern w:val="0"/>
                <w:sz w:val="24"/>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4"/>
                <w:u w:val="none"/>
                <w:lang w:val="en-US" w:eastAsia="zh-CN"/>
                <w14:textFill>
                  <w14:solidFill>
                    <w14:schemeClr w14:val="tx1"/>
                  </w14:solidFill>
                </w14:textFill>
              </w:rPr>
              <w:t>本项目为新建（迁建）项目，新厂址现状为空地，不存在与本项目有关的原有污染及环境问题。迁建后，现有工程不再存在。</w:t>
            </w:r>
          </w:p>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val="0"/>
                <w:bCs w:val="0"/>
                <w:color w:val="000000" w:themeColor="text1"/>
                <w:kern w:val="0"/>
                <w:sz w:val="24"/>
                <w:u w:val="none"/>
                <w:lang w:val="en-US" w:eastAsia="zh-CN"/>
                <w14:textFill>
                  <w14:solidFill>
                    <w14:schemeClr w14:val="tx1"/>
                  </w14:solidFill>
                </w14:textFill>
              </w:rPr>
            </w:pPr>
          </w:p>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val="0"/>
                <w:bCs w:val="0"/>
                <w:color w:val="000000" w:themeColor="text1"/>
                <w:kern w:val="0"/>
                <w:sz w:val="24"/>
                <w:u w:val="none"/>
                <w:lang w:val="en-US" w:eastAsia="zh-CN"/>
                <w14:textFill>
                  <w14:solidFill>
                    <w14:schemeClr w14:val="tx1"/>
                  </w14:solidFill>
                </w14:textFill>
              </w:rPr>
            </w:pPr>
          </w:p>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val="0"/>
                <w:bCs w:val="0"/>
                <w:color w:val="000000" w:themeColor="text1"/>
                <w:kern w:val="0"/>
                <w:sz w:val="24"/>
                <w:u w:val="none"/>
                <w:lang w:val="en-US" w:eastAsia="zh-CN"/>
                <w14:textFill>
                  <w14:solidFill>
                    <w14:schemeClr w14:val="tx1"/>
                  </w14:solidFill>
                </w14:textFill>
              </w:rPr>
            </w:pPr>
          </w:p>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val="0"/>
                <w:bCs w:val="0"/>
                <w:color w:val="000000" w:themeColor="text1"/>
                <w:kern w:val="0"/>
                <w:sz w:val="24"/>
                <w:u w:val="none"/>
                <w:lang w:val="en-US" w:eastAsia="zh-CN"/>
                <w14:textFill>
                  <w14:solidFill>
                    <w14:schemeClr w14:val="tx1"/>
                  </w14:solidFill>
                </w14:textFill>
              </w:rPr>
            </w:pPr>
          </w:p>
          <w:p>
            <w:pPr>
              <w:pStyle w:val="34"/>
              <w:keepNext w:val="0"/>
              <w:keepLines w:val="0"/>
              <w:pageBreakBefore w:val="0"/>
              <w:widowControl w:val="0"/>
              <w:kinsoku/>
              <w:wordWrap/>
              <w:overflowPunct/>
              <w:topLinePunct w:val="0"/>
              <w:autoSpaceDE/>
              <w:autoSpaceDN/>
              <w:bidi w:val="0"/>
              <w:adjustRightInd/>
              <w:snapToGrid/>
              <w:spacing w:line="360" w:lineRule="auto"/>
              <w:ind w:firstLine="480"/>
              <w:textAlignment w:val="auto"/>
              <w:rPr>
                <w:rFonts w:hint="default" w:ascii="Times New Roman" w:hAnsi="Times New Roman" w:eastAsia="宋体" w:cs="Times New Roman"/>
                <w:b w:val="0"/>
                <w:bCs w:val="0"/>
                <w:color w:val="000000" w:themeColor="text1"/>
                <w:kern w:val="0"/>
                <w:sz w:val="24"/>
                <w:u w:val="none"/>
                <w:lang w:val="en-US" w:eastAsia="zh-CN"/>
                <w14:textFill>
                  <w14:solidFill>
                    <w14:schemeClr w14:val="tx1"/>
                  </w14:solidFill>
                </w14:textFill>
              </w:rPr>
            </w:pPr>
          </w:p>
          <w:p>
            <w:pPr>
              <w:pStyle w:val="34"/>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p>
          <w:p>
            <w:pPr>
              <w:pStyle w:val="34"/>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p>
          <w:p>
            <w:pPr>
              <w:pStyle w:val="34"/>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p>
          <w:p>
            <w:pPr>
              <w:pStyle w:val="34"/>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p>
          <w:p>
            <w:pPr>
              <w:pStyle w:val="34"/>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p>
          <w:p>
            <w:pPr>
              <w:pStyle w:val="34"/>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p>
        </w:tc>
      </w:tr>
    </w:tbl>
    <w:p>
      <w:pPr>
        <w:pStyle w:val="15"/>
        <w:ind w:left="0" w:leftChars="0" w:firstLine="0" w:firstLineChars="0"/>
        <w:rPr>
          <w:rFonts w:hint="default" w:ascii="Times New Roman" w:hAnsi="Times New Roman" w:eastAsia="宋体" w:cs="Times New Roman"/>
          <w:color w:val="000000" w:themeColor="text1"/>
          <w:sz w:val="24"/>
          <w:szCs w:val="32"/>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jc w:val="center"/>
        <w:rPr>
          <w:rFonts w:hint="default" w:ascii="Times New Roman" w:hAnsi="Times New Roman" w:eastAsia="宋体" w:cs="Times New Roman"/>
          <w:b/>
          <w:bCs/>
          <w:color w:val="000000" w:themeColor="text1"/>
          <w:sz w:val="28"/>
          <w:szCs w:val="36"/>
          <w:lang w:val="en-US" w:eastAsia="zh-CN"/>
          <w14:textFill>
            <w14:solidFill>
              <w14:schemeClr w14:val="tx1"/>
            </w14:solidFill>
          </w14:textFill>
        </w:rPr>
      </w:pPr>
      <w:r>
        <w:rPr>
          <w:rFonts w:hint="default" w:ascii="Times New Roman" w:hAnsi="Times New Roman" w:eastAsia="宋体" w:cs="Times New Roman"/>
          <w:b/>
          <w:bCs/>
          <w:color w:val="000000" w:themeColor="text1"/>
          <w:sz w:val="28"/>
          <w:szCs w:val="36"/>
          <w:lang w:val="en-US" w:eastAsia="zh-CN"/>
          <w14:textFill>
            <w14:solidFill>
              <w14:schemeClr w14:val="tx1"/>
            </w14:solidFill>
          </w14:textFill>
        </w:rPr>
        <w:t>三、区域环境质量现状、环境保护目标及评价标准</w:t>
      </w:r>
    </w:p>
    <w:tbl>
      <w:tblPr>
        <w:tblStyle w:val="1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83"/>
        <w:gridCol w:w="72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vAlign w:val="center"/>
          </w:tcPr>
          <w:p>
            <w:pPr>
              <w:jc w:val="cente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区域环境质量现状</w:t>
            </w:r>
          </w:p>
        </w:tc>
        <w:tc>
          <w:tcPr>
            <w:tcW w:w="7239" w:type="dxa"/>
            <w:vAlign w:val="center"/>
          </w:tcPr>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1、大气环境质量现状</w:t>
            </w:r>
          </w:p>
          <w:p>
            <w:pPr>
              <w:spacing w:line="480" w:lineRule="exact"/>
              <w:ind w:firstLine="482" w:firstLineChars="200"/>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eastAsia="zh-CN"/>
                <w14:textFill>
                  <w14:solidFill>
                    <w14:schemeClr w14:val="tx1"/>
                  </w14:solidFill>
                </w14:textFill>
              </w:rPr>
              <w:t>（1）环境质量达标区判定</w:t>
            </w:r>
          </w:p>
          <w:p>
            <w:pPr>
              <w:spacing w:line="480" w:lineRule="exact"/>
              <w:ind w:firstLine="482" w:firstLineChars="200"/>
              <w:rPr>
                <w:rFonts w:hint="default" w:ascii="Times New Roman" w:hAnsi="Times New Roman" w:eastAsia="宋体" w:cs="Times New Roman"/>
                <w:b/>
                <w:bCs/>
                <w:color w:val="000000" w:themeColor="text1"/>
                <w:sz w:val="24"/>
                <w:szCs w:val="24"/>
                <w:highlight w:val="none"/>
                <w:u w:val="single"/>
                <w:lang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single"/>
                <w:lang w:eastAsia="zh-CN"/>
                <w14:textFill>
                  <w14:solidFill>
                    <w14:schemeClr w14:val="tx1"/>
                  </w14:solidFill>
                </w14:textFill>
              </w:rPr>
              <w:t>本项目所在地区域为环境空气质量二类功能区，执行《环境空气质量标准》（GB3095-2012）二级标准及其修改单。本次评价选取取202</w:t>
            </w:r>
            <w:r>
              <w:rPr>
                <w:rFonts w:hint="default" w:ascii="Times New Roman" w:hAnsi="Times New Roman" w:eastAsia="宋体" w:cs="Times New Roman"/>
                <w:b/>
                <w:bCs/>
                <w:color w:val="000000" w:themeColor="text1"/>
                <w:sz w:val="24"/>
                <w:szCs w:val="24"/>
                <w:highlight w:val="none"/>
                <w:u w:val="single"/>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szCs w:val="24"/>
                <w:highlight w:val="none"/>
                <w:u w:val="single"/>
                <w:lang w:eastAsia="zh-CN"/>
                <w14:textFill>
                  <w14:solidFill>
                    <w14:schemeClr w14:val="tx1"/>
                  </w14:solidFill>
                </w14:textFill>
              </w:rPr>
              <w:t>年作为评价基准年，根据濮阳市生态环境局公布的202</w:t>
            </w:r>
            <w:r>
              <w:rPr>
                <w:rFonts w:hint="default" w:ascii="Times New Roman" w:hAnsi="Times New Roman" w:eastAsia="宋体" w:cs="Times New Roman"/>
                <w:b/>
                <w:bCs/>
                <w:color w:val="000000" w:themeColor="text1"/>
                <w:sz w:val="24"/>
                <w:szCs w:val="24"/>
                <w:highlight w:val="none"/>
                <w:u w:val="single"/>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szCs w:val="24"/>
                <w:highlight w:val="none"/>
                <w:u w:val="single"/>
                <w:lang w:eastAsia="zh-CN"/>
                <w14:textFill>
                  <w14:solidFill>
                    <w14:schemeClr w14:val="tx1"/>
                  </w14:solidFill>
                </w14:textFill>
              </w:rPr>
              <w:t>年濮阳市环境质量报</w:t>
            </w:r>
            <w:r>
              <w:rPr>
                <w:rFonts w:hint="default" w:ascii="Times New Roman" w:hAnsi="Times New Roman" w:eastAsia="宋体" w:cs="Times New Roman"/>
                <w:b/>
                <w:bCs/>
                <w:color w:val="000000" w:themeColor="text1"/>
                <w:sz w:val="24"/>
                <w:szCs w:val="24"/>
                <w:highlight w:val="none"/>
                <w:u w:val="single"/>
                <w:lang w:val="en-US" w:eastAsia="zh-CN"/>
                <w14:textFill>
                  <w14:solidFill>
                    <w14:schemeClr w14:val="tx1"/>
                  </w14:solidFill>
                </w14:textFill>
              </w:rPr>
              <w:t>告</w:t>
            </w:r>
            <w:r>
              <w:rPr>
                <w:rFonts w:hint="default" w:ascii="Times New Roman" w:hAnsi="Times New Roman" w:eastAsia="宋体" w:cs="Times New Roman"/>
                <w:b/>
                <w:bCs/>
                <w:color w:val="000000" w:themeColor="text1"/>
                <w:sz w:val="24"/>
                <w:szCs w:val="24"/>
                <w:highlight w:val="none"/>
                <w:u w:val="single"/>
                <w:lang w:eastAsia="zh-CN"/>
                <w14:textFill>
                  <w14:solidFill>
                    <w14:schemeClr w14:val="tx1"/>
                  </w14:solidFill>
                </w14:textFill>
              </w:rPr>
              <w:t>数据，统计结果见下表。</w:t>
            </w:r>
          </w:p>
          <w:p>
            <w:pPr>
              <w:keepNext w:val="0"/>
              <w:keepLines w:val="0"/>
              <w:pageBreakBefore w:val="0"/>
              <w:widowControl w:val="0"/>
              <w:kinsoku/>
              <w:wordWrap/>
              <w:overflowPunct/>
              <w:topLinePunct w:val="0"/>
              <w:autoSpaceDE/>
              <w:autoSpaceDN/>
              <w:bidi w:val="0"/>
              <w:adjustRightInd/>
              <w:snapToGrid/>
              <w:spacing w:line="240" w:lineRule="auto"/>
              <w:ind w:firstLine="422" w:firstLineChars="200"/>
              <w:jc w:val="center"/>
              <w:textAlignment w:val="auto"/>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u w:val="single"/>
                <w:vertAlign w:val="baseline"/>
                <w:lang w:val="en-US" w:eastAsia="zh-CN"/>
                <w14:textFill>
                  <w14:solidFill>
                    <w14:schemeClr w14:val="tx1"/>
                  </w14:solidFill>
                </w14:textFill>
              </w:rPr>
              <w:t>表3-1  基本污染物环境质量现状评价表</w:t>
            </w:r>
          </w:p>
          <w:tbl>
            <w:tblPr>
              <w:tblStyle w:val="1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46"/>
              <w:gridCol w:w="1749"/>
              <w:gridCol w:w="1190"/>
              <w:gridCol w:w="1372"/>
              <w:gridCol w:w="968"/>
              <w:gridCol w:w="9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77" w:hRule="atLeast"/>
                <w:jc w:val="center"/>
              </w:trPr>
              <w:tc>
                <w:tcPr>
                  <w:tcW w:w="532" w:type="pct"/>
                  <w:vAlign w:val="center"/>
                </w:tcPr>
                <w:p>
                  <w:pPr>
                    <w:adjustRightInd w:val="0"/>
                    <w:snapToGrid w:val="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评价因子</w:t>
                  </w:r>
                </w:p>
              </w:tc>
              <w:tc>
                <w:tcPr>
                  <w:tcW w:w="1247" w:type="pct"/>
                  <w:vAlign w:val="center"/>
                </w:tcPr>
                <w:p>
                  <w:pPr>
                    <w:adjustRightInd w:val="0"/>
                    <w:snapToGrid w:val="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年评价指标</w:t>
                  </w:r>
                </w:p>
              </w:tc>
              <w:tc>
                <w:tcPr>
                  <w:tcW w:w="848" w:type="pct"/>
                  <w:vAlign w:val="center"/>
                </w:tcPr>
                <w:p>
                  <w:pPr>
                    <w:adjustRightInd w:val="0"/>
                    <w:snapToGrid w:val="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浓度（μg/m</w:t>
                  </w:r>
                  <w:r>
                    <w:rPr>
                      <w:rFonts w:hint="default" w:ascii="Times New Roman" w:hAnsi="Times New Roman" w:eastAsia="宋体" w:cs="Times New Roman"/>
                      <w:b/>
                      <w:bCs/>
                      <w:color w:val="000000" w:themeColor="text1"/>
                      <w:szCs w:val="21"/>
                      <w:u w:val="single"/>
                      <w:vertAlign w:val="superscript"/>
                      <w14:textFill>
                        <w14:solidFill>
                          <w14:schemeClr w14:val="tx1"/>
                        </w14:solidFill>
                      </w14:textFill>
                    </w:rPr>
                    <w:t>3</w:t>
                  </w:r>
                  <w:r>
                    <w:rPr>
                      <w:rFonts w:hint="default" w:ascii="Times New Roman" w:hAnsi="Times New Roman" w:eastAsia="宋体" w:cs="Times New Roman"/>
                      <w:b/>
                      <w:bCs/>
                      <w:color w:val="000000" w:themeColor="text1"/>
                      <w:szCs w:val="21"/>
                      <w:u w:val="single"/>
                      <w14:textFill>
                        <w14:solidFill>
                          <w14:schemeClr w14:val="tx1"/>
                        </w14:solidFill>
                      </w14:textFill>
                    </w:rPr>
                    <w:t>）</w:t>
                  </w:r>
                </w:p>
              </w:tc>
              <w:tc>
                <w:tcPr>
                  <w:tcW w:w="978" w:type="pct"/>
                  <w:vAlign w:val="center"/>
                </w:tcPr>
                <w:p>
                  <w:pPr>
                    <w:adjustRightInd w:val="0"/>
                    <w:snapToGrid w:val="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标准值（μg/m</w:t>
                  </w:r>
                  <w:r>
                    <w:rPr>
                      <w:rFonts w:hint="default" w:ascii="Times New Roman" w:hAnsi="Times New Roman" w:eastAsia="宋体" w:cs="Times New Roman"/>
                      <w:b/>
                      <w:bCs/>
                      <w:color w:val="000000" w:themeColor="text1"/>
                      <w:szCs w:val="21"/>
                      <w:u w:val="single"/>
                      <w:vertAlign w:val="superscript"/>
                      <w14:textFill>
                        <w14:solidFill>
                          <w14:schemeClr w14:val="tx1"/>
                        </w14:solidFill>
                      </w14:textFill>
                    </w:rPr>
                    <w:t>3</w:t>
                  </w:r>
                  <w:r>
                    <w:rPr>
                      <w:rFonts w:hint="default" w:ascii="Times New Roman" w:hAnsi="Times New Roman" w:eastAsia="宋体" w:cs="Times New Roman"/>
                      <w:b/>
                      <w:bCs/>
                      <w:color w:val="000000" w:themeColor="text1"/>
                      <w:szCs w:val="21"/>
                      <w:u w:val="single"/>
                      <w14:textFill>
                        <w14:solidFill>
                          <w14:schemeClr w14:val="tx1"/>
                        </w14:solidFill>
                      </w14:textFill>
                    </w:rPr>
                    <w:t>）</w:t>
                  </w:r>
                </w:p>
              </w:tc>
              <w:tc>
                <w:tcPr>
                  <w:tcW w:w="690" w:type="pct"/>
                  <w:vAlign w:val="center"/>
                </w:tcPr>
                <w:p>
                  <w:pPr>
                    <w:adjustRightInd w:val="0"/>
                    <w:snapToGrid w:val="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占标率/%</w:t>
                  </w:r>
                </w:p>
              </w:tc>
              <w:tc>
                <w:tcPr>
                  <w:tcW w:w="702" w:type="pct"/>
                  <w:vAlign w:val="center"/>
                </w:tcPr>
                <w:p>
                  <w:pPr>
                    <w:adjustRightInd w:val="0"/>
                    <w:snapToGrid w:val="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Cs w:val="21"/>
                      <w:u w:val="single"/>
                      <w:lang w:val="en-US"/>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SO</w:t>
                  </w:r>
                  <w:r>
                    <w:rPr>
                      <w:rFonts w:hint="default" w:ascii="Times New Roman" w:hAnsi="Times New Roman" w:eastAsia="宋体" w:cs="Times New Roman"/>
                      <w:b/>
                      <w:bCs/>
                      <w:color w:val="000000" w:themeColor="text1"/>
                      <w:sz w:val="21"/>
                      <w:szCs w:val="21"/>
                      <w:highlight w:val="none"/>
                      <w:u w:val="single"/>
                      <w:vertAlign w:val="subscript"/>
                      <w:lang w:val="en-US" w:eastAsia="zh-CN"/>
                      <w14:textFill>
                        <w14:solidFill>
                          <w14:schemeClr w14:val="tx1"/>
                        </w14:solidFill>
                      </w14:textFill>
                    </w:rPr>
                    <w:t>2</w:t>
                  </w:r>
                </w:p>
              </w:tc>
              <w:tc>
                <w:tcPr>
                  <w:tcW w:w="1247" w:type="pct"/>
                  <w:vAlign w:val="center"/>
                </w:tcPr>
                <w:p>
                  <w:pPr>
                    <w:widowControl/>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14:textFill>
                        <w14:solidFill>
                          <w14:schemeClr w14:val="tx1"/>
                        </w14:solidFill>
                      </w14:textFill>
                    </w:rPr>
                    <w:t>年平均质量浓度</w:t>
                  </w:r>
                </w:p>
              </w:tc>
              <w:tc>
                <w:tcPr>
                  <w:tcW w:w="848" w:type="pct"/>
                  <w:vAlign w:val="center"/>
                </w:tcPr>
                <w:p>
                  <w:pPr>
                    <w:spacing w:line="320" w:lineRule="exact"/>
                    <w:jc w:val="cente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8</w:t>
                  </w:r>
                </w:p>
              </w:tc>
              <w:tc>
                <w:tcPr>
                  <w:tcW w:w="978" w:type="pct"/>
                  <w:vAlign w:val="center"/>
                </w:tcPr>
                <w:p>
                  <w:pPr>
                    <w:spacing w:line="320" w:lineRule="exact"/>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60</w:t>
                  </w:r>
                </w:p>
              </w:tc>
              <w:tc>
                <w:tcPr>
                  <w:tcW w:w="690" w:type="pct"/>
                  <w:vAlign w:val="center"/>
                </w:tcPr>
                <w:p>
                  <w:pPr>
                    <w:spacing w:line="320" w:lineRule="exact"/>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13.3</w:t>
                  </w:r>
                </w:p>
              </w:tc>
              <w:tc>
                <w:tcPr>
                  <w:tcW w:w="702" w:type="pct"/>
                  <w:vAlign w:val="center"/>
                </w:tcPr>
                <w:p>
                  <w:pPr>
                    <w:widowControl/>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2" w:hRule="atLeast"/>
                <w:jc w:val="center"/>
              </w:trPr>
              <w:tc>
                <w:tcPr>
                  <w:tcW w:w="5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Cs w:val="21"/>
                      <w:u w:val="single"/>
                      <w:lang w:val="en-US"/>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NO</w:t>
                  </w:r>
                  <w:r>
                    <w:rPr>
                      <w:rFonts w:hint="default" w:ascii="Times New Roman" w:hAnsi="Times New Roman" w:eastAsia="宋体" w:cs="Times New Roman"/>
                      <w:b/>
                      <w:bCs/>
                      <w:color w:val="000000" w:themeColor="text1"/>
                      <w:sz w:val="21"/>
                      <w:szCs w:val="21"/>
                      <w:highlight w:val="none"/>
                      <w:u w:val="single"/>
                      <w:vertAlign w:val="subscript"/>
                      <w:lang w:val="en-US" w:eastAsia="zh-CN"/>
                      <w14:textFill>
                        <w14:solidFill>
                          <w14:schemeClr w14:val="tx1"/>
                        </w14:solidFill>
                      </w14:textFill>
                    </w:rPr>
                    <w:t>2</w:t>
                  </w:r>
                </w:p>
              </w:tc>
              <w:tc>
                <w:tcPr>
                  <w:tcW w:w="1247" w:type="pct"/>
                  <w:vAlign w:val="center"/>
                </w:tcPr>
                <w:p>
                  <w:pPr>
                    <w:widowControl/>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14:textFill>
                        <w14:solidFill>
                          <w14:schemeClr w14:val="tx1"/>
                        </w14:solidFill>
                      </w14:textFill>
                    </w:rPr>
                    <w:t>年平均质量浓度</w:t>
                  </w:r>
                </w:p>
              </w:tc>
              <w:tc>
                <w:tcPr>
                  <w:tcW w:w="848" w:type="pct"/>
                  <w:vAlign w:val="center"/>
                </w:tcPr>
                <w:p>
                  <w:pPr>
                    <w:spacing w:line="320" w:lineRule="exact"/>
                    <w:jc w:val="cente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24</w:t>
                  </w:r>
                </w:p>
              </w:tc>
              <w:tc>
                <w:tcPr>
                  <w:tcW w:w="978" w:type="pct"/>
                  <w:vAlign w:val="center"/>
                </w:tcPr>
                <w:p>
                  <w:pPr>
                    <w:spacing w:line="320" w:lineRule="exact"/>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40</w:t>
                  </w:r>
                </w:p>
              </w:tc>
              <w:tc>
                <w:tcPr>
                  <w:tcW w:w="690" w:type="pct"/>
                  <w:vAlign w:val="center"/>
                </w:tcPr>
                <w:p>
                  <w:pPr>
                    <w:spacing w:line="320" w:lineRule="exact"/>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60</w:t>
                  </w:r>
                </w:p>
              </w:tc>
              <w:tc>
                <w:tcPr>
                  <w:tcW w:w="702" w:type="pct"/>
                  <w:vAlign w:val="center"/>
                </w:tcPr>
                <w:p>
                  <w:pPr>
                    <w:widowControl/>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62" w:hRule="atLeast"/>
                <w:jc w:val="center"/>
              </w:trPr>
              <w:tc>
                <w:tcPr>
                  <w:tcW w:w="5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PM</w:t>
                  </w:r>
                  <w:r>
                    <w:rPr>
                      <w:rFonts w:hint="default" w:ascii="Times New Roman" w:hAnsi="Times New Roman" w:eastAsia="宋体" w:cs="Times New Roman"/>
                      <w:b/>
                      <w:bCs/>
                      <w:color w:val="000000" w:themeColor="text1"/>
                      <w:sz w:val="21"/>
                      <w:szCs w:val="21"/>
                      <w:highlight w:val="none"/>
                      <w:u w:val="single"/>
                      <w:vertAlign w:val="subscript"/>
                      <w:lang w:val="en-US" w:eastAsia="zh-CN"/>
                      <w14:textFill>
                        <w14:solidFill>
                          <w14:schemeClr w14:val="tx1"/>
                        </w14:solidFill>
                      </w14:textFill>
                    </w:rPr>
                    <w:t>10</w:t>
                  </w:r>
                </w:p>
              </w:tc>
              <w:tc>
                <w:tcPr>
                  <w:tcW w:w="1247" w:type="pct"/>
                  <w:vAlign w:val="center"/>
                </w:tcPr>
                <w:p>
                  <w:pPr>
                    <w:widowControl/>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14:textFill>
                        <w14:solidFill>
                          <w14:schemeClr w14:val="tx1"/>
                        </w14:solidFill>
                      </w14:textFill>
                    </w:rPr>
                    <w:t>年平均质量浓度</w:t>
                  </w:r>
                </w:p>
              </w:tc>
              <w:tc>
                <w:tcPr>
                  <w:tcW w:w="848" w:type="pct"/>
                  <w:vAlign w:val="center"/>
                </w:tcPr>
                <w:p>
                  <w:pPr>
                    <w:spacing w:line="320" w:lineRule="exact"/>
                    <w:jc w:val="cente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74</w:t>
                  </w:r>
                </w:p>
              </w:tc>
              <w:tc>
                <w:tcPr>
                  <w:tcW w:w="978" w:type="pct"/>
                  <w:vAlign w:val="center"/>
                </w:tcPr>
                <w:p>
                  <w:pPr>
                    <w:spacing w:line="320" w:lineRule="exact"/>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70</w:t>
                  </w:r>
                </w:p>
              </w:tc>
              <w:tc>
                <w:tcPr>
                  <w:tcW w:w="690" w:type="pct"/>
                  <w:vAlign w:val="center"/>
                </w:tcPr>
                <w:p>
                  <w:pPr>
                    <w:spacing w:line="320" w:lineRule="exact"/>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105.7</w:t>
                  </w:r>
                </w:p>
              </w:tc>
              <w:tc>
                <w:tcPr>
                  <w:tcW w:w="702" w:type="pct"/>
                  <w:vAlign w:val="center"/>
                </w:tcPr>
                <w:p>
                  <w:pPr>
                    <w:widowControl/>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14:textFill>
                        <w14:solidFill>
                          <w14:schemeClr w14:val="tx1"/>
                        </w14:solidFill>
                      </w14:textFill>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2" w:hRule="atLeast"/>
                <w:jc w:val="center"/>
              </w:trPr>
              <w:tc>
                <w:tcPr>
                  <w:tcW w:w="5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PM</w:t>
                  </w:r>
                  <w:r>
                    <w:rPr>
                      <w:rFonts w:hint="default" w:ascii="Times New Roman" w:hAnsi="Times New Roman" w:eastAsia="宋体" w:cs="Times New Roman"/>
                      <w:b/>
                      <w:bCs/>
                      <w:color w:val="000000" w:themeColor="text1"/>
                      <w:sz w:val="21"/>
                      <w:szCs w:val="21"/>
                      <w:highlight w:val="none"/>
                      <w:u w:val="single"/>
                      <w:vertAlign w:val="subscript"/>
                      <w:lang w:val="en-US" w:eastAsia="zh-CN"/>
                      <w14:textFill>
                        <w14:solidFill>
                          <w14:schemeClr w14:val="tx1"/>
                        </w14:solidFill>
                      </w14:textFill>
                    </w:rPr>
                    <w:t>2.5</w:t>
                  </w:r>
                </w:p>
              </w:tc>
              <w:tc>
                <w:tcPr>
                  <w:tcW w:w="1247" w:type="pct"/>
                  <w:vAlign w:val="center"/>
                </w:tcPr>
                <w:p>
                  <w:pPr>
                    <w:widowControl/>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14:textFill>
                        <w14:solidFill>
                          <w14:schemeClr w14:val="tx1"/>
                        </w14:solidFill>
                      </w14:textFill>
                    </w:rPr>
                    <w:t>年平均质量浓度</w:t>
                  </w:r>
                </w:p>
              </w:tc>
              <w:tc>
                <w:tcPr>
                  <w:tcW w:w="848" w:type="pct"/>
                  <w:vAlign w:val="center"/>
                </w:tcPr>
                <w:p>
                  <w:pPr>
                    <w:spacing w:line="320" w:lineRule="exact"/>
                    <w:jc w:val="cente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50</w:t>
                  </w:r>
                </w:p>
              </w:tc>
              <w:tc>
                <w:tcPr>
                  <w:tcW w:w="978" w:type="pct"/>
                  <w:vAlign w:val="center"/>
                </w:tcPr>
                <w:p>
                  <w:pPr>
                    <w:spacing w:line="320" w:lineRule="exact"/>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35</w:t>
                  </w:r>
                </w:p>
              </w:tc>
              <w:tc>
                <w:tcPr>
                  <w:tcW w:w="690" w:type="pct"/>
                  <w:vAlign w:val="center"/>
                </w:tcPr>
                <w:p>
                  <w:pPr>
                    <w:spacing w:line="320" w:lineRule="exact"/>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142.9</w:t>
                  </w:r>
                </w:p>
              </w:tc>
              <w:tc>
                <w:tcPr>
                  <w:tcW w:w="702" w:type="pct"/>
                  <w:vAlign w:val="center"/>
                </w:tcPr>
                <w:p>
                  <w:pPr>
                    <w:widowControl/>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14:textFill>
                        <w14:solidFill>
                          <w14:schemeClr w14:val="tx1"/>
                        </w14:solidFill>
                      </w14:textFill>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02" w:hRule="atLeast"/>
                <w:jc w:val="center"/>
              </w:trPr>
              <w:tc>
                <w:tcPr>
                  <w:tcW w:w="5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CO</w:t>
                  </w:r>
                </w:p>
              </w:tc>
              <w:tc>
                <w:tcPr>
                  <w:tcW w:w="1247" w:type="pct"/>
                  <w:vAlign w:val="center"/>
                </w:tcPr>
                <w:p>
                  <w:pPr>
                    <w:widowControl/>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14:textFill>
                        <w14:solidFill>
                          <w14:schemeClr w14:val="tx1"/>
                        </w14:solidFill>
                      </w14:textFill>
                    </w:rPr>
                    <w:t>95百分位数日平均浓度</w:t>
                  </w:r>
                </w:p>
              </w:tc>
              <w:tc>
                <w:tcPr>
                  <w:tcW w:w="848" w:type="pct"/>
                  <w:vAlign w:val="center"/>
                </w:tcPr>
                <w:p>
                  <w:pPr>
                    <w:spacing w:line="320" w:lineRule="exact"/>
                    <w:jc w:val="cente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1000</w:t>
                  </w:r>
                </w:p>
              </w:tc>
              <w:tc>
                <w:tcPr>
                  <w:tcW w:w="978" w:type="pct"/>
                  <w:vAlign w:val="center"/>
                </w:tcPr>
                <w:p>
                  <w:pPr>
                    <w:spacing w:line="320" w:lineRule="exact"/>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4000</w:t>
                  </w:r>
                </w:p>
              </w:tc>
              <w:tc>
                <w:tcPr>
                  <w:tcW w:w="690" w:type="pct"/>
                  <w:vAlign w:val="center"/>
                </w:tcPr>
                <w:p>
                  <w:pPr>
                    <w:spacing w:line="320" w:lineRule="exact"/>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25</w:t>
                  </w:r>
                </w:p>
              </w:tc>
              <w:tc>
                <w:tcPr>
                  <w:tcW w:w="702" w:type="pct"/>
                  <w:vAlign w:val="center"/>
                </w:tcPr>
                <w:p>
                  <w:pPr>
                    <w:widowControl/>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32"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O</w:t>
                  </w:r>
                  <w:r>
                    <w:rPr>
                      <w:rFonts w:hint="default" w:ascii="Times New Roman" w:hAnsi="Times New Roman" w:eastAsia="宋体" w:cs="Times New Roman"/>
                      <w:b/>
                      <w:bCs/>
                      <w:color w:val="000000" w:themeColor="text1"/>
                      <w:sz w:val="21"/>
                      <w:szCs w:val="21"/>
                      <w:highlight w:val="none"/>
                      <w:u w:val="single"/>
                      <w:vertAlign w:val="subscript"/>
                      <w:lang w:val="en-US" w:eastAsia="zh-CN"/>
                      <w14:textFill>
                        <w14:solidFill>
                          <w14:schemeClr w14:val="tx1"/>
                        </w14:solidFill>
                      </w14:textFill>
                    </w:rPr>
                    <w:t>3</w:t>
                  </w:r>
                </w:p>
              </w:tc>
              <w:tc>
                <w:tcPr>
                  <w:tcW w:w="1247" w:type="pct"/>
                  <w:vAlign w:val="center"/>
                </w:tcPr>
                <w:p>
                  <w:pPr>
                    <w:widowControl/>
                    <w:jc w:val="cente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14:textFill>
                        <w14:solidFill>
                          <w14:schemeClr w14:val="tx1"/>
                        </w14:solidFill>
                      </w14:textFill>
                    </w:rPr>
                    <w:t>90百分位数</w:t>
                  </w: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8</w:t>
                  </w:r>
                  <w:r>
                    <w:rPr>
                      <w:rFonts w:hint="default" w:ascii="Times New Roman" w:hAnsi="Times New Roman" w:eastAsia="宋体" w:cs="Times New Roman"/>
                      <w:b/>
                      <w:bCs/>
                      <w:color w:val="000000" w:themeColor="text1"/>
                      <w:kern w:val="0"/>
                      <w:szCs w:val="21"/>
                      <w:highlight w:val="none"/>
                      <w:u w:val="single"/>
                      <w14:textFill>
                        <w14:solidFill>
                          <w14:schemeClr w14:val="tx1"/>
                        </w14:solidFill>
                      </w14:textFill>
                    </w:rPr>
                    <w:t>h平均质量</w:t>
                  </w: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浓度</w:t>
                  </w:r>
                </w:p>
              </w:tc>
              <w:tc>
                <w:tcPr>
                  <w:tcW w:w="848" w:type="pct"/>
                  <w:vAlign w:val="center"/>
                </w:tcPr>
                <w:p>
                  <w:pPr>
                    <w:spacing w:line="320" w:lineRule="exact"/>
                    <w:jc w:val="cente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168</w:t>
                  </w:r>
                </w:p>
              </w:tc>
              <w:tc>
                <w:tcPr>
                  <w:tcW w:w="978" w:type="pct"/>
                  <w:vAlign w:val="center"/>
                </w:tcPr>
                <w:p>
                  <w:pPr>
                    <w:spacing w:line="320" w:lineRule="exact"/>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160</w:t>
                  </w:r>
                </w:p>
              </w:tc>
              <w:tc>
                <w:tcPr>
                  <w:tcW w:w="690" w:type="pct"/>
                  <w:vAlign w:val="center"/>
                </w:tcPr>
                <w:p>
                  <w:pPr>
                    <w:spacing w:line="320" w:lineRule="exact"/>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lang w:val="en-US" w:eastAsia="zh-CN"/>
                      <w14:textFill>
                        <w14:solidFill>
                          <w14:schemeClr w14:val="tx1"/>
                        </w14:solidFill>
                      </w14:textFill>
                    </w:rPr>
                    <w:t>105</w:t>
                  </w:r>
                </w:p>
              </w:tc>
              <w:tc>
                <w:tcPr>
                  <w:tcW w:w="702" w:type="pct"/>
                  <w:vAlign w:val="center"/>
                </w:tcPr>
                <w:p>
                  <w:pPr>
                    <w:widowControl/>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highlight w:val="none"/>
                      <w:u w:val="single"/>
                      <w14:textFill>
                        <w14:solidFill>
                          <w14:schemeClr w14:val="tx1"/>
                        </w14:solidFill>
                      </w14:textFill>
                    </w:rPr>
                    <w:t>超标</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由上表可知，2023年濮阳市环境空气中SO</w:t>
            </w:r>
            <w:r>
              <w:rPr>
                <w:rFonts w:hint="default" w:ascii="Times New Roman" w:hAnsi="Times New Roman" w:eastAsia="宋体" w:cs="Times New Roman"/>
                <w:b/>
                <w:bCs/>
                <w:color w:val="000000" w:themeColor="text1"/>
                <w:sz w:val="24"/>
                <w:szCs w:val="32"/>
                <w:u w:val="single"/>
                <w:vertAlign w:val="subscript"/>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、NO</w:t>
            </w:r>
            <w:r>
              <w:rPr>
                <w:rFonts w:hint="default" w:ascii="Times New Roman" w:hAnsi="Times New Roman" w:eastAsia="宋体" w:cs="Times New Roman"/>
                <w:b/>
                <w:bCs/>
                <w:color w:val="000000" w:themeColor="text1"/>
                <w:sz w:val="24"/>
                <w:szCs w:val="32"/>
                <w:u w:val="single"/>
                <w:vertAlign w:val="subscript"/>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年平均质量浓度以及CO95百分位数日平均浓度均满足《环境空气质量标准》(GB3095-2012)二级标准及修改单要求。2023年PM</w:t>
            </w:r>
            <w:r>
              <w:rPr>
                <w:rFonts w:hint="default" w:ascii="Times New Roman" w:hAnsi="Times New Roman" w:eastAsia="宋体" w:cs="Times New Roman"/>
                <w:b/>
                <w:bCs/>
                <w:color w:val="000000" w:themeColor="text1"/>
                <w:sz w:val="24"/>
                <w:szCs w:val="32"/>
                <w:u w:val="single"/>
                <w:vertAlign w:val="subscript"/>
                <w:lang w:val="en-US" w:eastAsia="zh-CN"/>
                <w14:textFill>
                  <w14:solidFill>
                    <w14:schemeClr w14:val="tx1"/>
                  </w14:solidFill>
                </w14:textFill>
              </w:rPr>
              <w:t>10</w:t>
            </w: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年平均浓度、PM</w:t>
            </w:r>
            <w:r>
              <w:rPr>
                <w:rFonts w:hint="default" w:ascii="Times New Roman" w:hAnsi="Times New Roman" w:eastAsia="宋体" w:cs="Times New Roman"/>
                <w:b/>
                <w:bCs/>
                <w:color w:val="000000" w:themeColor="text1"/>
                <w:sz w:val="24"/>
                <w:szCs w:val="32"/>
                <w:u w:val="single"/>
                <w:vertAlign w:val="subscript"/>
                <w:lang w:val="en-US" w:eastAsia="zh-CN"/>
                <w14:textFill>
                  <w14:solidFill>
                    <w14:schemeClr w14:val="tx1"/>
                  </w14:solidFill>
                </w14:textFill>
              </w:rPr>
              <w:t>2.5</w:t>
            </w: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年平均浓度以及O</w:t>
            </w:r>
            <w:r>
              <w:rPr>
                <w:rFonts w:hint="default" w:ascii="Times New Roman" w:hAnsi="Times New Roman" w:eastAsia="宋体" w:cs="Times New Roman"/>
                <w:b/>
                <w:bCs/>
                <w:color w:val="000000" w:themeColor="text1"/>
                <w:sz w:val="24"/>
                <w:szCs w:val="32"/>
                <w:u w:val="single"/>
                <w:vertAlign w:val="subscript"/>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90百分位数8h平均质量浓度均不能满足《环境空气质量标准》(GB3095-2012)二级标准及修改单要求；为不达标区。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濮阳市生态环境保护委员会办公室关于印发《濮阳市2024年蓝天保卫战实施方案》的通知（濮环委办〔2024〕11号），方案要求深入打好污染防治攻坚战的决策部署，按照市委、市政府有关大气污染防治工作要求，持续改善全市环境空气质量，不断增强人民群众蓝天幸福感，具体如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一）减污降碳协同增效行动：1.依法依规淘汰落后低效产能。2.开展传统产业集群专项整治。3.加快煤电结构优化调整。4.实施工业炉窑清洁能源替代。5.持续推进清洁取暖改造。6.加快推进清洁运输。7.大力推广新能源汽车。</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（二）工业污染治理减排行动：8.深入推进超低排放改造。9.加快工业炉窑和锅炉深度治理。10.推进化工园区升级改造。11.开展低效失效设施排查整治。12.实施挥发性有机物综合治理。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（三）移动源污染排放控制行动：13.加强重点用车单位监管。14.强化非道路移动源综合治理。15.加强机动车排放检验监管。16.常态化开展路检路查和入户检查。17.全面保障成品油质量。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（四）强化面源污染治理：18.深化扬尘污染精细化管控。19.加强秸秆综合利用和露天禁烧。20.做好餐饮油烟污染防治。21.持续加强烟花爆竹污染管控。22.开展畜禽养殖业氨排放控制试点。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（五）推进工业企业综合治理：23.提升重污染天气应对实效。24.实施差异化精准管控。25.开展环境绩效等级提升行动。26.限时清除高值热点。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（六）科技支撑能力建设提升行动：27.提升环境监测能力。28.强化污染源监控能力。29.严格执法监督帮扶。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待以上大气污染防治计划逐步实施后，濮阳市环境空气质量将得到持续改善。</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（2）其他污染物</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根据《建设项目环境影响报告表编制技术指南》（污染影响类）要求，结合本项目废气排放特征、项目选址周围环境特点，本评价环境空气质量现状评价因子为：非甲烷总烃、甲醇。根据《建设项目环境影响报告表编制技术指南》（污染影响类）（试行），排放国家、地方环境空气质量标准中有标准限值要求的特征污染物时，引用建设项目周边5千米范围内近3年的现有监测数据。</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根据“全国环评技术评估服务咨询平台—公众端”发布的《&lt;建设项目环境影响报告表&gt;内容、格式及编制技术指南常见问题解答》可知，“排放国家、地方环境空气质量标准中有标准限值要求的特征污染物”，其中环境空气质量标准指《环境空气质量标准》（GB3095）和地方的环境空气质量标准，不包括《环境影响评价技术导则 大气环境》（HJ2.2-2018）附录 D、《工业企业设计卫生标准》（TJ36-97）、《前苏联居住区标准》（CH245-71）、《环境影响评价技术导则 制药建设项目》（HJ611-2011）、《大气污染物综合排放标准详解》等导则或参考资料。排放的特征污染物需要在国家、地方环境空气质量标准中有限值要求才涉及现状监测，且优先引用现有监测数据。</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本次评价特征因子非甲烷总烃、甲醇无适用的国家、地方环境质量标准，故本次不进行特征污染物环境质量现状检测。</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2、地表水环境质量现状</w:t>
            </w:r>
          </w:p>
          <w:p>
            <w:pPr>
              <w:keepNext w:val="0"/>
              <w:keepLines w:val="0"/>
              <w:pageBreakBefore w:val="0"/>
              <w:widowControl w:val="0"/>
              <w:kinsoku/>
              <w:wordWrap/>
              <w:overflowPunct/>
              <w:topLinePunct w:val="0"/>
              <w:autoSpaceDE/>
              <w:autoSpaceDN/>
              <w:bidi w:val="0"/>
              <w:adjustRightInd/>
              <w:snapToGrid/>
              <w:spacing w:line="480" w:lineRule="exact"/>
              <w:ind w:left="0" w:firstLine="480" w:firstLineChars="200"/>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废水经处理后排入濮阳市第三污水处理厂。距离本项目最近的地表水体为金堤河，地表水环境质量现状数据引用《濮阳市环境质量月报》中金堤河宋海桥断面（位于本项目下游）监测结果，监测数据统计见下表。</w:t>
            </w:r>
          </w:p>
          <w:p>
            <w:pPr>
              <w:keepNext w:val="0"/>
              <w:keepLines w:val="0"/>
              <w:pageBreakBefore w:val="0"/>
              <w:widowControl w:val="0"/>
              <w:kinsoku/>
              <w:wordWrap/>
              <w:overflowPunct/>
              <w:topLinePunct w:val="0"/>
              <w:autoSpaceDE/>
              <w:autoSpaceDN/>
              <w:bidi w:val="0"/>
              <w:adjustRightInd/>
              <w:snapToGrid/>
              <w:spacing w:line="240" w:lineRule="auto"/>
              <w:ind w:left="0" w:firstLine="422" w:firstLineChars="200"/>
              <w:jc w:val="center"/>
              <w:textAlignment w:val="auto"/>
              <w:rPr>
                <w:rFonts w:hint="default" w:ascii="Times New Roman" w:hAnsi="Times New Roman" w:eastAsia="宋体" w:cs="Times New Roman"/>
                <w:b/>
                <w:bCs/>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表3-3  地表水环境质量现状统计一览表  单位：mg/L</w:t>
            </w:r>
          </w:p>
          <w:tbl>
            <w:tblPr>
              <w:tblStyle w:val="17"/>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5"/>
              <w:gridCol w:w="1142"/>
              <w:gridCol w:w="1177"/>
              <w:gridCol w:w="1177"/>
              <w:gridCol w:w="1177"/>
              <w:gridCol w:w="10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trPr>
              <w:tc>
                <w:tcPr>
                  <w:tcW w:w="887" w:type="pct"/>
                  <w:vAlign w:val="center"/>
                  <mc:AlternateContent>
                    <mc:Choice Requires="wpsCustomData">
                      <wpsCustomData:diagonals>
                        <wpsCustomData:diagonal from="10000" to="30000">
                          <wpsCustomData:border w:val="single" w:color="auto" w:sz="4" w:space="0"/>
                        </wpsCustomData:diagonal>
                      </wpsCustomData:diagonals>
                    </mc:Choice>
                  </mc:AlternateContent>
                </w:tcPr>
                <w:p>
                  <w:pPr>
                    <w:keepNext w:val="0"/>
                    <w:keepLines w:val="0"/>
                    <w:pageBreakBefore w:val="0"/>
                    <w:widowControl w:val="0"/>
                    <w:kinsoku/>
                    <w:wordWrap/>
                    <w:overflowPunct/>
                    <w:topLinePunct w:val="0"/>
                    <w:autoSpaceDE/>
                    <w:autoSpaceDN/>
                    <w:bidi w:val="0"/>
                    <w:adjustRightInd/>
                    <w:snapToGrid w:val="0"/>
                    <w:spacing w:line="240" w:lineRule="auto"/>
                    <w:ind w:firstLine="0" w:firstLineChars="0"/>
                    <w:jc w:val="center"/>
                    <w:textAlignment w:val="auto"/>
                    <mc:AlternateContent>
                      <mc:Choice Requires="wpsCustomData">
                        <wpsCustomData:diagonalParaType/>
                      </mc:Choice>
                    </mc:AlternateContent>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时间</w:t>
                  </w:r>
                </w:p>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监测因子</w:t>
                  </w:r>
                </w:p>
              </w:tc>
              <w:tc>
                <w:tcPr>
                  <w:tcW w:w="81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高锰酸盐指数</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氨氮</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总磷</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标准</w:t>
                  </w:r>
                </w:p>
              </w:tc>
              <w:tc>
                <w:tcPr>
                  <w:tcW w:w="7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超标因子及倍数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2023.01</w:t>
                  </w:r>
                </w:p>
              </w:tc>
              <w:tc>
                <w:tcPr>
                  <w:tcW w:w="81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8.5</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1.21</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0.085</w:t>
                  </w:r>
                </w:p>
              </w:tc>
              <w:tc>
                <w:tcPr>
                  <w:tcW w:w="839" w:type="pct"/>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高锰酸盐指数：10；氨氮：1.5；总磷：0.3</w:t>
                  </w:r>
                </w:p>
              </w:tc>
              <w:tc>
                <w:tcPr>
                  <w:tcW w:w="7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2023.02</w:t>
                  </w:r>
                </w:p>
              </w:tc>
              <w:tc>
                <w:tcPr>
                  <w:tcW w:w="81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6.7</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0.41</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0.072</w:t>
                  </w:r>
                </w:p>
              </w:tc>
              <w:tc>
                <w:tcPr>
                  <w:tcW w:w="8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p>
              </w:tc>
              <w:tc>
                <w:tcPr>
                  <w:tcW w:w="7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2023.03</w:t>
                  </w:r>
                </w:p>
              </w:tc>
              <w:tc>
                <w:tcPr>
                  <w:tcW w:w="81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7.8</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0.94</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0.101</w:t>
                  </w:r>
                </w:p>
              </w:tc>
              <w:tc>
                <w:tcPr>
                  <w:tcW w:w="8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p>
              </w:tc>
              <w:tc>
                <w:tcPr>
                  <w:tcW w:w="7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2023.04</w:t>
                  </w:r>
                </w:p>
              </w:tc>
              <w:tc>
                <w:tcPr>
                  <w:tcW w:w="81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6.9</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0.35</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0.09</w:t>
                  </w:r>
                </w:p>
              </w:tc>
              <w:tc>
                <w:tcPr>
                  <w:tcW w:w="8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p>
              </w:tc>
              <w:tc>
                <w:tcPr>
                  <w:tcW w:w="7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2023.05</w:t>
                  </w:r>
                </w:p>
              </w:tc>
              <w:tc>
                <w:tcPr>
                  <w:tcW w:w="81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7.7</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0.49</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0.087</w:t>
                  </w:r>
                </w:p>
              </w:tc>
              <w:tc>
                <w:tcPr>
                  <w:tcW w:w="8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p>
              </w:tc>
              <w:tc>
                <w:tcPr>
                  <w:tcW w:w="7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2023.06</w:t>
                  </w:r>
                </w:p>
              </w:tc>
              <w:tc>
                <w:tcPr>
                  <w:tcW w:w="81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6.3</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0.19</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0.1</w:t>
                  </w:r>
                </w:p>
              </w:tc>
              <w:tc>
                <w:tcPr>
                  <w:tcW w:w="8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p>
              </w:tc>
              <w:tc>
                <w:tcPr>
                  <w:tcW w:w="7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2023.07</w:t>
                  </w:r>
                </w:p>
              </w:tc>
              <w:tc>
                <w:tcPr>
                  <w:tcW w:w="81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5.21</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0.193</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0.24</w:t>
                  </w:r>
                </w:p>
              </w:tc>
              <w:tc>
                <w:tcPr>
                  <w:tcW w:w="8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p>
              </w:tc>
              <w:tc>
                <w:tcPr>
                  <w:tcW w:w="7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2023.08</w:t>
                  </w:r>
                </w:p>
              </w:tc>
              <w:tc>
                <w:tcPr>
                  <w:tcW w:w="81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6</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0.12</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0.30</w:t>
                  </w:r>
                </w:p>
              </w:tc>
              <w:tc>
                <w:tcPr>
                  <w:tcW w:w="8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p>
              </w:tc>
              <w:tc>
                <w:tcPr>
                  <w:tcW w:w="7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2023.09</w:t>
                  </w:r>
                </w:p>
              </w:tc>
              <w:tc>
                <w:tcPr>
                  <w:tcW w:w="81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2.9</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0.04</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0.065</w:t>
                  </w:r>
                </w:p>
              </w:tc>
              <w:tc>
                <w:tcPr>
                  <w:tcW w:w="8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p>
              </w:tc>
              <w:tc>
                <w:tcPr>
                  <w:tcW w:w="7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2023.10</w:t>
                  </w:r>
                </w:p>
              </w:tc>
              <w:tc>
                <w:tcPr>
                  <w:tcW w:w="81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7.1</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0.74</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0.089</w:t>
                  </w:r>
                </w:p>
              </w:tc>
              <w:tc>
                <w:tcPr>
                  <w:tcW w:w="8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p>
              </w:tc>
              <w:tc>
                <w:tcPr>
                  <w:tcW w:w="7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2023.11</w:t>
                  </w:r>
                </w:p>
              </w:tc>
              <w:tc>
                <w:tcPr>
                  <w:tcW w:w="81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6.1</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0.89</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0.076</w:t>
                  </w:r>
                </w:p>
              </w:tc>
              <w:tc>
                <w:tcPr>
                  <w:tcW w:w="8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p>
              </w:tc>
              <w:tc>
                <w:tcPr>
                  <w:tcW w:w="7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87"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2023.12</w:t>
                  </w:r>
                </w:p>
              </w:tc>
              <w:tc>
                <w:tcPr>
                  <w:tcW w:w="814"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9.2</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0.4</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0.183</w:t>
                  </w:r>
                </w:p>
              </w:tc>
              <w:tc>
                <w:tcPr>
                  <w:tcW w:w="839" w:type="pct"/>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p>
              </w:tc>
              <w:tc>
                <w:tcPr>
                  <w:tcW w:w="778" w:type="pct"/>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w:t>
                  </w:r>
                </w:p>
              </w:tc>
            </w:tr>
          </w:tbl>
          <w:p>
            <w:pPr>
              <w:keepNext w:val="0"/>
              <w:keepLines w:val="0"/>
              <w:pageBreakBefore w:val="0"/>
              <w:kinsoku/>
              <w:wordWrap/>
              <w:overflowPunct/>
              <w:topLinePunct w:val="0"/>
              <w:bidi w:val="0"/>
              <w:adjustRightInd/>
              <w:snapToGrid/>
              <w:spacing w:line="480" w:lineRule="exact"/>
              <w:ind w:left="0" w:firstLine="480" w:firstLineChars="200"/>
              <w:rPr>
                <w:rFonts w:hint="default" w:ascii="Times New Roman" w:hAnsi="Times New Roman" w:eastAsia="宋体" w:cs="Times New Roman"/>
                <w:color w:val="000000" w:themeColor="text1"/>
                <w:sz w:val="24"/>
                <w:szCs w:val="32"/>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32"/>
                <w:highlight w:val="none"/>
                <w:lang w:eastAsia="zh-CN"/>
                <w14:textFill>
                  <w14:solidFill>
                    <w14:schemeClr w14:val="tx1"/>
                  </w14:solidFill>
                </w14:textFill>
              </w:rPr>
              <w:t>由上表可知，金堤河宋海桥断面水质年均值均可以满足《地表水环境质量标准》（GB3838-2002）IV类标准。</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3、声环境质量现状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themeColor="text1"/>
                <w:sz w:val="24"/>
                <w:szCs w:val="24"/>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u w:val="none"/>
                <w:lang w:eastAsia="zh-CN"/>
                <w14:textFill>
                  <w14:solidFill>
                    <w14:schemeClr w14:val="tx1"/>
                  </w14:solidFill>
                </w14:textFill>
              </w:rPr>
              <w:t>根据本项目所在区域环境特征，本项目所在区域为声环境3类功能区，声环境质量执行《声环境质量标准》（GB3096-2008）3类标准（昼间≤65dB（A））。根据《建设项目环境影响报告表编制技术指南》（污染影响类）要求，厂界外周边50米范围内存在声环境保护目标的建设项目，应监测保护目标声环境质量现状并评价达标情况。</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themeColor="text1"/>
                <w:sz w:val="24"/>
                <w:szCs w:val="32"/>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u w:val="none"/>
                <w:lang w:eastAsia="zh-CN"/>
                <w14:textFill>
                  <w14:solidFill>
                    <w14:schemeClr w14:val="tx1"/>
                  </w14:solidFill>
                </w14:textFill>
              </w:rPr>
              <w:t>本项目厂界外周边50米范围内不存在声环境保护目标的建设项目，故无需监测。</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4、地下水、土壤环境质量现状</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val="0"/>
                <w:bCs/>
                <w:color w:val="000000" w:themeColor="text1"/>
                <w:sz w:val="24"/>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lang w:val="en-US" w:eastAsia="zh-CN"/>
                <w14:textFill>
                  <w14:solidFill>
                    <w14:schemeClr w14:val="tx1"/>
                  </w14:solidFill>
                </w14:textFill>
              </w:rPr>
              <w:t>根据《建设项目环境影响报告表编制技术指南》（污染影响类）（试行）可知“地下水、土壤环境原则上不开展环境质量现状调查。建设项目存在土壤、地下水环境污染途径的，应结合污染源、保护目标分布情况开展现状调查以留作背景值。”</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val="0"/>
                <w:bCs/>
                <w:color w:val="000000" w:themeColor="text1"/>
                <w:sz w:val="24"/>
                <w:lang w:val="en-US" w:eastAsia="zh-CN"/>
                <w14:textFill>
                  <w14:solidFill>
                    <w14:schemeClr w14:val="tx1"/>
                  </w14:solidFill>
                </w14:textFill>
              </w:rPr>
            </w:pPr>
            <w:r>
              <w:rPr>
                <w:rFonts w:hint="default" w:ascii="Times New Roman" w:hAnsi="Times New Roman" w:eastAsia="宋体" w:cs="Times New Roman"/>
                <w:b w:val="0"/>
                <w:bCs/>
                <w:color w:val="000000" w:themeColor="text1"/>
                <w:sz w:val="24"/>
                <w:lang w:val="en-US" w:eastAsia="zh-CN"/>
                <w14:textFill>
                  <w14:solidFill>
                    <w14:schemeClr w14:val="tx1"/>
                  </w14:solidFill>
                </w14:textFill>
              </w:rPr>
              <w:t>根据《建设项目环境影响报告表编制技术指南（污染影响类）（试行）》，原则上不开展地下水和土壤环境质量现状调查，且本项目严格按要求做好分区防渗措施，不存在地下水、土壤污染途径，因此不进行地下水、土壤质量现状调查。</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5、生态环境质量现状</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根据《建设项目环境影响报告表编制技术指南》（污染影响类）（试行），产业园区外建设项目新增用地且用地范围内含有生态环境保护目标时，应进行生态现状调查。</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本项目位于濮阳高新技术产业开发区内，因此无需进行生态现状调查。</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6、电磁辐射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本项目不涉及电磁辐射。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3" w:type="dxa"/>
            <w:vAlign w:val="center"/>
          </w:tcPr>
          <w:p>
            <w:pPr>
              <w:jc w:val="cente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环境保护目标</w:t>
            </w:r>
          </w:p>
        </w:tc>
        <w:tc>
          <w:tcPr>
            <w:tcW w:w="7239" w:type="dxa"/>
            <w:vAlign w:val="center"/>
          </w:tcPr>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1、大气环境保护目标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厂界外为500m范围内大气环境敏感点主要为居住区，具体情况详见下表，敏感点分布情况详见附图2。</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表3-4  项目环境敏感保护目标一览表</w:t>
            </w:r>
          </w:p>
          <w:tbl>
            <w:tblPr>
              <w:tblStyle w:val="16"/>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1"/>
              <w:gridCol w:w="1206"/>
              <w:gridCol w:w="1294"/>
              <w:gridCol w:w="711"/>
              <w:gridCol w:w="689"/>
              <w:gridCol w:w="644"/>
              <w:gridCol w:w="644"/>
              <w:gridCol w:w="589"/>
              <w:gridCol w:w="5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14" w:hRule="atLeast"/>
                <w:jc w:val="center"/>
              </w:trPr>
              <w:tc>
                <w:tcPr>
                  <w:tcW w:w="460" w:type="pct"/>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14:textFill>
                        <w14:solidFill>
                          <w14:schemeClr w14:val="tx1"/>
                        </w14:solidFill>
                      </w14:textFill>
                    </w:rPr>
                    <w:t>环境类别</w:t>
                  </w:r>
                </w:p>
              </w:tc>
              <w:tc>
                <w:tcPr>
                  <w:tcW w:w="1765" w:type="pct"/>
                  <w:gridSpan w:val="2"/>
                  <w:vAlign w:val="center"/>
                </w:tcPr>
                <w:p>
                  <w:pPr>
                    <w:keepNext w:val="0"/>
                    <w:keepLines w:val="0"/>
                    <w:pageBreakBefore w:val="0"/>
                    <w:widowControl w:val="0"/>
                    <w:tabs>
                      <w:tab w:val="left" w:pos="538"/>
                    </w:tabs>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经纬度</w:t>
                  </w:r>
                </w:p>
              </w:tc>
              <w:tc>
                <w:tcPr>
                  <w:tcW w:w="510" w:type="pct"/>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eastAsia="zh-CN"/>
                      <w14:textFill>
                        <w14:solidFill>
                          <w14:schemeClr w14:val="tx1"/>
                        </w14:solidFill>
                      </w14:textFill>
                    </w:rPr>
                    <w:t>名称</w:t>
                  </w:r>
                </w:p>
              </w:tc>
              <w:tc>
                <w:tcPr>
                  <w:tcW w:w="494" w:type="pct"/>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eastAsia="zh-CN"/>
                      <w14:textFill>
                        <w14:solidFill>
                          <w14:schemeClr w14:val="tx1"/>
                        </w14:solidFill>
                      </w14:textFill>
                    </w:rPr>
                    <w:t>保护对象</w:t>
                  </w:r>
                </w:p>
              </w:tc>
              <w:tc>
                <w:tcPr>
                  <w:tcW w:w="462" w:type="pct"/>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eastAsia="zh-CN"/>
                      <w14:textFill>
                        <w14:solidFill>
                          <w14:schemeClr w14:val="tx1"/>
                        </w14:solidFill>
                      </w14:textFill>
                    </w:rPr>
                    <w:t>保护内容</w:t>
                  </w:r>
                </w:p>
              </w:tc>
              <w:tc>
                <w:tcPr>
                  <w:tcW w:w="462" w:type="pct"/>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eastAsia="zh-CN"/>
                      <w14:textFill>
                        <w14:solidFill>
                          <w14:schemeClr w14:val="tx1"/>
                        </w14:solidFill>
                      </w14:textFill>
                    </w:rPr>
                    <w:t>环境功能区</w:t>
                  </w:r>
                </w:p>
              </w:tc>
              <w:tc>
                <w:tcPr>
                  <w:tcW w:w="422" w:type="pct"/>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14:textFill>
                        <w14:solidFill>
                          <w14:schemeClr w14:val="tx1"/>
                        </w14:solidFill>
                      </w14:textFill>
                    </w:rPr>
                    <w:t>相对方位</w:t>
                  </w:r>
                </w:p>
              </w:tc>
              <w:tc>
                <w:tcPr>
                  <w:tcW w:w="422" w:type="pct"/>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eastAsia="zh-CN"/>
                      <w14:textFill>
                        <w14:solidFill>
                          <w14:schemeClr w14:val="tx1"/>
                        </w14:solidFill>
                      </w14:textFill>
                    </w:rPr>
                    <w:t>相对距离</w:t>
                  </w: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3" w:hRule="atLeast"/>
                <w:jc w:val="center"/>
              </w:trPr>
              <w:tc>
                <w:tcPr>
                  <w:tcW w:w="460"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经度</w:t>
                  </w:r>
                </w:p>
              </w:tc>
              <w:tc>
                <w:tcPr>
                  <w:tcW w:w="925"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纬度</w:t>
                  </w:r>
                </w:p>
              </w:tc>
              <w:tc>
                <w:tcPr>
                  <w:tcW w:w="510"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p>
              </w:tc>
              <w:tc>
                <w:tcPr>
                  <w:tcW w:w="494"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p>
              </w:tc>
              <w:tc>
                <w:tcPr>
                  <w:tcW w:w="462"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p>
              </w:tc>
              <w:tc>
                <w:tcPr>
                  <w:tcW w:w="462"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p>
              </w:tc>
              <w:tc>
                <w:tcPr>
                  <w:tcW w:w="422"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p>
              </w:tc>
              <w:tc>
                <w:tcPr>
                  <w:tcW w:w="422" w:type="pct"/>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460"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14:textFill>
                        <w14:solidFill>
                          <w14:schemeClr w14:val="tx1"/>
                        </w14:solidFill>
                      </w14:textFill>
                    </w:rPr>
                    <w:t>大气环境</w:t>
                  </w:r>
                </w:p>
              </w:tc>
              <w:tc>
                <w:tcPr>
                  <w:tcW w:w="839"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115.132846</w:t>
                  </w:r>
                </w:p>
              </w:tc>
              <w:tc>
                <w:tcPr>
                  <w:tcW w:w="925"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35.804258</w:t>
                  </w:r>
                </w:p>
              </w:tc>
              <w:tc>
                <w:tcPr>
                  <w:tcW w:w="510"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北寨村</w:t>
                  </w:r>
                </w:p>
              </w:tc>
              <w:tc>
                <w:tcPr>
                  <w:tcW w:w="494" w:type="pc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居住区</w:t>
                  </w:r>
                </w:p>
              </w:tc>
              <w:tc>
                <w:tcPr>
                  <w:tcW w:w="462" w:type="pct"/>
                  <w:vAlign w:val="center"/>
                </w:tcPr>
                <w:p>
                  <w:pPr>
                    <w:pStyle w:val="6"/>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人群</w:t>
                  </w:r>
                </w:p>
              </w:tc>
              <w:tc>
                <w:tcPr>
                  <w:tcW w:w="462" w:type="pct"/>
                  <w:vAlign w:val="center"/>
                </w:tcPr>
                <w:p>
                  <w:pPr>
                    <w:pStyle w:val="6"/>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二类区</w:t>
                  </w:r>
                </w:p>
              </w:tc>
              <w:tc>
                <w:tcPr>
                  <w:tcW w:w="422" w:type="pct"/>
                  <w:vAlign w:val="center"/>
                </w:tcPr>
                <w:p>
                  <w:pPr>
                    <w:pStyle w:val="6"/>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ES</w:t>
                  </w:r>
                </w:p>
              </w:tc>
              <w:tc>
                <w:tcPr>
                  <w:tcW w:w="422" w:type="pct"/>
                  <w:vAlign w:val="center"/>
                </w:tcPr>
                <w:p>
                  <w:pPr>
                    <w:pStyle w:val="6"/>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80</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2、水环境保护目标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项目厂界外500米范围内无地下水集中式饮用水水源和热水、矿泉水、温泉等特殊地下水资源。</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3、声环境保护目标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项目厂界外50米范围内无声环境保护目标。</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4、其它环境保护目标</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本项目用地范围内无生态环境保护目标。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3" w:hRule="atLeast"/>
        </w:trPr>
        <w:tc>
          <w:tcPr>
            <w:tcW w:w="1283" w:type="dxa"/>
            <w:vAlign w:val="center"/>
          </w:tcPr>
          <w:p>
            <w:pPr>
              <w:jc w:val="cente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污染物排放控制标准</w:t>
            </w:r>
          </w:p>
        </w:tc>
        <w:tc>
          <w:tcPr>
            <w:tcW w:w="7239" w:type="dxa"/>
            <w:vAlign w:val="center"/>
          </w:tcPr>
          <w:p>
            <w:pPr>
              <w:keepNext w:val="0"/>
              <w:keepLines w:val="0"/>
              <w:pageBreakBefore w:val="0"/>
              <w:widowControl w:val="0"/>
              <w:numPr>
                <w:ilvl w:val="0"/>
                <w:numId w:val="14"/>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颗粒物《大气污染物综合排放标准》（GB16297-1996）表2标准排放限值、甲醇满足《大气污染物综合排放标准》（GB16297-1996）表2标准排放限值要求，非甲烷总烃满足《关于全省开展工业企业挥发性有机物专项治理工作中排放建议值的通知》（豫环攻坚办〔2017〕162号）“其他行业”。</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表3-5  大气污染物排放标准</w:t>
            </w:r>
          </w:p>
          <w:tbl>
            <w:tblPr>
              <w:tblStyle w:val="1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2"/>
              <w:gridCol w:w="1219"/>
              <w:gridCol w:w="1271"/>
              <w:gridCol w:w="1196"/>
              <w:gridCol w:w="962"/>
              <w:gridCol w:w="12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814" w:type="pct"/>
                  <w:vMerge w:val="restart"/>
                  <w:vAlign w:val="center"/>
                </w:tcPr>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污染物</w:t>
                  </w:r>
                </w:p>
              </w:tc>
              <w:tc>
                <w:tcPr>
                  <w:tcW w:w="869" w:type="pct"/>
                  <w:vMerge w:val="restart"/>
                  <w:vAlign w:val="center"/>
                </w:tcPr>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排放浓度</w:t>
                  </w:r>
                </w:p>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（mg/</w:t>
                  </w:r>
                  <w:r>
                    <w:rPr>
                      <w:rFonts w:hint="default" w:ascii="Times New Roman" w:hAnsi="Times New Roman" w:eastAsia="宋体" w:cs="Times New Roman"/>
                      <w:b/>
                      <w:bCs/>
                      <w:color w:val="000000" w:themeColor="text1"/>
                      <w:kern w:val="0"/>
                      <w:szCs w:val="21"/>
                      <w14:textFill>
                        <w14:solidFill>
                          <w14:schemeClr w14:val="tx1"/>
                        </w14:solidFill>
                      </w14:textFill>
                    </w:rPr>
                    <w:t>m</w:t>
                  </w:r>
                  <w:r>
                    <w:rPr>
                      <w:rFonts w:hint="default" w:ascii="Times New Roman" w:hAnsi="Times New Roman" w:eastAsia="宋体" w:cs="Times New Roman"/>
                      <w:b/>
                      <w:bCs/>
                      <w:color w:val="000000" w:themeColor="text1"/>
                      <w:kern w:val="0"/>
                      <w:szCs w:val="21"/>
                      <w:vertAlign w:val="superscript"/>
                      <w14:textFill>
                        <w14:solidFill>
                          <w14:schemeClr w14:val="tx1"/>
                        </w14:solidFill>
                      </w14:textFill>
                    </w:rPr>
                    <w:t>3</w:t>
                  </w:r>
                  <w:r>
                    <w:rPr>
                      <w:rFonts w:hint="default" w:ascii="Times New Roman" w:hAnsi="Times New Roman" w:eastAsia="宋体" w:cs="Times New Roman"/>
                      <w:b/>
                      <w:bCs/>
                      <w:color w:val="000000" w:themeColor="text1"/>
                      <w:szCs w:val="21"/>
                      <w14:textFill>
                        <w14:solidFill>
                          <w14:schemeClr w14:val="tx1"/>
                        </w14:solidFill>
                      </w14:textFill>
                    </w:rPr>
                    <w:t>）</w:t>
                  </w:r>
                </w:p>
              </w:tc>
              <w:tc>
                <w:tcPr>
                  <w:tcW w:w="1759" w:type="pct"/>
                  <w:gridSpan w:val="2"/>
                  <w:vAlign w:val="center"/>
                </w:tcPr>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二级标准最高允许排放速率</w:t>
                  </w:r>
                </w:p>
              </w:tc>
              <w:tc>
                <w:tcPr>
                  <w:tcW w:w="1556" w:type="pct"/>
                  <w:gridSpan w:val="2"/>
                  <w:vAlign w:val="center"/>
                </w:tcPr>
                <w:p>
                  <w:pPr>
                    <w:autoSpaceDE w:val="0"/>
                    <w:autoSpaceDN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无组织排放监控点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 w:hRule="atLeast"/>
                <w:jc w:val="center"/>
              </w:trPr>
              <w:tc>
                <w:tcPr>
                  <w:tcW w:w="814" w:type="pct"/>
                  <w:vMerge w:val="continue"/>
                  <w:vAlign w:val="center"/>
                </w:tcPr>
                <w:p>
                  <w:pPr>
                    <w:autoSpaceDE w:val="0"/>
                    <w:autoSpaceDN w:val="0"/>
                    <w:jc w:val="center"/>
                    <w:rPr>
                      <w:rFonts w:hint="default" w:ascii="Times New Roman" w:hAnsi="Times New Roman" w:eastAsia="宋体" w:cs="Times New Roman"/>
                      <w:b/>
                      <w:bCs/>
                      <w:color w:val="000000" w:themeColor="text1"/>
                      <w:szCs w:val="21"/>
                      <w14:textFill>
                        <w14:solidFill>
                          <w14:schemeClr w14:val="tx1"/>
                        </w14:solidFill>
                      </w14:textFill>
                    </w:rPr>
                  </w:pPr>
                </w:p>
              </w:tc>
              <w:tc>
                <w:tcPr>
                  <w:tcW w:w="869" w:type="pct"/>
                  <w:vMerge w:val="continue"/>
                  <w:vAlign w:val="center"/>
                </w:tcPr>
                <w:p>
                  <w:pPr>
                    <w:autoSpaceDE w:val="0"/>
                    <w:autoSpaceDN w:val="0"/>
                    <w:jc w:val="center"/>
                    <w:rPr>
                      <w:rFonts w:hint="default" w:ascii="Times New Roman" w:hAnsi="Times New Roman" w:eastAsia="宋体" w:cs="Times New Roman"/>
                      <w:b/>
                      <w:bCs/>
                      <w:color w:val="000000" w:themeColor="text1"/>
                      <w:szCs w:val="21"/>
                      <w14:textFill>
                        <w14:solidFill>
                          <w14:schemeClr w14:val="tx1"/>
                        </w14:solidFill>
                      </w14:textFill>
                    </w:rPr>
                  </w:pPr>
                </w:p>
              </w:tc>
              <w:tc>
                <w:tcPr>
                  <w:tcW w:w="906" w:type="pct"/>
                  <w:vAlign w:val="center"/>
                </w:tcPr>
                <w:p>
                  <w:pPr>
                    <w:autoSpaceDE w:val="0"/>
                    <w:autoSpaceDN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排气筒高度（m）</w:t>
                  </w:r>
                </w:p>
              </w:tc>
              <w:tc>
                <w:tcPr>
                  <w:tcW w:w="852" w:type="pct"/>
                  <w:vAlign w:val="center"/>
                </w:tcPr>
                <w:p>
                  <w:pPr>
                    <w:autoSpaceDE w:val="0"/>
                    <w:autoSpaceDN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二级（kg/h）</w:t>
                  </w:r>
                </w:p>
              </w:tc>
              <w:tc>
                <w:tcPr>
                  <w:tcW w:w="686" w:type="pct"/>
                  <w:vAlign w:val="center"/>
                </w:tcPr>
                <w:p>
                  <w:pPr>
                    <w:autoSpaceDE w:val="0"/>
                    <w:autoSpaceDN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监控点</w:t>
                  </w:r>
                </w:p>
              </w:tc>
              <w:tc>
                <w:tcPr>
                  <w:tcW w:w="870" w:type="pct"/>
                  <w:vAlign w:val="center"/>
                </w:tcPr>
                <w:p>
                  <w:pPr>
                    <w:autoSpaceDE w:val="0"/>
                    <w:autoSpaceDN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浓度限值（mg/m</w:t>
                  </w:r>
                  <w:r>
                    <w:rPr>
                      <w:rFonts w:hint="default" w:ascii="Times New Roman" w:hAnsi="Times New Roman" w:eastAsia="宋体" w:cs="Times New Roman"/>
                      <w:b/>
                      <w:bCs/>
                      <w:color w:val="000000" w:themeColor="text1"/>
                      <w:szCs w:val="21"/>
                      <w:vertAlign w:val="superscript"/>
                      <w14:textFill>
                        <w14:solidFill>
                          <w14:schemeClr w14:val="tx1"/>
                        </w14:solidFill>
                      </w14:textFill>
                    </w:rPr>
                    <w:t>3</w:t>
                  </w:r>
                  <w:r>
                    <w:rPr>
                      <w:rFonts w:hint="default" w:ascii="Times New Roman" w:hAnsi="Times New Roman" w:eastAsia="宋体" w:cs="Times New Roman"/>
                      <w:b/>
                      <w:bCs/>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814" w:type="pct"/>
                  <w:vAlign w:val="center"/>
                </w:tcPr>
                <w:p>
                  <w:pPr>
                    <w:autoSpaceDE w:val="0"/>
                    <w:autoSpaceDN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颗粒物</w:t>
                  </w:r>
                </w:p>
              </w:tc>
              <w:tc>
                <w:tcPr>
                  <w:tcW w:w="869" w:type="pct"/>
                  <w:vAlign w:val="center"/>
                </w:tcPr>
                <w:p>
                  <w:pPr>
                    <w:autoSpaceDE w:val="0"/>
                    <w:autoSpaceDN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120</w:t>
                  </w:r>
                </w:p>
              </w:tc>
              <w:tc>
                <w:tcPr>
                  <w:tcW w:w="906" w:type="pct"/>
                  <w:vMerge w:val="restart"/>
                  <w:vAlign w:val="center"/>
                </w:tcPr>
                <w:p>
                  <w:pPr>
                    <w:autoSpaceDE w:val="0"/>
                    <w:autoSpaceDN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15</w:t>
                  </w:r>
                </w:p>
              </w:tc>
              <w:tc>
                <w:tcPr>
                  <w:tcW w:w="852" w:type="pct"/>
                  <w:vAlign w:val="center"/>
                </w:tcPr>
                <w:p>
                  <w:pPr>
                    <w:autoSpaceDE w:val="0"/>
                    <w:autoSpaceDN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3.5</w:t>
                  </w:r>
                </w:p>
              </w:tc>
              <w:tc>
                <w:tcPr>
                  <w:tcW w:w="686" w:type="pct"/>
                  <w:vMerge w:val="restar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周界外浓度最高点</w:t>
                  </w:r>
                </w:p>
              </w:tc>
              <w:tc>
                <w:tcPr>
                  <w:tcW w:w="870" w:type="pct"/>
                  <w:vAlign w:val="center"/>
                </w:tcPr>
                <w:p>
                  <w:pPr>
                    <w:autoSpaceDE w:val="0"/>
                    <w:autoSpaceDN w:val="0"/>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814" w:type="pct"/>
                  <w:vAlign w:val="center"/>
                </w:tcPr>
                <w:p>
                  <w:pPr>
                    <w:autoSpaceDE w:val="0"/>
                    <w:autoSpaceDN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甲醇</w:t>
                  </w:r>
                </w:p>
              </w:tc>
              <w:tc>
                <w:tcPr>
                  <w:tcW w:w="869" w:type="pct"/>
                  <w:vAlign w:val="center"/>
                </w:tcPr>
                <w:p>
                  <w:pPr>
                    <w:autoSpaceDE w:val="0"/>
                    <w:autoSpaceDN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190</w:t>
                  </w:r>
                </w:p>
              </w:tc>
              <w:tc>
                <w:tcPr>
                  <w:tcW w:w="906" w:type="pct"/>
                  <w:vMerge w:val="continue"/>
                  <w:vAlign w:val="center"/>
                </w:tcPr>
                <w:p>
                  <w:pPr>
                    <w:autoSpaceDE w:val="0"/>
                    <w:autoSpaceDN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p>
              </w:tc>
              <w:tc>
                <w:tcPr>
                  <w:tcW w:w="852" w:type="pct"/>
                  <w:vAlign w:val="center"/>
                </w:tcPr>
                <w:p>
                  <w:pPr>
                    <w:autoSpaceDE w:val="0"/>
                    <w:autoSpaceDN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5.1</w:t>
                  </w:r>
                </w:p>
              </w:tc>
              <w:tc>
                <w:tcPr>
                  <w:tcW w:w="686" w:type="pct"/>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870" w:type="pct"/>
                  <w:vAlign w:val="center"/>
                </w:tcPr>
                <w:p>
                  <w:pPr>
                    <w:autoSpaceDE w:val="0"/>
                    <w:autoSpaceDN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12</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表3-6  GB31572-2015及豫环攻坚办〔2017〕162号排放标准</w:t>
            </w:r>
          </w:p>
          <w:tbl>
            <w:tblPr>
              <w:tblStyle w:val="1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5"/>
              <w:gridCol w:w="1940"/>
              <w:gridCol w:w="1324"/>
              <w:gridCol w:w="2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909" w:type="pct"/>
                  <w:vMerge w:val="restart"/>
                  <w:vAlign w:val="center"/>
                </w:tcPr>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污染物</w:t>
                  </w:r>
                </w:p>
              </w:tc>
              <w:tc>
                <w:tcPr>
                  <w:tcW w:w="1383" w:type="pct"/>
                  <w:vMerge w:val="restart"/>
                  <w:vAlign w:val="center"/>
                </w:tcPr>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lang w:eastAsia="zh-CN"/>
                      <w14:textFill>
                        <w14:solidFill>
                          <w14:schemeClr w14:val="tx1"/>
                        </w14:solidFill>
                      </w14:textFill>
                    </w:rPr>
                    <w:t>有组织</w:t>
                  </w:r>
                  <w:r>
                    <w:rPr>
                      <w:rFonts w:hint="default" w:ascii="Times New Roman" w:hAnsi="Times New Roman" w:eastAsia="宋体" w:cs="Times New Roman"/>
                      <w:b/>
                      <w:bCs/>
                      <w:color w:val="000000" w:themeColor="text1"/>
                      <w:szCs w:val="21"/>
                      <w14:textFill>
                        <w14:solidFill>
                          <w14:schemeClr w14:val="tx1"/>
                        </w14:solidFill>
                      </w14:textFill>
                    </w:rPr>
                    <w:t>排放浓度（mg/</w:t>
                  </w:r>
                  <w:r>
                    <w:rPr>
                      <w:rFonts w:hint="default" w:ascii="Times New Roman" w:hAnsi="Times New Roman" w:eastAsia="宋体" w:cs="Times New Roman"/>
                      <w:b/>
                      <w:bCs/>
                      <w:color w:val="000000" w:themeColor="text1"/>
                      <w:kern w:val="0"/>
                      <w:szCs w:val="21"/>
                      <w14:textFill>
                        <w14:solidFill>
                          <w14:schemeClr w14:val="tx1"/>
                        </w14:solidFill>
                      </w14:textFill>
                    </w:rPr>
                    <w:t>m</w:t>
                  </w:r>
                  <w:r>
                    <w:rPr>
                      <w:rFonts w:hint="default" w:ascii="Times New Roman" w:hAnsi="Times New Roman" w:eastAsia="宋体" w:cs="Times New Roman"/>
                      <w:b/>
                      <w:bCs/>
                      <w:color w:val="000000" w:themeColor="text1"/>
                      <w:kern w:val="0"/>
                      <w:szCs w:val="21"/>
                      <w:vertAlign w:val="superscript"/>
                      <w14:textFill>
                        <w14:solidFill>
                          <w14:schemeClr w14:val="tx1"/>
                        </w14:solidFill>
                      </w14:textFill>
                    </w:rPr>
                    <w:t>3</w:t>
                  </w:r>
                  <w:r>
                    <w:rPr>
                      <w:rFonts w:hint="default" w:ascii="Times New Roman" w:hAnsi="Times New Roman" w:eastAsia="宋体" w:cs="Times New Roman"/>
                      <w:b/>
                      <w:bCs/>
                      <w:color w:val="000000" w:themeColor="text1"/>
                      <w:szCs w:val="21"/>
                      <w14:textFill>
                        <w14:solidFill>
                          <w14:schemeClr w14:val="tx1"/>
                        </w14:solidFill>
                      </w14:textFill>
                    </w:rPr>
                    <w:t>）</w:t>
                  </w:r>
                </w:p>
              </w:tc>
              <w:tc>
                <w:tcPr>
                  <w:tcW w:w="944" w:type="pct"/>
                  <w:vMerge w:val="restart"/>
                  <w:vAlign w:val="center"/>
                </w:tcPr>
                <w:p>
                  <w:pPr>
                    <w:autoSpaceDE w:val="0"/>
                    <w:autoSpaceDN w:val="0"/>
                    <w:jc w:val="center"/>
                    <w:rPr>
                      <w:rFonts w:hint="default" w:ascii="Times New Roman" w:hAnsi="Times New Roman" w:eastAsia="宋体" w:cs="Times New Roman"/>
                      <w:b/>
                      <w:bCs/>
                      <w:color w:val="000000" w:themeColor="text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Cs w:val="21"/>
                      <w:lang w:val="en-US" w:eastAsia="zh-CN"/>
                      <w14:textFill>
                        <w14:solidFill>
                          <w14:schemeClr w14:val="tx1"/>
                        </w14:solidFill>
                      </w14:textFill>
                    </w:rPr>
                    <w:t>建议去除率</w:t>
                  </w:r>
                </w:p>
              </w:tc>
              <w:tc>
                <w:tcPr>
                  <w:tcW w:w="1762" w:type="pct"/>
                  <w:vAlign w:val="center"/>
                </w:tcPr>
                <w:p>
                  <w:pPr>
                    <w:autoSpaceDE w:val="0"/>
                    <w:autoSpaceDN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无组织排放监控点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909" w:type="pct"/>
                  <w:vMerge w:val="continue"/>
                  <w:vAlign w:val="center"/>
                </w:tcPr>
                <w:p>
                  <w:pPr>
                    <w:autoSpaceDE w:val="0"/>
                    <w:autoSpaceDN w:val="0"/>
                    <w:jc w:val="center"/>
                    <w:rPr>
                      <w:rFonts w:hint="default" w:ascii="Times New Roman" w:hAnsi="Times New Roman" w:eastAsia="宋体" w:cs="Times New Roman"/>
                      <w:b/>
                      <w:bCs/>
                      <w:color w:val="000000" w:themeColor="text1"/>
                      <w:szCs w:val="21"/>
                      <w14:textFill>
                        <w14:solidFill>
                          <w14:schemeClr w14:val="tx1"/>
                        </w14:solidFill>
                      </w14:textFill>
                    </w:rPr>
                  </w:pPr>
                </w:p>
              </w:tc>
              <w:tc>
                <w:tcPr>
                  <w:tcW w:w="1383" w:type="pct"/>
                  <w:vMerge w:val="continue"/>
                  <w:vAlign w:val="center"/>
                </w:tcPr>
                <w:p>
                  <w:pPr>
                    <w:autoSpaceDE w:val="0"/>
                    <w:autoSpaceDN w:val="0"/>
                    <w:jc w:val="center"/>
                    <w:rPr>
                      <w:rFonts w:hint="default" w:ascii="Times New Roman" w:hAnsi="Times New Roman" w:eastAsia="宋体" w:cs="Times New Roman"/>
                      <w:b/>
                      <w:bCs/>
                      <w:color w:val="000000" w:themeColor="text1"/>
                      <w:szCs w:val="21"/>
                      <w14:textFill>
                        <w14:solidFill>
                          <w14:schemeClr w14:val="tx1"/>
                        </w14:solidFill>
                      </w14:textFill>
                    </w:rPr>
                  </w:pPr>
                </w:p>
              </w:tc>
              <w:tc>
                <w:tcPr>
                  <w:tcW w:w="944" w:type="pct"/>
                  <w:vMerge w:val="continue"/>
                  <w:vAlign w:val="center"/>
                </w:tcPr>
                <w:p>
                  <w:pPr>
                    <w:autoSpaceDE w:val="0"/>
                    <w:autoSpaceDN w:val="0"/>
                    <w:jc w:val="center"/>
                    <w:rPr>
                      <w:rFonts w:hint="default" w:ascii="Times New Roman" w:hAnsi="Times New Roman" w:eastAsia="宋体" w:cs="Times New Roman"/>
                      <w:b/>
                      <w:bCs/>
                      <w:color w:val="000000" w:themeColor="text1"/>
                      <w:szCs w:val="21"/>
                      <w14:textFill>
                        <w14:solidFill>
                          <w14:schemeClr w14:val="tx1"/>
                        </w14:solidFill>
                      </w14:textFill>
                    </w:rPr>
                  </w:pPr>
                </w:p>
              </w:tc>
              <w:tc>
                <w:tcPr>
                  <w:tcW w:w="1762" w:type="pct"/>
                  <w:vAlign w:val="center"/>
                </w:tcPr>
                <w:p>
                  <w:pPr>
                    <w:autoSpaceDE w:val="0"/>
                    <w:autoSpaceDN w:val="0"/>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浓度限值（mg/m</w:t>
                  </w:r>
                  <w:r>
                    <w:rPr>
                      <w:rFonts w:hint="default" w:ascii="Times New Roman" w:hAnsi="Times New Roman" w:eastAsia="宋体" w:cs="Times New Roman"/>
                      <w:b/>
                      <w:bCs/>
                      <w:color w:val="000000" w:themeColor="text1"/>
                      <w:szCs w:val="21"/>
                      <w:vertAlign w:val="superscript"/>
                      <w14:textFill>
                        <w14:solidFill>
                          <w14:schemeClr w14:val="tx1"/>
                        </w14:solidFill>
                      </w14:textFill>
                    </w:rPr>
                    <w:t>3</w:t>
                  </w:r>
                  <w:r>
                    <w:rPr>
                      <w:rFonts w:hint="default" w:ascii="Times New Roman" w:hAnsi="Times New Roman" w:eastAsia="宋体" w:cs="Times New Roman"/>
                      <w:b/>
                      <w:bCs/>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2" w:hRule="atLeast"/>
                <w:jc w:val="center"/>
              </w:trPr>
              <w:tc>
                <w:tcPr>
                  <w:tcW w:w="909" w:type="pc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非甲烷总烃</w:t>
                  </w:r>
                </w:p>
              </w:tc>
              <w:tc>
                <w:tcPr>
                  <w:tcW w:w="1383" w:type="pct"/>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80</w:t>
                  </w:r>
                </w:p>
              </w:tc>
              <w:tc>
                <w:tcPr>
                  <w:tcW w:w="944" w:type="pct"/>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70%</w:t>
                  </w:r>
                </w:p>
              </w:tc>
              <w:tc>
                <w:tcPr>
                  <w:tcW w:w="1762" w:type="pct"/>
                  <w:vAlign w:val="center"/>
                </w:tcPr>
                <w:p>
                  <w:pPr>
                    <w:autoSpaceDE w:val="0"/>
                    <w:autoSpaceDN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2.0</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32"/>
                <w:vertAlign w:val="baseline"/>
                <w:lang w:val="en-US" w:eastAsia="zh-CN"/>
                <w14:textFill>
                  <w14:solidFill>
                    <w14:schemeClr w14:val="tx1"/>
                  </w14:solidFill>
                </w14:textFill>
              </w:rPr>
              <w:t>2、废水：执行《污水综合排放标准》（GB8978-1996）中三级标准及濮阳市第三污水处理厂收纳水质标准。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表3-8  废水排放标准一览表</w:t>
            </w:r>
          </w:p>
          <w:tbl>
            <w:tblPr>
              <w:tblStyle w:val="16"/>
              <w:tblW w:w="4999"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108" w:type="dxa"/>
                <w:bottom w:w="0" w:type="dxa"/>
                <w:right w:w="108" w:type="dxa"/>
              </w:tblCellMar>
            </w:tblPr>
            <w:tblGrid>
              <w:gridCol w:w="645"/>
              <w:gridCol w:w="910"/>
              <w:gridCol w:w="1942"/>
              <w:gridCol w:w="1774"/>
              <w:gridCol w:w="1736"/>
            </w:tblGrid>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1" w:type="pct"/>
                  <w:vMerge w:val="restar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污染类型</w:t>
                  </w:r>
                </w:p>
              </w:tc>
              <w:tc>
                <w:tcPr>
                  <w:tcW w:w="649" w:type="pct"/>
                  <w:vMerge w:val="restar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污染因子</w:t>
                  </w:r>
                </w:p>
              </w:tc>
              <w:tc>
                <w:tcPr>
                  <w:tcW w:w="1385" w:type="pct"/>
                  <w:vMerge w:val="restar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《污水综合排放标准》（GB8978-1996）表4三级标准标准限值</w:t>
                  </w:r>
                </w:p>
              </w:tc>
              <w:tc>
                <w:tcPr>
                  <w:tcW w:w="2503" w:type="pct"/>
                  <w:gridSpan w:val="2"/>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濮阳市第三污水处理厂收水质标准</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1" w:type="pct"/>
                  <w:vMerge w:val="continue"/>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000000" w:themeColor="text1"/>
                      <w:szCs w:val="21"/>
                      <w14:textFill>
                        <w14:solidFill>
                          <w14:schemeClr w14:val="tx1"/>
                        </w14:solidFill>
                      </w14:textFill>
                    </w:rPr>
                  </w:pPr>
                </w:p>
              </w:tc>
              <w:tc>
                <w:tcPr>
                  <w:tcW w:w="649" w:type="pct"/>
                  <w:vMerge w:val="continue"/>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000000" w:themeColor="text1"/>
                      <w:szCs w:val="21"/>
                      <w14:textFill>
                        <w14:solidFill>
                          <w14:schemeClr w14:val="tx1"/>
                        </w14:solidFill>
                      </w14:textFill>
                    </w:rPr>
                  </w:pPr>
                </w:p>
              </w:tc>
              <w:tc>
                <w:tcPr>
                  <w:tcW w:w="1385" w:type="pct"/>
                  <w:vMerge w:val="continue"/>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000000" w:themeColor="text1"/>
                      <w:szCs w:val="21"/>
                      <w14:textFill>
                        <w14:solidFill>
                          <w14:schemeClr w14:val="tx1"/>
                        </w14:solidFill>
                      </w14:textFill>
                    </w:rPr>
                  </w:pPr>
                </w:p>
              </w:tc>
              <w:tc>
                <w:tcPr>
                  <w:tcW w:w="1265" w:type="pc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进水水质</w:t>
                  </w:r>
                </w:p>
              </w:tc>
              <w:tc>
                <w:tcPr>
                  <w:tcW w:w="1238" w:type="pc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出水水质</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1" w:type="pct"/>
                  <w:vMerge w:val="restar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废水</w:t>
                  </w:r>
                </w:p>
              </w:tc>
              <w:tc>
                <w:tcPr>
                  <w:tcW w:w="649" w:type="pc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COD</w:t>
                  </w:r>
                </w:p>
              </w:tc>
              <w:tc>
                <w:tcPr>
                  <w:tcW w:w="1385" w:type="pct"/>
                  <w:tcMar>
                    <w:top w:w="85" w:type="dxa"/>
                    <w:bottom w:w="85" w:type="dxa"/>
                  </w:tcMar>
                  <w:vAlign w:val="center"/>
                </w:tcPr>
                <w:p>
                  <w:pPr>
                    <w:keepNext w:val="0"/>
                    <w:keepLines w:val="0"/>
                    <w:pageBreakBefore w:val="0"/>
                    <w:widowControl w:val="0"/>
                    <w:tabs>
                      <w:tab w:val="left" w:pos="980"/>
                      <w:tab w:val="center" w:pos="1764"/>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iCs/>
                      <w:color w:val="000000" w:themeColor="text1"/>
                      <w:szCs w:val="21"/>
                      <w14:textFill>
                        <w14:solidFill>
                          <w14:schemeClr w14:val="tx1"/>
                        </w14:solidFill>
                      </w14:textFill>
                    </w:rPr>
                  </w:pPr>
                  <w:r>
                    <w:rPr>
                      <w:rFonts w:hint="default" w:ascii="Times New Roman" w:hAnsi="Times New Roman" w:eastAsia="宋体" w:cs="Times New Roman"/>
                      <w:iCs/>
                      <w:color w:val="000000" w:themeColor="text1"/>
                      <w:szCs w:val="21"/>
                      <w14:textFill>
                        <w14:solidFill>
                          <w14:schemeClr w14:val="tx1"/>
                        </w14:solidFill>
                      </w14:textFill>
                    </w:rPr>
                    <w:t>≤500mg/L</w:t>
                  </w:r>
                </w:p>
              </w:tc>
              <w:tc>
                <w:tcPr>
                  <w:tcW w:w="1265" w:type="pct"/>
                  <w:tcMar>
                    <w:top w:w="85" w:type="dxa"/>
                    <w:bottom w:w="85" w:type="dxa"/>
                  </w:tcMar>
                  <w:vAlign w:val="center"/>
                </w:tcPr>
                <w:p>
                  <w:pPr>
                    <w:keepNext w:val="0"/>
                    <w:keepLines w:val="0"/>
                    <w:pageBreakBefore w:val="0"/>
                    <w:widowControl w:val="0"/>
                    <w:tabs>
                      <w:tab w:val="left" w:pos="980"/>
                      <w:tab w:val="center" w:pos="1764"/>
                    </w:tabs>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iCs/>
                      <w:color w:val="000000" w:themeColor="text1"/>
                      <w:szCs w:val="21"/>
                      <w14:textFill>
                        <w14:solidFill>
                          <w14:schemeClr w14:val="tx1"/>
                        </w14:solidFill>
                      </w14:textFill>
                    </w:rPr>
                  </w:pPr>
                  <w:r>
                    <w:rPr>
                      <w:rFonts w:hint="default" w:ascii="Times New Roman" w:hAnsi="Times New Roman" w:eastAsia="宋体" w:cs="Times New Roman"/>
                      <w:iCs/>
                      <w:color w:val="000000" w:themeColor="text1"/>
                      <w:szCs w:val="21"/>
                      <w14:textFill>
                        <w14:solidFill>
                          <w14:schemeClr w14:val="tx1"/>
                        </w14:solidFill>
                      </w14:textFill>
                    </w:rPr>
                    <w:t>≤500mg/L</w:t>
                  </w:r>
                </w:p>
              </w:tc>
              <w:tc>
                <w:tcPr>
                  <w:tcW w:w="1238" w:type="pc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iCs/>
                      <w:color w:val="000000" w:themeColor="text1"/>
                      <w:szCs w:val="21"/>
                      <w14:textFill>
                        <w14:solidFill>
                          <w14:schemeClr w14:val="tx1"/>
                        </w14:solidFill>
                      </w14:textFill>
                    </w:rPr>
                  </w:pPr>
                  <w:r>
                    <w:rPr>
                      <w:rFonts w:hint="default" w:ascii="Times New Roman" w:hAnsi="Times New Roman" w:eastAsia="宋体" w:cs="Times New Roman"/>
                      <w:iCs/>
                      <w:color w:val="000000" w:themeColor="text1"/>
                      <w:szCs w:val="21"/>
                      <w14:textFill>
                        <w14:solidFill>
                          <w14:schemeClr w14:val="tx1"/>
                        </w14:solidFill>
                      </w14:textFill>
                    </w:rPr>
                    <w:t>≤40mg/L</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1" w:type="pct"/>
                  <w:vMerge w:val="continue"/>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p>
              </w:tc>
              <w:tc>
                <w:tcPr>
                  <w:tcW w:w="649" w:type="pc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BOD</w:t>
                  </w:r>
                  <w:r>
                    <w:rPr>
                      <w:rFonts w:hint="default" w:ascii="Times New Roman" w:hAnsi="Times New Roman" w:eastAsia="宋体" w:cs="Times New Roman"/>
                      <w:color w:val="000000" w:themeColor="text1"/>
                      <w:szCs w:val="21"/>
                      <w:vertAlign w:val="subscript"/>
                      <w14:textFill>
                        <w14:solidFill>
                          <w14:schemeClr w14:val="tx1"/>
                        </w14:solidFill>
                      </w14:textFill>
                    </w:rPr>
                    <w:t>5</w:t>
                  </w:r>
                </w:p>
              </w:tc>
              <w:tc>
                <w:tcPr>
                  <w:tcW w:w="1385" w:type="pc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iCs/>
                      <w:color w:val="000000" w:themeColor="text1"/>
                      <w:szCs w:val="21"/>
                      <w14:textFill>
                        <w14:solidFill>
                          <w14:schemeClr w14:val="tx1"/>
                        </w14:solidFill>
                      </w14:textFill>
                    </w:rPr>
                  </w:pPr>
                  <w:r>
                    <w:rPr>
                      <w:rFonts w:hint="default" w:ascii="Times New Roman" w:hAnsi="Times New Roman" w:eastAsia="宋体" w:cs="Times New Roman"/>
                      <w:iCs/>
                      <w:color w:val="000000" w:themeColor="text1"/>
                      <w:szCs w:val="21"/>
                      <w14:textFill>
                        <w14:solidFill>
                          <w14:schemeClr w14:val="tx1"/>
                        </w14:solidFill>
                      </w14:textFill>
                    </w:rPr>
                    <w:t>≤300mg/L</w:t>
                  </w:r>
                </w:p>
              </w:tc>
              <w:tc>
                <w:tcPr>
                  <w:tcW w:w="1265" w:type="pc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iCs/>
                      <w:color w:val="000000" w:themeColor="text1"/>
                      <w:szCs w:val="21"/>
                      <w14:textFill>
                        <w14:solidFill>
                          <w14:schemeClr w14:val="tx1"/>
                        </w14:solidFill>
                      </w14:textFill>
                    </w:rPr>
                  </w:pPr>
                  <w:r>
                    <w:rPr>
                      <w:rFonts w:hint="default" w:ascii="Times New Roman" w:hAnsi="Times New Roman" w:eastAsia="宋体" w:cs="Times New Roman"/>
                      <w:iCs/>
                      <w:color w:val="000000" w:themeColor="text1"/>
                      <w:szCs w:val="21"/>
                      <w14:textFill>
                        <w14:solidFill>
                          <w14:schemeClr w14:val="tx1"/>
                        </w14:solidFill>
                      </w14:textFill>
                    </w:rPr>
                    <w:t>≤230mg/L</w:t>
                  </w:r>
                </w:p>
              </w:tc>
              <w:tc>
                <w:tcPr>
                  <w:tcW w:w="1238" w:type="pc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iCs/>
                      <w:color w:val="000000" w:themeColor="text1"/>
                      <w:szCs w:val="21"/>
                      <w14:textFill>
                        <w14:solidFill>
                          <w14:schemeClr w14:val="tx1"/>
                        </w14:solidFill>
                      </w14:textFill>
                    </w:rPr>
                  </w:pPr>
                  <w:r>
                    <w:rPr>
                      <w:rFonts w:hint="default" w:ascii="Times New Roman" w:hAnsi="Times New Roman" w:eastAsia="宋体" w:cs="Times New Roman"/>
                      <w:iCs/>
                      <w:color w:val="000000" w:themeColor="text1"/>
                      <w:szCs w:val="21"/>
                      <w14:textFill>
                        <w14:solidFill>
                          <w14:schemeClr w14:val="tx1"/>
                        </w14:solidFill>
                      </w14:textFill>
                    </w:rPr>
                    <w:t>≤10mg/L</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1" w:type="pct"/>
                  <w:vMerge w:val="continue"/>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p>
              </w:tc>
              <w:tc>
                <w:tcPr>
                  <w:tcW w:w="649" w:type="pc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SS</w:t>
                  </w:r>
                </w:p>
              </w:tc>
              <w:tc>
                <w:tcPr>
                  <w:tcW w:w="1385" w:type="pc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iCs/>
                      <w:color w:val="000000" w:themeColor="text1"/>
                      <w:szCs w:val="21"/>
                      <w14:textFill>
                        <w14:solidFill>
                          <w14:schemeClr w14:val="tx1"/>
                        </w14:solidFill>
                      </w14:textFill>
                    </w:rPr>
                  </w:pPr>
                  <w:r>
                    <w:rPr>
                      <w:rFonts w:hint="default" w:ascii="Times New Roman" w:hAnsi="Times New Roman" w:eastAsia="宋体" w:cs="Times New Roman"/>
                      <w:iCs/>
                      <w:color w:val="000000" w:themeColor="text1"/>
                      <w:szCs w:val="21"/>
                      <w14:textFill>
                        <w14:solidFill>
                          <w14:schemeClr w14:val="tx1"/>
                        </w14:solidFill>
                      </w14:textFill>
                    </w:rPr>
                    <w:t>≤400mg/L</w:t>
                  </w:r>
                </w:p>
              </w:tc>
              <w:tc>
                <w:tcPr>
                  <w:tcW w:w="1265" w:type="pc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iCs/>
                      <w:color w:val="000000" w:themeColor="text1"/>
                      <w:szCs w:val="21"/>
                      <w14:textFill>
                        <w14:solidFill>
                          <w14:schemeClr w14:val="tx1"/>
                        </w14:solidFill>
                      </w14:textFill>
                    </w:rPr>
                  </w:pPr>
                  <w:r>
                    <w:rPr>
                      <w:rFonts w:hint="default" w:ascii="Times New Roman" w:hAnsi="Times New Roman" w:eastAsia="宋体" w:cs="Times New Roman"/>
                      <w:iCs/>
                      <w:color w:val="000000" w:themeColor="text1"/>
                      <w:szCs w:val="21"/>
                      <w14:textFill>
                        <w14:solidFill>
                          <w14:schemeClr w14:val="tx1"/>
                        </w14:solidFill>
                      </w14:textFill>
                    </w:rPr>
                    <w:t>≤350mg/L</w:t>
                  </w:r>
                </w:p>
              </w:tc>
              <w:tc>
                <w:tcPr>
                  <w:tcW w:w="1238" w:type="pc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iCs/>
                      <w:color w:val="000000" w:themeColor="text1"/>
                      <w:szCs w:val="21"/>
                      <w14:textFill>
                        <w14:solidFill>
                          <w14:schemeClr w14:val="tx1"/>
                        </w14:solidFill>
                      </w14:textFill>
                    </w:rPr>
                  </w:pPr>
                  <w:r>
                    <w:rPr>
                      <w:rFonts w:hint="default" w:ascii="Times New Roman" w:hAnsi="Times New Roman" w:eastAsia="宋体" w:cs="Times New Roman"/>
                      <w:iCs/>
                      <w:color w:val="000000" w:themeColor="text1"/>
                      <w:szCs w:val="21"/>
                      <w14:textFill>
                        <w14:solidFill>
                          <w14:schemeClr w14:val="tx1"/>
                        </w14:solidFill>
                      </w14:textFill>
                    </w:rPr>
                    <w:t>≤10mg/L</w:t>
                  </w:r>
                </w:p>
              </w:tc>
            </w:tr>
            <w:tr>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61" w:type="pct"/>
                  <w:vMerge w:val="continue"/>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p>
              </w:tc>
              <w:tc>
                <w:tcPr>
                  <w:tcW w:w="649" w:type="pc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NH</w:t>
                  </w:r>
                  <w:r>
                    <w:rPr>
                      <w:rFonts w:hint="default" w:ascii="Times New Roman" w:hAnsi="Times New Roman" w:eastAsia="宋体" w:cs="Times New Roman"/>
                      <w:color w:val="000000" w:themeColor="text1"/>
                      <w:szCs w:val="21"/>
                      <w:vertAlign w:val="subscript"/>
                      <w14:textFill>
                        <w14:solidFill>
                          <w14:schemeClr w14:val="tx1"/>
                        </w14:solidFill>
                      </w14:textFill>
                    </w:rPr>
                    <w:t>3</w:t>
                  </w:r>
                  <w:r>
                    <w:rPr>
                      <w:rFonts w:hint="default" w:ascii="Times New Roman" w:hAnsi="Times New Roman" w:eastAsia="宋体" w:cs="Times New Roman"/>
                      <w:color w:val="000000" w:themeColor="text1"/>
                      <w:szCs w:val="21"/>
                      <w14:textFill>
                        <w14:solidFill>
                          <w14:schemeClr w14:val="tx1"/>
                        </w14:solidFill>
                      </w14:textFill>
                    </w:rPr>
                    <w:t>-N</w:t>
                  </w:r>
                </w:p>
              </w:tc>
              <w:tc>
                <w:tcPr>
                  <w:tcW w:w="1385" w:type="pc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iCs/>
                      <w:color w:val="000000" w:themeColor="text1"/>
                      <w:szCs w:val="21"/>
                      <w14:textFill>
                        <w14:solidFill>
                          <w14:schemeClr w14:val="tx1"/>
                        </w14:solidFill>
                      </w14:textFill>
                    </w:rPr>
                  </w:pPr>
                  <w:r>
                    <w:rPr>
                      <w:rFonts w:hint="default" w:ascii="Times New Roman" w:hAnsi="Times New Roman" w:eastAsia="宋体" w:cs="Times New Roman"/>
                      <w:iCs/>
                      <w:color w:val="000000" w:themeColor="text1"/>
                      <w:szCs w:val="21"/>
                      <w14:textFill>
                        <w14:solidFill>
                          <w14:schemeClr w14:val="tx1"/>
                        </w14:solidFill>
                      </w14:textFill>
                    </w:rPr>
                    <w:t>/</w:t>
                  </w:r>
                </w:p>
              </w:tc>
              <w:tc>
                <w:tcPr>
                  <w:tcW w:w="1265" w:type="pc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iCs/>
                      <w:color w:val="000000" w:themeColor="text1"/>
                      <w:szCs w:val="21"/>
                      <w14:textFill>
                        <w14:solidFill>
                          <w14:schemeClr w14:val="tx1"/>
                        </w14:solidFill>
                      </w14:textFill>
                    </w:rPr>
                  </w:pPr>
                  <w:r>
                    <w:rPr>
                      <w:rFonts w:hint="default" w:ascii="Times New Roman" w:hAnsi="Times New Roman" w:eastAsia="宋体" w:cs="Times New Roman"/>
                      <w:iCs/>
                      <w:color w:val="000000" w:themeColor="text1"/>
                      <w:szCs w:val="21"/>
                      <w14:textFill>
                        <w14:solidFill>
                          <w14:schemeClr w14:val="tx1"/>
                        </w14:solidFill>
                      </w14:textFill>
                    </w:rPr>
                    <w:t>≤30mg/L</w:t>
                  </w:r>
                </w:p>
              </w:tc>
              <w:tc>
                <w:tcPr>
                  <w:tcW w:w="1238" w:type="pct"/>
                  <w:tcMar>
                    <w:top w:w="85" w:type="dxa"/>
                    <w:bottom w:w="85" w:type="dxa"/>
                  </w:tcMar>
                  <w:vAlign w:val="center"/>
                </w:tcPr>
                <w:p>
                  <w:pPr>
                    <w:keepNext w:val="0"/>
                    <w:keepLines w:val="0"/>
                    <w:pageBreakBefore w:val="0"/>
                    <w:widowControl w:val="0"/>
                    <w:kinsoku/>
                    <w:wordWrap/>
                    <w:overflowPunct/>
                    <w:topLinePunct w:val="0"/>
                    <w:autoSpaceDE/>
                    <w:autoSpaceDN/>
                    <w:bidi w:val="0"/>
                    <w:adjustRightInd/>
                    <w:snapToGrid/>
                    <w:spacing w:line="240" w:lineRule="exact"/>
                    <w:jc w:val="center"/>
                    <w:textAlignment w:val="auto"/>
                    <w:rPr>
                      <w:rFonts w:hint="default" w:ascii="Times New Roman" w:hAnsi="Times New Roman" w:eastAsia="宋体" w:cs="Times New Roman"/>
                      <w:iCs/>
                      <w:color w:val="000000" w:themeColor="text1"/>
                      <w:szCs w:val="21"/>
                      <w14:textFill>
                        <w14:solidFill>
                          <w14:schemeClr w14:val="tx1"/>
                        </w14:solidFill>
                      </w14:textFill>
                    </w:rPr>
                  </w:pPr>
                  <w:r>
                    <w:rPr>
                      <w:rFonts w:hint="default" w:ascii="Times New Roman" w:hAnsi="Times New Roman" w:eastAsia="宋体" w:cs="Times New Roman"/>
                      <w:iCs/>
                      <w:color w:val="000000" w:themeColor="text1"/>
                      <w:szCs w:val="21"/>
                      <w14:textFill>
                        <w14:solidFill>
                          <w14:schemeClr w14:val="tx1"/>
                        </w14:solidFill>
                      </w14:textFill>
                    </w:rPr>
                    <w:t>≤2mg/L</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3、营运期厂界执行《工业企业厂界环境噪声排放标准》（GB12348－2008）3类标准。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表3-9  工业企业厂界环境噪声排放限值      单位：dB(A)</w:t>
            </w:r>
          </w:p>
          <w:tbl>
            <w:tblPr>
              <w:tblStyle w:val="16"/>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3"/>
              <w:gridCol w:w="2511"/>
              <w:gridCol w:w="23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 w:hRule="atLeast"/>
                <w:jc w:val="center"/>
              </w:trPr>
              <w:tc>
                <w:tcPr>
                  <w:tcW w:w="1521" w:type="pct"/>
                  <w:vMerge w:val="restart"/>
                  <w:vAlign w:val="center"/>
                </w:tcPr>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声环境功能区类别</w:t>
                  </w:r>
                </w:p>
              </w:tc>
              <w:tc>
                <w:tcPr>
                  <w:tcW w:w="3478" w:type="pct"/>
                  <w:gridSpan w:val="2"/>
                  <w:vAlign w:val="center"/>
                </w:tcPr>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时  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521" w:type="pct"/>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790" w:type="pct"/>
                  <w:vAlign w:val="center"/>
                </w:tcPr>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昼间</w:t>
                  </w:r>
                </w:p>
              </w:tc>
              <w:tc>
                <w:tcPr>
                  <w:tcW w:w="1688" w:type="pct"/>
                  <w:vAlign w:val="center"/>
                </w:tcPr>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 w:hRule="atLeast"/>
                <w:jc w:val="center"/>
              </w:trPr>
              <w:tc>
                <w:tcPr>
                  <w:tcW w:w="1521" w:type="pc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3类</w:t>
                  </w:r>
                </w:p>
              </w:tc>
              <w:tc>
                <w:tcPr>
                  <w:tcW w:w="1790" w:type="pc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65</w:t>
                  </w:r>
                </w:p>
              </w:tc>
              <w:tc>
                <w:tcPr>
                  <w:tcW w:w="1688" w:type="pc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55</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5、一般固废执行《一般工业固体废物贮存和填埋污染控制标准》（GB18599-2020）；危险废物执行《危险废物贮存污染控制标准》（GB18597-2023）。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5" w:hRule="atLeast"/>
        </w:trPr>
        <w:tc>
          <w:tcPr>
            <w:tcW w:w="1283" w:type="dxa"/>
            <w:vAlign w:val="center"/>
          </w:tcPr>
          <w:p>
            <w:pPr>
              <w:jc w:val="cente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none"/>
                <w:vertAlign w:val="baseline"/>
                <w:lang w:val="en-US" w:eastAsia="zh-CN"/>
                <w14:textFill>
                  <w14:solidFill>
                    <w14:schemeClr w14:val="tx1"/>
                  </w14:solidFill>
                </w14:textFill>
              </w:rPr>
              <w:t>总量控制指标</w:t>
            </w:r>
          </w:p>
        </w:tc>
        <w:tc>
          <w:tcPr>
            <w:tcW w:w="7239" w:type="dxa"/>
            <w:vAlign w:val="center"/>
          </w:tcPr>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1、废气</w:t>
            </w:r>
          </w:p>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default" w:ascii="Times New Roman" w:hAnsi="Times New Roman" w:eastAsia="宋体" w:cs="Times New Roman"/>
                <w:b w:val="0"/>
                <w:bCs w:val="0"/>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本项目颗粒物排放量为0.0261t/a，非甲烷总烃排放量为0.0032t/a。</w:t>
            </w:r>
          </w:p>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2、废水</w:t>
            </w:r>
          </w:p>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本项目废水排放量为440m</w:t>
            </w:r>
            <w:r>
              <w:rPr>
                <w:rFonts w:hint="default" w:ascii="Times New Roman" w:hAnsi="Times New Roman" w:eastAsia="宋体" w:cs="Times New Roman"/>
                <w:b/>
                <w:bCs/>
                <w:color w:val="000000" w:themeColor="text1"/>
                <w:sz w:val="24"/>
                <w:highlight w:val="none"/>
                <w:u w:val="single"/>
                <w:vertAlign w:val="superscript"/>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/a。</w:t>
            </w:r>
          </w:p>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污水处理厂排入外环境主要污染物核算（总量核算）</w:t>
            </w:r>
          </w:p>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本项目废水排入濮阳市第三污水处理厂处理，濮阳市第三污水处理厂出水水质为COD：40mg/L，NH</w:t>
            </w:r>
            <w:r>
              <w:rPr>
                <w:rFonts w:hint="default" w:ascii="Times New Roman" w:hAnsi="Times New Roman" w:eastAsia="宋体" w:cs="Times New Roman"/>
                <w:b/>
                <w:bCs/>
                <w:color w:val="000000" w:themeColor="text1"/>
                <w:sz w:val="24"/>
                <w:highlight w:val="none"/>
                <w:u w:val="single"/>
                <w:vertAlign w:val="subscript"/>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-N：2mg/L。</w:t>
            </w:r>
          </w:p>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COD排入外环境总量为440×40×10</w:t>
            </w:r>
            <w:r>
              <w:rPr>
                <w:rFonts w:hint="default" w:ascii="Times New Roman" w:hAnsi="Times New Roman" w:eastAsia="宋体" w:cs="Times New Roman"/>
                <w:b/>
                <w:bCs/>
                <w:color w:val="000000" w:themeColor="text1"/>
                <w:sz w:val="24"/>
                <w:highlight w:val="none"/>
                <w:u w:val="single"/>
                <w:vertAlign w:val="superscript"/>
                <w:lang w:val="en-US" w:eastAsia="zh-CN"/>
                <w14:textFill>
                  <w14:solidFill>
                    <w14:schemeClr w14:val="tx1"/>
                  </w14:solidFill>
                </w14:textFill>
              </w:rPr>
              <w:t>-6</w:t>
            </w: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=0.0176t/a；</w:t>
            </w:r>
          </w:p>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NH</w:t>
            </w:r>
            <w:r>
              <w:rPr>
                <w:rFonts w:hint="default" w:ascii="Times New Roman" w:hAnsi="Times New Roman" w:eastAsia="宋体" w:cs="Times New Roman"/>
                <w:b/>
                <w:bCs/>
                <w:color w:val="000000" w:themeColor="text1"/>
                <w:sz w:val="24"/>
                <w:highlight w:val="none"/>
                <w:u w:val="single"/>
                <w:vertAlign w:val="subscript"/>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-N排入外环境总量为440×2×10</w:t>
            </w:r>
            <w:r>
              <w:rPr>
                <w:rFonts w:hint="default" w:ascii="Times New Roman" w:hAnsi="Times New Roman" w:eastAsia="宋体" w:cs="Times New Roman"/>
                <w:b/>
                <w:bCs/>
                <w:color w:val="000000" w:themeColor="text1"/>
                <w:sz w:val="24"/>
                <w:highlight w:val="none"/>
                <w:u w:val="single"/>
                <w:vertAlign w:val="superscript"/>
                <w:lang w:val="en-US" w:eastAsia="zh-CN"/>
                <w14:textFill>
                  <w14:solidFill>
                    <w14:schemeClr w14:val="tx1"/>
                  </w14:solidFill>
                </w14:textFill>
              </w:rPr>
              <w:t>-6</w:t>
            </w: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=0.0009t/a；</w:t>
            </w:r>
          </w:p>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本项目属于新建（迁建）项目，原有项目总量控制指标为颗粒物0.025t/a、COD0.0186t/a、氨氮0.0009t/a。</w:t>
            </w:r>
          </w:p>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综上，建议废气总量控制指标为颗粒物0.0011t/a、非甲烷总烃0.0032t/a。</w:t>
            </w:r>
          </w:p>
        </w:tc>
      </w:tr>
    </w:tbl>
    <w:p>
      <w:pPr>
        <w:jc w:val="left"/>
        <w:rPr>
          <w:rFonts w:hint="default" w:ascii="Times New Roman" w:hAnsi="Times New Roman" w:eastAsia="宋体" w:cs="Times New Roman"/>
          <w:color w:val="000000" w:themeColor="text1"/>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jc w:val="center"/>
        <w:rPr>
          <w:rFonts w:hint="default" w:ascii="Times New Roman" w:hAnsi="Times New Roman" w:eastAsia="宋体" w:cs="Times New Roman"/>
          <w:b/>
          <w:bCs/>
          <w:color w:val="000000" w:themeColor="text1"/>
          <w:sz w:val="28"/>
          <w:szCs w:val="36"/>
          <w:lang w:val="en-US" w:eastAsia="zh-CN"/>
          <w14:textFill>
            <w14:solidFill>
              <w14:schemeClr w14:val="tx1"/>
            </w14:solidFill>
          </w14:textFill>
        </w:rPr>
      </w:pPr>
      <w:r>
        <w:rPr>
          <w:rFonts w:hint="default" w:ascii="Times New Roman" w:hAnsi="Times New Roman" w:eastAsia="宋体" w:cs="Times New Roman"/>
          <w:b/>
          <w:bCs/>
          <w:color w:val="000000" w:themeColor="text1"/>
          <w:sz w:val="28"/>
          <w:szCs w:val="36"/>
          <w:lang w:val="en-US" w:eastAsia="zh-CN"/>
          <w14:textFill>
            <w14:solidFill>
              <w14:schemeClr w14:val="tx1"/>
            </w14:solidFill>
          </w14:textFill>
        </w:rPr>
        <w:t>四、主要环境影响和保护措施</w:t>
      </w:r>
    </w:p>
    <w:tbl>
      <w:tblPr>
        <w:tblStyle w:val="1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
        <w:gridCol w:w="8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46" w:hRule="atLeast"/>
        </w:trPr>
        <w:tc>
          <w:tcPr>
            <w:tcW w:w="457" w:type="dxa"/>
            <w:vAlign w:val="center"/>
          </w:tcPr>
          <w:p>
            <w:pPr>
              <w:pStyle w:val="15"/>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施工期环境保护措施</w:t>
            </w:r>
          </w:p>
        </w:tc>
        <w:tc>
          <w:tcPr>
            <w:tcW w:w="8065" w:type="dxa"/>
            <w:vAlign w:val="top"/>
          </w:tcPr>
          <w:p>
            <w:pPr>
              <w:keepNext w:val="0"/>
              <w:keepLines w:val="0"/>
              <w:pageBreakBefore w:val="0"/>
              <w:widowControl w:val="0"/>
              <w:tabs>
                <w:tab w:val="left" w:pos="3225"/>
              </w:tabs>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color w:val="000000" w:themeColor="text1"/>
                <w:kern w:val="0"/>
                <w:sz w:val="24"/>
                <w14:textFill>
                  <w14:solidFill>
                    <w14:schemeClr w14:val="tx1"/>
                  </w14:solidFill>
                </w14:textFill>
              </w:rPr>
            </w:pPr>
            <w:r>
              <w:rPr>
                <w:rFonts w:hint="default" w:ascii="Times New Roman" w:hAnsi="Times New Roman" w:eastAsia="宋体" w:cs="Times New Roman"/>
                <w:b/>
                <w:color w:val="000000" w:themeColor="text1"/>
                <w:kern w:val="0"/>
                <w:sz w:val="24"/>
                <w:lang w:val="en-US" w:eastAsia="zh-CN"/>
                <w14:textFill>
                  <w14:solidFill>
                    <w14:schemeClr w14:val="tx1"/>
                  </w14:solidFill>
                </w14:textFill>
              </w:rPr>
              <w:t>1</w:t>
            </w:r>
            <w:r>
              <w:rPr>
                <w:rFonts w:hint="default" w:ascii="Times New Roman" w:hAnsi="Times New Roman" w:eastAsia="宋体" w:cs="Times New Roman"/>
                <w:b/>
                <w:color w:val="000000" w:themeColor="text1"/>
                <w:kern w:val="0"/>
                <w:sz w:val="24"/>
                <w14:textFill>
                  <w14:solidFill>
                    <w14:schemeClr w14:val="tx1"/>
                  </w14:solidFill>
                </w14:textFill>
              </w:rPr>
              <w:t>、大气环境影响分析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施工期废气主要是施工场地平整、开挖、回填、建材的运输、露天堆放、装卸等过程中产生的扬尘。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施工期间产生的扬尘主要影响项目所在地块周围，扬尘的影响范围比较广，主要表现为空气中总悬浮颗粒浓度增大，特别是在天气干燥、风速较大时影响更为显著。施工期间产生的扬尘主要集中在土建施工阶段，按起尘原因可分为风力扬尘和动力扬尘</w:t>
            </w:r>
            <w:r>
              <w:rPr>
                <w:rFonts w:hint="default" w:ascii="Times New Roman" w:hAnsi="Times New Roman" w:eastAsia="宋体" w:cs="Times New Roman"/>
                <w:color w:val="000000" w:themeColor="text1"/>
                <w:sz w:val="24"/>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val="0"/>
                <w:color w:val="000000" w:themeColor="text1"/>
                <w:sz w:val="24"/>
                <w14:textFill>
                  <w14:solidFill>
                    <w14:schemeClr w14:val="tx1"/>
                  </w14:solidFill>
                </w14:textFill>
              </w:rPr>
            </w:pPr>
            <w:r>
              <w:rPr>
                <w:rFonts w:hint="default" w:ascii="Times New Roman" w:hAnsi="Times New Roman" w:eastAsia="宋体" w:cs="Times New Roman"/>
                <w:b/>
                <w:bCs w:val="0"/>
                <w:color w:val="000000" w:themeColor="text1"/>
                <w:sz w:val="24"/>
                <w:lang w:val="en-US" w:eastAsia="zh-CN"/>
                <w14:textFill>
                  <w14:solidFill>
                    <w14:schemeClr w14:val="tx1"/>
                  </w14:solidFill>
                </w14:textFill>
              </w:rPr>
              <w:t>1.1、</w:t>
            </w:r>
            <w:r>
              <w:rPr>
                <w:rFonts w:hint="default" w:ascii="Times New Roman" w:hAnsi="Times New Roman" w:eastAsia="宋体" w:cs="Times New Roman"/>
                <w:b/>
                <w:bCs w:val="0"/>
                <w:color w:val="000000" w:themeColor="text1"/>
                <w:sz w:val="24"/>
                <w14:textFill>
                  <w14:solidFill>
                    <w14:schemeClr w14:val="tx1"/>
                  </w14:solidFill>
                </w14:textFill>
              </w:rPr>
              <w:t>风力扬尘</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主要为物料存放过程及表层土壤需要人工开挖、堆放且在气候干燥有风的情况下产生扬尘。</w:t>
            </w:r>
            <w:r>
              <w:rPr>
                <w:rFonts w:hint="default" w:ascii="Times New Roman" w:hAnsi="Times New Roman" w:eastAsia="宋体" w:cs="Times New Roman"/>
                <w:bCs/>
                <w:color w:val="000000" w:themeColor="text1"/>
                <w:sz w:val="24"/>
                <w:lang w:eastAsia="zh-CN"/>
                <w14:textFill>
                  <w14:solidFill>
                    <w14:schemeClr w14:val="tx1"/>
                  </w14:solidFill>
                </w14:textFill>
              </w:rPr>
              <w:t>下</w:t>
            </w:r>
            <w:r>
              <w:rPr>
                <w:rFonts w:hint="default" w:ascii="Times New Roman" w:hAnsi="Times New Roman" w:eastAsia="宋体" w:cs="Times New Roman"/>
                <w:bCs/>
                <w:color w:val="000000" w:themeColor="text1"/>
                <w:sz w:val="24"/>
                <w14:textFill>
                  <w14:solidFill>
                    <w14:schemeClr w14:val="tx1"/>
                  </w14:solidFill>
                </w14:textFill>
              </w:rPr>
              <w:t>表为完全干燥、无风速影响条件下不同粒径的尘粒的沉降速度。</w:t>
            </w: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
                <w:bCs w:val="0"/>
                <w:color w:val="000000" w:themeColor="text1"/>
                <w:sz w:val="21"/>
                <w:szCs w:val="21"/>
                <w14:textFill>
                  <w14:solidFill>
                    <w14:schemeClr w14:val="tx1"/>
                  </w14:solidFill>
                </w14:textFill>
              </w:rPr>
              <w:t>不同粒径尘粒的沉降速度</w:t>
            </w:r>
          </w:p>
          <w:tbl>
            <w:tblPr>
              <w:tblStyle w:val="16"/>
              <w:tblW w:w="78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75"/>
              <w:gridCol w:w="1060"/>
              <w:gridCol w:w="895"/>
              <w:gridCol w:w="908"/>
              <w:gridCol w:w="819"/>
              <w:gridCol w:w="895"/>
              <w:gridCol w:w="689"/>
              <w:gridCol w:w="6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粒径（μm）</w:t>
                  </w:r>
                </w:p>
              </w:tc>
              <w:tc>
                <w:tcPr>
                  <w:tcW w:w="106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10</w:t>
                  </w:r>
                </w:p>
              </w:tc>
              <w:tc>
                <w:tcPr>
                  <w:tcW w:w="89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20</w:t>
                  </w:r>
                </w:p>
              </w:tc>
              <w:tc>
                <w:tcPr>
                  <w:tcW w:w="90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30</w:t>
                  </w:r>
                </w:p>
              </w:tc>
              <w:tc>
                <w:tcPr>
                  <w:tcW w:w="81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40</w:t>
                  </w:r>
                </w:p>
              </w:tc>
              <w:tc>
                <w:tcPr>
                  <w:tcW w:w="89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50</w:t>
                  </w:r>
                </w:p>
              </w:tc>
              <w:tc>
                <w:tcPr>
                  <w:tcW w:w="68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60</w:t>
                  </w:r>
                </w:p>
              </w:tc>
              <w:tc>
                <w:tcPr>
                  <w:tcW w:w="69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沉降速度（m/s）</w:t>
                  </w:r>
                </w:p>
              </w:tc>
              <w:tc>
                <w:tcPr>
                  <w:tcW w:w="106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0.03</w:t>
                  </w:r>
                </w:p>
              </w:tc>
              <w:tc>
                <w:tcPr>
                  <w:tcW w:w="89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0.012</w:t>
                  </w:r>
                </w:p>
              </w:tc>
              <w:tc>
                <w:tcPr>
                  <w:tcW w:w="90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0.027</w:t>
                  </w:r>
                </w:p>
              </w:tc>
              <w:tc>
                <w:tcPr>
                  <w:tcW w:w="81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0.048</w:t>
                  </w:r>
                </w:p>
              </w:tc>
              <w:tc>
                <w:tcPr>
                  <w:tcW w:w="89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0.075</w:t>
                  </w:r>
                </w:p>
              </w:tc>
              <w:tc>
                <w:tcPr>
                  <w:tcW w:w="68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0.108</w:t>
                  </w:r>
                </w:p>
              </w:tc>
              <w:tc>
                <w:tcPr>
                  <w:tcW w:w="69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0.147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粒径（μm）</w:t>
                  </w:r>
                </w:p>
              </w:tc>
              <w:tc>
                <w:tcPr>
                  <w:tcW w:w="106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80</w:t>
                  </w:r>
                </w:p>
              </w:tc>
              <w:tc>
                <w:tcPr>
                  <w:tcW w:w="89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90</w:t>
                  </w:r>
                </w:p>
              </w:tc>
              <w:tc>
                <w:tcPr>
                  <w:tcW w:w="90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100</w:t>
                  </w:r>
                </w:p>
              </w:tc>
              <w:tc>
                <w:tcPr>
                  <w:tcW w:w="81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150</w:t>
                  </w:r>
                </w:p>
              </w:tc>
              <w:tc>
                <w:tcPr>
                  <w:tcW w:w="89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200</w:t>
                  </w:r>
                </w:p>
              </w:tc>
              <w:tc>
                <w:tcPr>
                  <w:tcW w:w="68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250</w:t>
                  </w:r>
                </w:p>
              </w:tc>
              <w:tc>
                <w:tcPr>
                  <w:tcW w:w="69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沉降速度（m/s）</w:t>
                  </w:r>
                </w:p>
              </w:tc>
              <w:tc>
                <w:tcPr>
                  <w:tcW w:w="106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0.158</w:t>
                  </w:r>
                </w:p>
              </w:tc>
              <w:tc>
                <w:tcPr>
                  <w:tcW w:w="89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0.17</w:t>
                  </w:r>
                </w:p>
              </w:tc>
              <w:tc>
                <w:tcPr>
                  <w:tcW w:w="90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0.12</w:t>
                  </w:r>
                </w:p>
              </w:tc>
              <w:tc>
                <w:tcPr>
                  <w:tcW w:w="81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0.239</w:t>
                  </w:r>
                </w:p>
              </w:tc>
              <w:tc>
                <w:tcPr>
                  <w:tcW w:w="89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0.804</w:t>
                  </w:r>
                </w:p>
              </w:tc>
              <w:tc>
                <w:tcPr>
                  <w:tcW w:w="68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1.005</w:t>
                  </w:r>
                </w:p>
              </w:tc>
              <w:tc>
                <w:tcPr>
                  <w:tcW w:w="69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1.829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粒径（μm）</w:t>
                  </w:r>
                </w:p>
              </w:tc>
              <w:tc>
                <w:tcPr>
                  <w:tcW w:w="106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450</w:t>
                  </w:r>
                </w:p>
              </w:tc>
              <w:tc>
                <w:tcPr>
                  <w:tcW w:w="89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550</w:t>
                  </w:r>
                </w:p>
              </w:tc>
              <w:tc>
                <w:tcPr>
                  <w:tcW w:w="90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276</w:t>
                  </w:r>
                </w:p>
              </w:tc>
              <w:tc>
                <w:tcPr>
                  <w:tcW w:w="81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750</w:t>
                  </w:r>
                </w:p>
              </w:tc>
              <w:tc>
                <w:tcPr>
                  <w:tcW w:w="89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850</w:t>
                  </w:r>
                </w:p>
              </w:tc>
              <w:tc>
                <w:tcPr>
                  <w:tcW w:w="68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95</w:t>
                  </w:r>
                </w:p>
              </w:tc>
              <w:tc>
                <w:tcPr>
                  <w:tcW w:w="69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1050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87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沉降速度（m/s）</w:t>
                  </w:r>
                </w:p>
              </w:tc>
              <w:tc>
                <w:tcPr>
                  <w:tcW w:w="106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2.211</w:t>
                  </w:r>
                </w:p>
              </w:tc>
              <w:tc>
                <w:tcPr>
                  <w:tcW w:w="89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2.614</w:t>
                  </w:r>
                </w:p>
              </w:tc>
              <w:tc>
                <w:tcPr>
                  <w:tcW w:w="908"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3.016</w:t>
                  </w:r>
                </w:p>
              </w:tc>
              <w:tc>
                <w:tcPr>
                  <w:tcW w:w="81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3.418</w:t>
                  </w:r>
                </w:p>
              </w:tc>
              <w:tc>
                <w:tcPr>
                  <w:tcW w:w="895"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3.82</w:t>
                  </w:r>
                </w:p>
              </w:tc>
              <w:tc>
                <w:tcPr>
                  <w:tcW w:w="689"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4.22</w:t>
                  </w:r>
                </w:p>
              </w:tc>
              <w:tc>
                <w:tcPr>
                  <w:tcW w:w="690"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4.62</w:t>
                  </w:r>
                </w:p>
              </w:tc>
            </w:tr>
          </w:tbl>
          <w:p>
            <w:pPr>
              <w:keepNext w:val="0"/>
              <w:keepLines w:val="0"/>
              <w:pageBreakBefore w:val="0"/>
              <w:widowControl w:val="0"/>
              <w:tabs>
                <w:tab w:val="left" w:pos="3225"/>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由</w:t>
            </w:r>
            <w:r>
              <w:rPr>
                <w:rFonts w:hint="default" w:ascii="Times New Roman" w:hAnsi="Times New Roman" w:eastAsia="宋体" w:cs="Times New Roman"/>
                <w:bCs/>
                <w:color w:val="000000" w:themeColor="text1"/>
                <w:sz w:val="24"/>
                <w:lang w:eastAsia="zh-CN"/>
                <w14:textFill>
                  <w14:solidFill>
                    <w14:schemeClr w14:val="tx1"/>
                  </w14:solidFill>
                </w14:textFill>
              </w:rPr>
              <w:t>上</w:t>
            </w:r>
            <w:r>
              <w:rPr>
                <w:rFonts w:hint="default" w:ascii="Times New Roman" w:hAnsi="Times New Roman" w:eastAsia="宋体" w:cs="Times New Roman"/>
                <w:bCs/>
                <w:color w:val="000000" w:themeColor="text1"/>
                <w:sz w:val="24"/>
                <w14:textFill>
                  <w14:solidFill>
                    <w14:schemeClr w14:val="tx1"/>
                  </w14:solidFill>
                </w14:textFill>
              </w:rPr>
              <w:t>表可知，尘粒的沉降速度随着粒径的增大而迅速增大，当粒径大于250μm时，主要影响范围在扬尘点下风向近距离范围内，对外环境影响的主要为微小尘粒，由于施工季节的不同，其影响范围和方向也不同。</w:t>
            </w:r>
            <w:r>
              <w:rPr>
                <w:rFonts w:hint="default" w:ascii="Times New Roman" w:hAnsi="Times New Roman" w:eastAsia="宋体" w:cs="Times New Roman"/>
                <w:color w:val="000000" w:themeColor="text1"/>
                <w:sz w:val="24"/>
                <w14:textFill>
                  <w14:solidFill>
                    <w14:schemeClr w14:val="tx1"/>
                  </w14:solidFill>
                </w14:textFill>
              </w:rPr>
              <w:t>因此，在施工期间可能会对周围环境产生一定的影响。</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1.2、</w:t>
            </w:r>
            <w:r>
              <w:rPr>
                <w:rFonts w:hint="default" w:ascii="Times New Roman" w:hAnsi="Times New Roman" w:eastAsia="宋体" w:cs="Times New Roman"/>
                <w:b/>
                <w:bCs/>
                <w:color w:val="000000" w:themeColor="text1"/>
                <w:sz w:val="24"/>
                <w14:textFill>
                  <w14:solidFill>
                    <w14:schemeClr w14:val="tx1"/>
                  </w14:solidFill>
                </w14:textFill>
              </w:rPr>
              <w:t>动力起尘</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动力起尘主要为来往运输车辆行驶产生的扬尘，根据车型、车速、路况的不同，产生的扬尘量也不同。在同样路面情况下，车速越快扬尘量越大；而在同样车速的情况下，路面清洁度越差，扬尘量越大。</w:t>
            </w:r>
          </w:p>
          <w:p>
            <w:pPr>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施工期间经洒水抑尘，可以大大降低扬尘的产生，</w:t>
            </w:r>
            <w:r>
              <w:rPr>
                <w:rFonts w:hint="default" w:ascii="Times New Roman" w:hAnsi="Times New Roman" w:eastAsia="宋体" w:cs="Times New Roman"/>
                <w:color w:val="000000" w:themeColor="text1"/>
                <w:sz w:val="24"/>
                <w:lang w:eastAsia="zh-CN"/>
                <w14:textFill>
                  <w14:solidFill>
                    <w14:schemeClr w14:val="tx1"/>
                  </w14:solidFill>
                </w14:textFill>
              </w:rPr>
              <w:t>下</w:t>
            </w:r>
            <w:r>
              <w:rPr>
                <w:rFonts w:hint="default" w:ascii="Times New Roman" w:hAnsi="Times New Roman" w:eastAsia="宋体" w:cs="Times New Roman"/>
                <w:color w:val="000000" w:themeColor="text1"/>
                <w:sz w:val="24"/>
                <w14:textFill>
                  <w14:solidFill>
                    <w14:schemeClr w14:val="tx1"/>
                  </w14:solidFill>
                </w14:textFill>
              </w:rPr>
              <w:t>表为天气干燥、风速2m/s条件下施工场地洒水抑尘试验结果。</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000000" w:themeColor="text1"/>
                <w:sz w:val="21"/>
                <w:szCs w:val="16"/>
                <w14:textFill>
                  <w14:solidFill>
                    <w14:schemeClr w14:val="tx1"/>
                  </w14:solidFill>
                </w14:textFill>
              </w:rPr>
            </w:pP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16"/>
                <w14:textFill>
                  <w14:solidFill>
                    <w14:schemeClr w14:val="tx1"/>
                  </w14:solidFill>
                </w14:textFill>
              </w:rPr>
            </w:pPr>
            <w:r>
              <w:rPr>
                <w:rFonts w:hint="default" w:ascii="Times New Roman" w:hAnsi="Times New Roman" w:eastAsia="宋体" w:cs="Times New Roman"/>
                <w:b/>
                <w:bCs/>
                <w:color w:val="000000" w:themeColor="text1"/>
                <w:sz w:val="21"/>
                <w:szCs w:val="16"/>
                <w14:textFill>
                  <w14:solidFill>
                    <w14:schemeClr w14:val="tx1"/>
                  </w14:solidFill>
                </w14:textFill>
              </w:rPr>
              <w:t>施工场地洒水抑尘试验结果</w:t>
            </w:r>
          </w:p>
          <w:tbl>
            <w:tblPr>
              <w:tblStyle w:val="16"/>
              <w:tblW w:w="783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8"/>
              <w:gridCol w:w="1213"/>
              <w:gridCol w:w="1210"/>
              <w:gridCol w:w="1347"/>
              <w:gridCol w:w="1345"/>
              <w:gridCol w:w="12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721" w:type="dxa"/>
                  <w:gridSpan w:val="2"/>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距离（m）</w:t>
                  </w:r>
                </w:p>
              </w:tc>
              <w:tc>
                <w:tcPr>
                  <w:tcW w:w="1210" w:type="dxa"/>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5</w:t>
                  </w:r>
                </w:p>
              </w:tc>
              <w:tc>
                <w:tcPr>
                  <w:tcW w:w="1347" w:type="dxa"/>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20</w:t>
                  </w:r>
                </w:p>
              </w:tc>
              <w:tc>
                <w:tcPr>
                  <w:tcW w:w="1345" w:type="dxa"/>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50</w:t>
                  </w: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8" w:type="dxa"/>
                  <w:vMerge w:val="restart"/>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TSP小时平均浓度（mg/m</w:t>
                  </w:r>
                  <w:r>
                    <w:rPr>
                      <w:rFonts w:hint="default" w:ascii="Times New Roman" w:hAnsi="Times New Roman" w:eastAsia="宋体" w:cs="Times New Roman"/>
                      <w:color w:val="000000" w:themeColor="text1"/>
                      <w:szCs w:val="21"/>
                      <w:vertAlign w:val="superscript"/>
                      <w14:textFill>
                        <w14:solidFill>
                          <w14:schemeClr w14:val="tx1"/>
                        </w14:solidFill>
                      </w14:textFill>
                    </w:rPr>
                    <w:t>3</w:t>
                  </w:r>
                  <w:r>
                    <w:rPr>
                      <w:rFonts w:hint="default" w:ascii="Times New Roman" w:hAnsi="Times New Roman" w:eastAsia="宋体" w:cs="Times New Roman"/>
                      <w:color w:val="000000" w:themeColor="text1"/>
                      <w:szCs w:val="21"/>
                      <w14:textFill>
                        <w14:solidFill>
                          <w14:schemeClr w14:val="tx1"/>
                        </w14:solidFill>
                      </w14:textFill>
                    </w:rPr>
                    <w:t>）</w:t>
                  </w: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不洒水</w:t>
                  </w:r>
                </w:p>
              </w:tc>
              <w:tc>
                <w:tcPr>
                  <w:tcW w:w="1210" w:type="dxa"/>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10.14</w:t>
                  </w:r>
                </w:p>
              </w:tc>
              <w:tc>
                <w:tcPr>
                  <w:tcW w:w="1347" w:type="dxa"/>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2.89</w:t>
                  </w:r>
                </w:p>
              </w:tc>
              <w:tc>
                <w:tcPr>
                  <w:tcW w:w="1345" w:type="dxa"/>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1.15</w:t>
                  </w: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0.86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08" w:type="dxa"/>
                  <w:vMerge w:val="continue"/>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洒水</w:t>
                  </w:r>
                </w:p>
              </w:tc>
              <w:tc>
                <w:tcPr>
                  <w:tcW w:w="1210" w:type="dxa"/>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2.01</w:t>
                  </w:r>
                </w:p>
              </w:tc>
              <w:tc>
                <w:tcPr>
                  <w:tcW w:w="1347" w:type="dxa"/>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1.4</w:t>
                  </w:r>
                </w:p>
              </w:tc>
              <w:tc>
                <w:tcPr>
                  <w:tcW w:w="1345" w:type="dxa"/>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0.67</w:t>
                  </w: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0.6</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本项目区域年均风速在</w:t>
            </w:r>
            <w:r>
              <w:rPr>
                <w:rFonts w:hint="default" w:ascii="Times New Roman" w:hAnsi="Times New Roman" w:eastAsia="宋体" w:cs="Times New Roman"/>
                <w:color w:val="000000" w:themeColor="text1"/>
                <w:sz w:val="24"/>
                <w:lang w:val="en-US" w:eastAsia="zh-CN"/>
                <w14:textFill>
                  <w14:solidFill>
                    <w14:schemeClr w14:val="tx1"/>
                  </w14:solidFill>
                </w14:textFill>
              </w:rPr>
              <w:t>1.7</w:t>
            </w:r>
            <w:r>
              <w:rPr>
                <w:rFonts w:hint="default" w:ascii="Times New Roman" w:hAnsi="Times New Roman" w:eastAsia="宋体" w:cs="Times New Roman"/>
                <w:color w:val="000000" w:themeColor="text1"/>
                <w:sz w:val="24"/>
                <w14:textFill>
                  <w14:solidFill>
                    <w14:schemeClr w14:val="tx1"/>
                  </w14:solidFill>
                </w14:textFill>
              </w:rPr>
              <w:t>m/s，在不采取措施的情况下，施工扬尘产生量超过1.0mg/m</w:t>
            </w:r>
            <w:r>
              <w:rPr>
                <w:rFonts w:hint="default" w:ascii="Times New Roman" w:hAnsi="Times New Roman" w:eastAsia="宋体" w:cs="Times New Roman"/>
                <w:color w:val="000000" w:themeColor="text1"/>
                <w:sz w:val="24"/>
                <w:vertAlign w:val="superscript"/>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。由</w:t>
            </w:r>
            <w:r>
              <w:rPr>
                <w:rFonts w:hint="default" w:ascii="Times New Roman" w:hAnsi="Times New Roman" w:eastAsia="宋体" w:cs="Times New Roman"/>
                <w:color w:val="000000" w:themeColor="text1"/>
                <w:sz w:val="24"/>
                <w:lang w:eastAsia="zh-CN"/>
                <w14:textFill>
                  <w14:solidFill>
                    <w14:schemeClr w14:val="tx1"/>
                  </w14:solidFill>
                </w14:textFill>
              </w:rPr>
              <w:t>上</w:t>
            </w:r>
            <w:r>
              <w:rPr>
                <w:rFonts w:hint="default" w:ascii="Times New Roman" w:hAnsi="Times New Roman" w:eastAsia="宋体" w:cs="Times New Roman"/>
                <w:color w:val="000000" w:themeColor="text1"/>
                <w:sz w:val="24"/>
                <w14:textFill>
                  <w14:solidFill>
                    <w14:schemeClr w14:val="tx1"/>
                  </w14:solidFill>
                </w14:textFill>
              </w:rPr>
              <w:t>表可以看出，经过洒水抑尘，可降低扬尘量70%左右，将其影响控制在20-50米范围内。</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 w:val="0"/>
                <w:bCs w:val="0"/>
                <w:color w:val="000000" w:themeColor="text1"/>
                <w:sz w:val="24"/>
                <w:u w:val="none"/>
                <w14:textFill>
                  <w14:solidFill>
                    <w14:schemeClr w14:val="tx1"/>
                  </w14:solidFill>
                </w14:textFill>
              </w:rPr>
            </w:pPr>
            <w:r>
              <w:rPr>
                <w:rFonts w:hint="default" w:ascii="Times New Roman" w:hAnsi="Times New Roman" w:eastAsia="宋体" w:cs="Times New Roman"/>
                <w:b w:val="0"/>
                <w:bCs w:val="0"/>
                <w:color w:val="000000" w:themeColor="text1"/>
                <w:sz w:val="24"/>
                <w:u w:val="none"/>
                <w14:textFill>
                  <w14:solidFill>
                    <w14:schemeClr w14:val="tx1"/>
                  </w14:solidFill>
                </w14:textFill>
              </w:rPr>
              <w:t>由施工期扬尘大气环境影响预测分析可知，施工期所带来的施工扬尘如不有效治理，将对建设项目周围的大气环境质量造成不同程度的影响。根据</w:t>
            </w:r>
            <w:r>
              <w:rPr>
                <w:rFonts w:hint="default" w:ascii="Times New Roman" w:hAnsi="Times New Roman" w:eastAsia="宋体" w:cs="Times New Roman"/>
                <w:b w:val="0"/>
                <w:bCs w:val="0"/>
                <w:color w:val="000000" w:themeColor="text1"/>
                <w:sz w:val="24"/>
                <w:u w:val="none"/>
                <w:lang w:val="en-US" w:eastAsia="zh-CN"/>
                <w14:textFill>
                  <w14:solidFill>
                    <w14:schemeClr w14:val="tx1"/>
                  </w14:solidFill>
                </w14:textFill>
              </w:rPr>
              <w:t>相关</w:t>
            </w:r>
            <w:r>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t>文件通知的要求，提出施工期工地扬尘污染防治对策如下：</w:t>
            </w: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16"/>
                <w:lang w:eastAsia="zh-CN"/>
                <w14:textFill>
                  <w14:solidFill>
                    <w14:schemeClr w14:val="tx1"/>
                  </w14:solidFill>
                </w14:textFill>
              </w:rPr>
            </w:pPr>
            <w:r>
              <w:rPr>
                <w:rFonts w:hint="default" w:ascii="Times New Roman" w:hAnsi="Times New Roman" w:eastAsia="宋体" w:cs="Times New Roman"/>
                <w:b/>
                <w:bCs/>
                <w:color w:val="000000" w:themeColor="text1"/>
                <w:sz w:val="21"/>
                <w:szCs w:val="16"/>
                <w:lang w:eastAsia="zh-CN"/>
                <w14:textFill>
                  <w14:solidFill>
                    <w14:schemeClr w14:val="tx1"/>
                  </w14:solidFill>
                </w14:textFill>
              </w:rPr>
              <w:t>施工期大气污染防治措施一览表</w:t>
            </w:r>
          </w:p>
          <w:tbl>
            <w:tblPr>
              <w:tblStyle w:val="17"/>
              <w:tblW w:w="78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3"/>
              <w:gridCol w:w="62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613"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t>控制措施</w:t>
                  </w:r>
                </w:p>
              </w:tc>
              <w:tc>
                <w:tcPr>
                  <w:tcW w:w="622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t>具体实施内容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613"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t>工地周边围挡</w:t>
                  </w:r>
                </w:p>
              </w:tc>
              <w:tc>
                <w:tcPr>
                  <w:tcW w:w="622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A.施工现场设置封闭围挡，围挡底端应设置防溢基础，围挡之间及围挡与防溢座之间无缝隙，不得有泥浆外漏。</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B.城区主要路段的施工现场及拆除工程围挡高度不应低于2.5m，其他一般路段的围挡高度不应低于1.8米；</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C.围挡上部宜设置朝向场内区域的喷雾装置，每组间隔不宜大于4m；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613"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t>施工工地道路硬化</w:t>
                  </w:r>
                </w:p>
              </w:tc>
              <w:tc>
                <w:tcPr>
                  <w:tcW w:w="622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A.施工现场出入口、主要道路必须采取硬化处理措施，尽量做到“永临结合”。沿施工道路两侧宜布设标准化的道路喷淋系统。</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B.施工现场辅助临时道路、加工区、施工用材料堆放场、临时停车场地应采取固化措施。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613"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t>场地</w:t>
                  </w:r>
                </w:p>
              </w:tc>
              <w:tc>
                <w:tcPr>
                  <w:tcW w:w="622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A.施工场地内裸露场地和堆放的土方必须采取防尘网覆盖、绿化或固化等扬尘污染防治措施；</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B.待建场地裸露地面超过三个月的，应当进行临时绿化或透水铺装。</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C.长期存在的废弃物堆场，应当设置高于废弃物堆的围墙、防尘网或者在废弃物堆场表面植被绿化。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613"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t>物料堆放覆盖</w:t>
                  </w:r>
                </w:p>
              </w:tc>
              <w:tc>
                <w:tcPr>
                  <w:tcW w:w="622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A.砂石等散体材料应设置围挡，集中分类堆放，并采取防尘网覆盖或其他防尘；</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B.水泥、粉煤灰、灰土等易产生扬尘的细颗粒建筑材料应进行密闭存放或设置围挡进行封闭、覆盖，使用过程中采取有效抑尘措施；</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C.场内装卸、搬运易扬尘材料应遮盖、封闭或洒水；</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D.施工现场土方堆放时，除应采取覆盖防尘网、绿化等防尘措施，并适时洒水，还应做到：土方堆放高度不宜超过相邻围挡；使用土方时禁止将所有遮盖的防尘网全部打开；雨季应采取措施防止随雨水冲刷进入水体或市政雨水</w:t>
                  </w:r>
                  <w:r>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t>管道。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613"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t>进出车辆冲洗</w:t>
                  </w:r>
                </w:p>
              </w:tc>
              <w:tc>
                <w:tcPr>
                  <w:tcW w:w="622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A.施工现场出入口大门内侧场内主要道路应设置固定车辆自动冲洗设施，包括：冲洗平台、冲洗设备、排水沟、沉淀池等。</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B.车辆冲洗装置冲洗水压不应小于0.3MPa，冲洗时间不宜少于3min。</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C.车辆冲洗应有专人负责填写台账，确保车辆外部、底盘、轮胎处不得粘有污物和泥土，施工工地大门外车辆出口路面不应有明显的泥印和泥浆水，以及砂石、灰土等易扬尘材料。</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D.车辆冲洗宜采用循环用水，设置分级沉淀池，沉淀池应做防渗处理，污水不得直接排入市政污水管网，沉淀池，排水沟中积存的污泥应定期清理。</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E.不具备建设车辆自动冲洗系统条件的施工工地或施工作业面出口，应设配备高压水枪的人工冲洗平台。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613"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lang w:eastAsia="zh-CN"/>
                      <w14:textFill>
                        <w14:solidFill>
                          <w14:schemeClr w14:val="tx1"/>
                        </w14:solidFill>
                      </w14:textFill>
                    </w:rPr>
                    <w:t>渣土运输及建筑垃圾处置</w:t>
                  </w:r>
                </w:p>
              </w:tc>
              <w:tc>
                <w:tcPr>
                  <w:tcW w:w="6226"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A.建筑垃圾处置实行减量化、资源化、无害化和“谁产生、谁负责”的原则；</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B.施工现场垃圾应集中、分类堆放，严密遮盖。必要时建立密闭式垃圾站。</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C.楼层内清理施工垃圾，应采取先洒水降尘后清扫的作业方法，并使用密闭式专用垃圾通道（管道）或袋装清运；</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D.施工现场严禁随意丢弃和焚烧各类废弃物，严禁高空抛洒建筑垃圾；</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E.施工工程中产生的弃土、弃料以及其他建筑垃圾，应及时清运。若在工地内堆置超过48小时的，应在施工工地内设置临时堆放场，并采取下列措施之一：覆盖防尘布、防尘网；定期喷洒抑尘剂；定期洒水压尘；其他有效的防尘措施；</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F.建筑垃圾和土方运输车辆运输中必须采取密闭措施，切实达到无外露、无遗撒、无高尖、无扬尘的要求，按规定的时间、地点、线路运输和装卸。</w:t>
                  </w:r>
                </w:p>
                <w:p>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vertAlign w:val="baseline"/>
                      <w14:textFill>
                        <w14:solidFill>
                          <w14:schemeClr w14:val="tx1"/>
                        </w14:solidFill>
                      </w14:textFill>
                    </w:rPr>
                    <w:t>G.外运泥浆应使用具有吸排性能的密封罐车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1613"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eastAsia="zh-CN"/>
                      <w14:textFill>
                        <w14:solidFill>
                          <w14:schemeClr w14:val="tx1"/>
                        </w14:solidFill>
                      </w14:textFill>
                    </w:rPr>
                    <w:t>《濮阳市2024年蓝天保卫战实施方案》</w:t>
                  </w: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等法律法规要求</w:t>
                  </w:r>
                </w:p>
              </w:tc>
              <w:tc>
                <w:tcPr>
                  <w:tcW w:w="62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bCs/>
                      <w:color w:val="000000" w:themeColor="text1"/>
                      <w:sz w:val="21"/>
                      <w:szCs w:val="21"/>
                      <w:u w:val="single"/>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A.建筑工程开工前必须做到“六个到位”，即“审批到位、报备到位、治理方案到位、配套措施到位、监控到位、人员到位(建设、施工单位管理人员和监管部门监管人员)”;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left"/>
                    <w:textAlignment w:val="auto"/>
                    <w:outlineLvl w:val="9"/>
                    <w:rPr>
                      <w:rFonts w:hint="default" w:ascii="Times New Roman" w:hAnsi="Times New Roman" w:eastAsia="宋体" w:cs="Times New Roman"/>
                      <w:b/>
                      <w:bCs/>
                      <w:color w:val="000000" w:themeColor="text1"/>
                      <w:sz w:val="21"/>
                      <w:szCs w:val="21"/>
                      <w:u w:val="single"/>
                      <w:vertAlign w:val="baseline"/>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B.</w:t>
                  </w:r>
                  <w:r>
                    <w:rPr>
                      <w:rFonts w:hint="default" w:ascii="Times New Roman" w:hAnsi="Times New Roman" w:eastAsia="宋体" w:cs="Times New Roman"/>
                      <w:b/>
                      <w:bCs/>
                      <w:color w:val="000000" w:themeColor="text1"/>
                      <w:sz w:val="21"/>
                      <w:szCs w:val="21"/>
                      <w:u w:val="single"/>
                      <w:vertAlign w:val="baseline"/>
                      <w14:textFill>
                        <w14:solidFill>
                          <w14:schemeClr w14:val="tx1"/>
                        </w14:solidFill>
                      </w14:textFill>
                    </w:rPr>
                    <w:t>建设单位要强化工地扬尘污染防治。严格落实施工工地“八个百分之百”（工地周边100%围挡，土方开挖及拆迁作业100%湿作业，场区道路100%硬化，各类物料堆放100%覆盖，渣土运输车辆100%密闭运输，出场车辆100%冲洗，施工工地100%安装在线视频监控，工地内非道路移动机械及使用油品100%达标）、“两个禁止”（禁止施工现场搅拌混凝土、禁止施工现场配置砂浆）、开复工验收、“三员”（扬尘污染防治监督员、网格员、管理员）管理、扬尘防治预算管理等制度，实施渣土车密闭运输、清洁运输，完善降尘监测和考评体系</w:t>
                  </w:r>
                  <w:r>
                    <w:rPr>
                      <w:rFonts w:hint="default" w:ascii="Times New Roman" w:hAnsi="Times New Roman" w:eastAsia="宋体" w:cs="Times New Roman"/>
                      <w:b/>
                      <w:bCs/>
                      <w:color w:val="000000" w:themeColor="text1"/>
                      <w:sz w:val="21"/>
                      <w:szCs w:val="21"/>
                      <w:u w:val="single"/>
                      <w:vertAlign w:val="baseline"/>
                      <w:lang w:eastAsia="zh-CN"/>
                      <w14:textFill>
                        <w14:solidFill>
                          <w14:schemeClr w14:val="tx1"/>
                        </w14:solidFill>
                      </w14:textFill>
                    </w:rPr>
                    <w:t>。</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9"/>
              <w:rPr>
                <w:rFonts w:hint="default" w:ascii="Times New Roman" w:hAnsi="Times New Roman" w:eastAsia="宋体" w:cs="Times New Roman"/>
                <w:b w:val="0"/>
                <w:bCs w:val="0"/>
                <w:color w:val="000000" w:themeColor="text1"/>
                <w:sz w:val="24"/>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u w:val="none"/>
                <w14:textFill>
                  <w14:solidFill>
                    <w14:schemeClr w14:val="tx1"/>
                  </w14:solidFill>
                </w14:textFill>
              </w:rPr>
              <w:t>在严格落实以上措施后，施工期产生的大气污染将得到有效控制，对施工人员、以及周边单位及群众的影响基本在人们可接受范围之内，对区域大气环境影响不大。此外，施工期大气环境影响是暂时的、局部的，随着工程的建成完工而消失。</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lang w:val="en-US" w:eastAsia="zh-CN"/>
                <w14:textFill>
                  <w14:solidFill>
                    <w14:schemeClr w14:val="tx1"/>
                  </w14:solidFill>
                </w14:textFill>
              </w:rPr>
              <w:t>2</w:t>
            </w:r>
            <w:r>
              <w:rPr>
                <w:rFonts w:hint="default" w:ascii="Times New Roman" w:hAnsi="Times New Roman" w:eastAsia="宋体" w:cs="Times New Roman"/>
                <w:b/>
                <w:color w:val="000000" w:themeColor="text1"/>
                <w:sz w:val="24"/>
                <w14:textFill>
                  <w14:solidFill>
                    <w14:schemeClr w14:val="tx1"/>
                  </w14:solidFill>
                </w14:textFill>
              </w:rPr>
              <w:t>、水环境影响分析</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主要为施工废水和施工人员的洗漱用水。</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outlineLvl w:val="0"/>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14:textFill>
                  <w14:solidFill>
                    <w14:schemeClr w14:val="tx1"/>
                  </w14:solidFill>
                </w14:textFill>
              </w:rPr>
              <w:t>.1施工机械冲洗废水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施工机械投入使用过程中，实际冲洗次数相对较少，产生的污染物主要为SS，可用于泼洒施工场地抑尘，不外排。</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14:textFill>
                  <w14:solidFill>
                    <w14:schemeClr w14:val="tx1"/>
                  </w14:solidFill>
                </w14:textFill>
              </w:rPr>
              <w:t>.2生活污水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本项目施工期为</w:t>
            </w:r>
            <w:r>
              <w:rPr>
                <w:rFonts w:hint="default" w:ascii="Times New Roman" w:hAnsi="Times New Roman" w:eastAsia="宋体" w:cs="Times New Roman"/>
                <w:color w:val="000000" w:themeColor="text1"/>
                <w:sz w:val="24"/>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个月，施工人员约</w:t>
            </w:r>
            <w:r>
              <w:rPr>
                <w:rFonts w:hint="default" w:ascii="Times New Roman" w:hAnsi="Times New Roman" w:eastAsia="宋体" w:cs="Times New Roman"/>
                <w:color w:val="000000" w:themeColor="text1"/>
                <w:sz w:val="24"/>
                <w:lang w:val="en-US" w:eastAsia="zh-CN"/>
                <w14:textFill>
                  <w14:solidFill>
                    <w14:schemeClr w14:val="tx1"/>
                  </w14:solidFill>
                </w14:textFill>
              </w:rPr>
              <w:t>40</w:t>
            </w:r>
            <w:r>
              <w:rPr>
                <w:rFonts w:hint="default" w:ascii="Times New Roman" w:hAnsi="Times New Roman" w:eastAsia="宋体" w:cs="Times New Roman"/>
                <w:color w:val="000000" w:themeColor="text1"/>
                <w:sz w:val="24"/>
                <w14:textFill>
                  <w14:solidFill>
                    <w14:schemeClr w14:val="tx1"/>
                  </w14:solidFill>
                </w14:textFill>
              </w:rPr>
              <w:t>人，由于条件限制，施工人员用水较少，用水量按30L/人·d计算，用水量为</w:t>
            </w:r>
            <w:r>
              <w:rPr>
                <w:rFonts w:hint="default" w:ascii="Times New Roman" w:hAnsi="Times New Roman" w:eastAsia="宋体" w:cs="Times New Roman"/>
                <w:color w:val="000000" w:themeColor="text1"/>
                <w:sz w:val="24"/>
                <w:lang w:val="en-US" w:eastAsia="zh-CN"/>
                <w14:textFill>
                  <w14:solidFill>
                    <w14:schemeClr w14:val="tx1"/>
                  </w14:solidFill>
                </w14:textFill>
              </w:rPr>
              <w:t>1.2m</w:t>
            </w:r>
            <w:r>
              <w:rPr>
                <w:rFonts w:hint="default" w:ascii="Times New Roman" w:hAnsi="Times New Roman" w:eastAsia="宋体"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/d，排放量按用水量的80%计算，生活污水排放量为0.</w:t>
            </w:r>
            <w:r>
              <w:rPr>
                <w:rFonts w:hint="default" w:ascii="Times New Roman" w:hAnsi="Times New Roman" w:eastAsia="宋体" w:cs="Times New Roman"/>
                <w:color w:val="000000" w:themeColor="text1"/>
                <w:sz w:val="24"/>
                <w:lang w:val="en-US" w:eastAsia="zh-CN"/>
                <w14:textFill>
                  <w14:solidFill>
                    <w14:schemeClr w14:val="tx1"/>
                  </w14:solidFill>
                </w14:textFill>
              </w:rPr>
              <w:t>96m</w:t>
            </w:r>
            <w:r>
              <w:rPr>
                <w:rFonts w:hint="default" w:ascii="Times New Roman" w:hAnsi="Times New Roman" w:eastAsia="宋体"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/d，即</w:t>
            </w:r>
            <w:r>
              <w:rPr>
                <w:rFonts w:hint="default" w:ascii="Times New Roman" w:hAnsi="Times New Roman" w:eastAsia="宋体" w:cs="Times New Roman"/>
                <w:color w:val="000000" w:themeColor="text1"/>
                <w:sz w:val="24"/>
                <w:lang w:val="en-US" w:eastAsia="zh-CN"/>
                <w14:textFill>
                  <w14:solidFill>
                    <w14:schemeClr w14:val="tx1"/>
                  </w14:solidFill>
                </w14:textFill>
              </w:rPr>
              <w:t>86.4m</w:t>
            </w:r>
            <w:r>
              <w:rPr>
                <w:rFonts w:hint="default" w:ascii="Times New Roman" w:hAnsi="Times New Roman" w:eastAsia="宋体" w:cs="Times New Roman"/>
                <w:color w:val="000000" w:themeColor="text1"/>
                <w:sz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14:textFill>
                  <w14:solidFill>
                    <w14:schemeClr w14:val="tx1"/>
                  </w14:solidFill>
                </w14:textFill>
              </w:rPr>
              <w:t>。生活污水收集后泼洒地面抑尘，废水不外排。</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color w:val="000000" w:themeColor="text1"/>
                <w:sz w:val="24"/>
                <w14:textFill>
                  <w14:solidFill>
                    <w14:schemeClr w14:val="tx1"/>
                  </w14:solidFill>
                </w14:textFill>
              </w:rPr>
            </w:pPr>
            <w:r>
              <w:rPr>
                <w:rFonts w:hint="default" w:ascii="Times New Roman" w:hAnsi="Times New Roman" w:eastAsia="宋体" w:cs="Times New Roman"/>
                <w:b/>
                <w:color w:val="000000" w:themeColor="text1"/>
                <w:sz w:val="24"/>
                <w:lang w:val="en-US" w:eastAsia="zh-CN"/>
                <w14:textFill>
                  <w14:solidFill>
                    <w14:schemeClr w14:val="tx1"/>
                  </w14:solidFill>
                </w14:textFill>
              </w:rPr>
              <w:t>3</w:t>
            </w:r>
            <w:r>
              <w:rPr>
                <w:rFonts w:hint="default" w:ascii="Times New Roman" w:hAnsi="Times New Roman" w:eastAsia="宋体" w:cs="Times New Roman"/>
                <w:b/>
                <w:color w:val="000000" w:themeColor="text1"/>
                <w:sz w:val="24"/>
                <w14:textFill>
                  <w14:solidFill>
                    <w14:schemeClr w14:val="tx1"/>
                  </w14:solidFill>
                </w14:textFill>
              </w:rPr>
              <w:t>.声环境影响分析</w:t>
            </w:r>
          </w:p>
          <w:p>
            <w:pPr>
              <w:keepNext w:val="0"/>
              <w:keepLines w:val="0"/>
              <w:pageBreakBefore w:val="0"/>
              <w:widowControl w:val="0"/>
              <w:tabs>
                <w:tab w:val="left" w:pos="915"/>
              </w:tabs>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000000" w:themeColor="text1"/>
                <w:sz w:val="24"/>
                <w14:textFill>
                  <w14:solidFill>
                    <w14:schemeClr w14:val="tx1"/>
                  </w14:solidFill>
                </w14:textFill>
              </w:rPr>
            </w:pPr>
            <w:r>
              <w:rPr>
                <w:rFonts w:hint="default" w:ascii="Times New Roman" w:hAnsi="Times New Roman" w:eastAsia="宋体" w:cs="Times New Roman"/>
                <w:b/>
                <w:bCs/>
                <w:color w:val="000000" w:themeColor="text1"/>
                <w:kern w:val="0"/>
                <w:sz w:val="24"/>
                <w:lang w:val="en-US" w:eastAsia="zh-CN"/>
                <w14:textFill>
                  <w14:solidFill>
                    <w14:schemeClr w14:val="tx1"/>
                  </w14:solidFill>
                </w14:textFill>
              </w:rPr>
              <w:t>3</w:t>
            </w:r>
            <w:r>
              <w:rPr>
                <w:rFonts w:hint="default" w:ascii="Times New Roman" w:hAnsi="Times New Roman" w:eastAsia="宋体" w:cs="Times New Roman"/>
                <w:b/>
                <w:bCs/>
                <w:color w:val="000000" w:themeColor="text1"/>
                <w:kern w:val="0"/>
                <w:sz w:val="24"/>
                <w:lang w:val="zh-CN"/>
                <w14:textFill>
                  <w14:solidFill>
                    <w14:schemeClr w14:val="tx1"/>
                  </w14:solidFill>
                </w14:textFill>
              </w:rPr>
              <w:t>.1</w:t>
            </w:r>
            <w:r>
              <w:rPr>
                <w:rFonts w:hint="default" w:ascii="Times New Roman" w:hAnsi="Times New Roman" w:eastAsia="宋体" w:cs="Times New Roman"/>
                <w:b/>
                <w:bCs/>
                <w:color w:val="000000" w:themeColor="text1"/>
                <w:sz w:val="24"/>
                <w14:textFill>
                  <w14:solidFill>
                    <w14:schemeClr w14:val="tx1"/>
                  </w14:solidFill>
                </w14:textFill>
              </w:rPr>
              <w:t>噪声源及源强</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工程施工噪声来源包括：场地平整、地基处理、结构等阶段，主要为施工机械产生的噪声以及施工运输车辆的交通噪声。经建筑工程施工工地噪声源强类比调查分析，确定拟建工程的噪声影响主要来自于施工现场的声源噪声。</w:t>
            </w: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val="0"/>
                <w:color w:val="000000" w:themeColor="text1"/>
                <w:sz w:val="21"/>
                <w:szCs w:val="21"/>
                <w14:textFill>
                  <w14:solidFill>
                    <w14:schemeClr w14:val="tx1"/>
                  </w14:solidFill>
                </w14:textFill>
              </w:rPr>
            </w:pPr>
            <w:r>
              <w:rPr>
                <w:rFonts w:hint="default" w:ascii="Times New Roman" w:hAnsi="Times New Roman" w:eastAsia="宋体" w:cs="Times New Roman"/>
                <w:b/>
                <w:bCs w:val="0"/>
                <w:color w:val="000000" w:themeColor="text1"/>
                <w:sz w:val="21"/>
                <w:szCs w:val="21"/>
                <w14:textFill>
                  <w14:solidFill>
                    <w14:schemeClr w14:val="tx1"/>
                  </w14:solidFill>
                </w14:textFill>
              </w:rPr>
              <w:t>主要施工机械噪声值             等效声级Leq〔dB(A)〕</w:t>
            </w:r>
          </w:p>
          <w:tbl>
            <w:tblPr>
              <w:tblStyle w:val="16"/>
              <w:tblW w:w="78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22"/>
              <w:gridCol w:w="1475"/>
              <w:gridCol w:w="1118"/>
              <w:gridCol w:w="2124"/>
              <w:gridCol w:w="12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822"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施工阶段</w:t>
                  </w:r>
                </w:p>
              </w:tc>
              <w:tc>
                <w:tcPr>
                  <w:tcW w:w="1475"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主要噪声源</w:t>
                  </w:r>
                </w:p>
              </w:tc>
              <w:tc>
                <w:tcPr>
                  <w:tcW w:w="1118"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数量（台）</w:t>
                  </w:r>
                </w:p>
              </w:tc>
              <w:tc>
                <w:tcPr>
                  <w:tcW w:w="2124"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距声源1米处A声级</w:t>
                  </w:r>
                </w:p>
              </w:tc>
              <w:tc>
                <w:tcPr>
                  <w:tcW w:w="1295"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叠加值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822" w:type="dxa"/>
                  <w:vMerge w:val="restart"/>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场地平整</w:t>
                  </w:r>
                </w:p>
              </w:tc>
              <w:tc>
                <w:tcPr>
                  <w:tcW w:w="1475"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推土机</w:t>
                  </w:r>
                </w:p>
              </w:tc>
              <w:tc>
                <w:tcPr>
                  <w:tcW w:w="1118"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2124"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78～80</w:t>
                  </w:r>
                </w:p>
              </w:tc>
              <w:tc>
                <w:tcPr>
                  <w:tcW w:w="1295" w:type="dxa"/>
                  <w:vMerge w:val="restart"/>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822" w:type="dxa"/>
                  <w:vMerge w:val="continue"/>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475"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挖掘机</w:t>
                  </w:r>
                </w:p>
              </w:tc>
              <w:tc>
                <w:tcPr>
                  <w:tcW w:w="1118"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2124" w:type="dxa"/>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75～80</w:t>
                  </w:r>
                </w:p>
              </w:tc>
              <w:tc>
                <w:tcPr>
                  <w:tcW w:w="1295" w:type="dxa"/>
                  <w:vMerge w:val="continue"/>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822" w:type="dxa"/>
                  <w:vMerge w:val="continue"/>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475"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装载机</w:t>
                  </w:r>
                </w:p>
              </w:tc>
              <w:tc>
                <w:tcPr>
                  <w:tcW w:w="1118"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2124"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70～75</w:t>
                  </w:r>
                </w:p>
              </w:tc>
              <w:tc>
                <w:tcPr>
                  <w:tcW w:w="1295" w:type="dxa"/>
                  <w:vMerge w:val="continue"/>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822" w:type="dxa"/>
                  <w:vMerge w:val="restart"/>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结构</w:t>
                  </w:r>
                </w:p>
              </w:tc>
              <w:tc>
                <w:tcPr>
                  <w:tcW w:w="1475"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振捣棒</w:t>
                  </w:r>
                </w:p>
              </w:tc>
              <w:tc>
                <w:tcPr>
                  <w:tcW w:w="1118"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2124"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80～85</w:t>
                  </w:r>
                </w:p>
              </w:tc>
              <w:tc>
                <w:tcPr>
                  <w:tcW w:w="1295" w:type="dxa"/>
                  <w:vMerge w:val="restart"/>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94.2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822" w:type="dxa"/>
                  <w:vMerge w:val="continue"/>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475"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电锯</w:t>
                  </w:r>
                </w:p>
              </w:tc>
              <w:tc>
                <w:tcPr>
                  <w:tcW w:w="1118"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2124"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90</w:t>
                  </w:r>
                </w:p>
              </w:tc>
              <w:tc>
                <w:tcPr>
                  <w:tcW w:w="1295" w:type="dxa"/>
                  <w:vMerge w:val="continue"/>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1822" w:type="dxa"/>
                  <w:vMerge w:val="continue"/>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475"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吊车</w:t>
                  </w:r>
                </w:p>
              </w:tc>
              <w:tc>
                <w:tcPr>
                  <w:tcW w:w="1118"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2124" w:type="dxa"/>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70</w:t>
                  </w:r>
                </w:p>
              </w:tc>
              <w:tc>
                <w:tcPr>
                  <w:tcW w:w="1295" w:type="dxa"/>
                  <w:vMerge w:val="continue"/>
                  <w:vAlign w:val="center"/>
                </w:tcPr>
                <w:p>
                  <w:pPr>
                    <w:pStyle w:val="10"/>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color w:val="000000" w:themeColor="text1"/>
                <w:kern w:val="0"/>
                <w:sz w:val="24"/>
                <w:lang w:val="zh-CN"/>
                <w14:textFill>
                  <w14:solidFill>
                    <w14:schemeClr w14:val="tx1"/>
                  </w14:solidFill>
                </w14:textFill>
              </w:rPr>
            </w:pPr>
            <w:r>
              <w:rPr>
                <w:rFonts w:hint="default" w:ascii="Times New Roman" w:hAnsi="Times New Roman" w:eastAsia="宋体" w:cs="Times New Roman"/>
                <w:b/>
                <w:color w:val="000000" w:themeColor="text1"/>
                <w:sz w:val="24"/>
                <w:lang w:val="en-US" w:eastAsia="zh-CN"/>
                <w14:textFill>
                  <w14:solidFill>
                    <w14:schemeClr w14:val="tx1"/>
                  </w14:solidFill>
                </w14:textFill>
              </w:rPr>
              <w:t>3</w:t>
            </w:r>
            <w:r>
              <w:rPr>
                <w:rFonts w:hint="default" w:ascii="Times New Roman" w:hAnsi="Times New Roman" w:eastAsia="宋体" w:cs="Times New Roman"/>
                <w:b/>
                <w:color w:val="000000" w:themeColor="text1"/>
                <w:sz w:val="24"/>
                <w14:textFill>
                  <w14:solidFill>
                    <w14:schemeClr w14:val="tx1"/>
                  </w14:solidFill>
                </w14:textFill>
              </w:rPr>
              <w:t>.2</w:t>
            </w:r>
            <w:r>
              <w:rPr>
                <w:rFonts w:hint="default" w:ascii="Times New Roman" w:hAnsi="Times New Roman" w:eastAsia="宋体" w:cs="Times New Roman"/>
                <w:b/>
                <w:color w:val="000000" w:themeColor="text1"/>
                <w:kern w:val="0"/>
                <w:sz w:val="24"/>
                <w:lang w:val="zh-CN"/>
                <w14:textFill>
                  <w14:solidFill>
                    <w14:schemeClr w14:val="tx1"/>
                  </w14:solidFill>
                </w14:textFill>
              </w:rPr>
              <w:t>预测计算</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kern w:val="0"/>
                <w:sz w:val="24"/>
                <w:lang w:val="zh-CN"/>
                <w14:textFill>
                  <w14:solidFill>
                    <w14:schemeClr w14:val="tx1"/>
                  </w14:solidFill>
                </w14:textFill>
              </w:rPr>
              <w:t>施工噪声预测</w:t>
            </w:r>
            <w:r>
              <w:rPr>
                <w:rFonts w:hint="default" w:ascii="Times New Roman" w:hAnsi="Times New Roman" w:eastAsia="宋体" w:cs="Times New Roman"/>
                <w:bCs/>
                <w:color w:val="000000" w:themeColor="text1"/>
                <w:sz w:val="24"/>
                <w14:textFill>
                  <w14:solidFill>
                    <w14:schemeClr w14:val="tx1"/>
                  </w14:solidFill>
                </w14:textFill>
              </w:rPr>
              <w:t>采用点源衰减模式，预测只计算声源至受声点的几何发散衰减，不考虑声围障、空气吸收等衰减。预测公式如下：</w:t>
            </w:r>
          </w:p>
          <w:p>
            <w:pPr>
              <w:keepNext w:val="0"/>
              <w:keepLines w:val="0"/>
              <w:pageBreakBefore w:val="0"/>
              <w:widowControl w:val="0"/>
              <w:kinsoku/>
              <w:wordWrap/>
              <w:overflowPunct/>
              <w:topLinePunct w:val="0"/>
              <w:autoSpaceDE/>
              <w:autoSpaceDN/>
              <w:bidi w:val="0"/>
              <w:adjustRightInd/>
              <w:snapToGrid/>
              <w:spacing w:line="360" w:lineRule="auto"/>
              <w:ind w:firstLine="573"/>
              <w:jc w:val="center"/>
              <w:textAlignment w:val="auto"/>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L</w:t>
            </w:r>
            <w:r>
              <w:rPr>
                <w:rFonts w:hint="default" w:ascii="Times New Roman" w:hAnsi="Times New Roman" w:eastAsia="宋体" w:cs="Times New Roman"/>
                <w:bCs/>
                <w:color w:val="000000" w:themeColor="text1"/>
                <w:sz w:val="24"/>
                <w:vertAlign w:val="subscript"/>
                <w14:textFill>
                  <w14:solidFill>
                    <w14:schemeClr w14:val="tx1"/>
                  </w14:solidFill>
                </w14:textFill>
              </w:rPr>
              <w:t>A</w:t>
            </w:r>
            <w:r>
              <w:rPr>
                <w:rFonts w:hint="default" w:ascii="Times New Roman" w:hAnsi="Times New Roman" w:eastAsia="宋体" w:cs="Times New Roman"/>
                <w:bCs/>
                <w:color w:val="000000" w:themeColor="text1"/>
                <w:sz w:val="24"/>
                <w14:textFill>
                  <w14:solidFill>
                    <w14:schemeClr w14:val="tx1"/>
                  </w14:solidFill>
                </w14:textFill>
              </w:rPr>
              <w:t>=L</w:t>
            </w:r>
            <w:r>
              <w:rPr>
                <w:rFonts w:hint="default" w:ascii="Times New Roman" w:hAnsi="Times New Roman" w:eastAsia="宋体" w:cs="Times New Roman"/>
                <w:bCs/>
                <w:color w:val="000000" w:themeColor="text1"/>
                <w:sz w:val="24"/>
                <w:vertAlign w:val="subscript"/>
                <w14:textFill>
                  <w14:solidFill>
                    <w14:schemeClr w14:val="tx1"/>
                  </w14:solidFill>
                </w14:textFill>
              </w:rPr>
              <w:t>A（r0）</w:t>
            </w:r>
            <w:r>
              <w:rPr>
                <w:rFonts w:hint="default" w:ascii="Times New Roman" w:hAnsi="Times New Roman" w:eastAsia="宋体" w:cs="Times New Roman"/>
                <w:bCs/>
                <w:color w:val="000000" w:themeColor="text1"/>
                <w:sz w:val="24"/>
                <w14:textFill>
                  <w14:solidFill>
                    <w14:schemeClr w14:val="tx1"/>
                  </w14:solidFill>
                </w14:textFill>
              </w:rPr>
              <w:t>-20lg（r/r</w:t>
            </w:r>
            <w:r>
              <w:rPr>
                <w:rFonts w:hint="default" w:ascii="Times New Roman" w:hAnsi="Times New Roman" w:eastAsia="宋体" w:cs="Times New Roman"/>
                <w:bCs/>
                <w:color w:val="000000" w:themeColor="text1"/>
                <w:sz w:val="24"/>
                <w:vertAlign w:val="subscript"/>
                <w14:textFill>
                  <w14:solidFill>
                    <w14:schemeClr w14:val="tx1"/>
                  </w14:solidFill>
                </w14:textFill>
              </w:rPr>
              <w:t>0</w:t>
            </w:r>
            <w:r>
              <w:rPr>
                <w:rFonts w:hint="default" w:ascii="Times New Roman" w:hAnsi="Times New Roman" w:eastAsia="宋体" w:cs="Times New Roman"/>
                <w:bCs/>
                <w:color w:val="000000" w:themeColor="text1"/>
                <w:sz w:val="24"/>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式中：L</w:t>
            </w:r>
            <w:r>
              <w:rPr>
                <w:rFonts w:hint="default" w:ascii="Times New Roman" w:hAnsi="Times New Roman" w:eastAsia="宋体" w:cs="Times New Roman"/>
                <w:bCs/>
                <w:color w:val="000000" w:themeColor="text1"/>
                <w:sz w:val="24"/>
                <w:vertAlign w:val="subscript"/>
                <w14:textFill>
                  <w14:solidFill>
                    <w14:schemeClr w14:val="tx1"/>
                  </w14:solidFill>
                </w14:textFill>
              </w:rPr>
              <w:t>A（r）</w:t>
            </w:r>
            <w:r>
              <w:rPr>
                <w:rFonts w:hint="default" w:ascii="Times New Roman" w:hAnsi="Times New Roman" w:eastAsia="宋体" w:cs="Times New Roman"/>
                <w:bCs/>
                <w:color w:val="000000" w:themeColor="text1"/>
                <w:sz w:val="24"/>
                <w14:textFill>
                  <w14:solidFill>
                    <w14:schemeClr w14:val="tx1"/>
                  </w14:solidFill>
                </w14:textFill>
              </w:rPr>
              <w:t>—距声源r处的A声级，dB（A）；</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L</w:t>
            </w:r>
            <w:r>
              <w:rPr>
                <w:rFonts w:hint="default" w:ascii="Times New Roman" w:hAnsi="Times New Roman" w:eastAsia="宋体" w:cs="Times New Roman"/>
                <w:bCs/>
                <w:color w:val="000000" w:themeColor="text1"/>
                <w:sz w:val="24"/>
                <w:vertAlign w:val="subscript"/>
                <w14:textFill>
                  <w14:solidFill>
                    <w14:schemeClr w14:val="tx1"/>
                  </w14:solidFill>
                </w14:textFill>
              </w:rPr>
              <w:t>A（r0）</w:t>
            </w:r>
            <w:r>
              <w:rPr>
                <w:rFonts w:hint="default" w:ascii="Times New Roman" w:hAnsi="Times New Roman" w:eastAsia="宋体" w:cs="Times New Roman"/>
                <w:bCs/>
                <w:color w:val="000000" w:themeColor="text1"/>
                <w:sz w:val="24"/>
                <w14:textFill>
                  <w14:solidFill>
                    <w14:schemeClr w14:val="tx1"/>
                  </w14:solidFill>
                </w14:textFill>
              </w:rPr>
              <w:t>—参考位置r</w:t>
            </w:r>
            <w:r>
              <w:rPr>
                <w:rFonts w:hint="default" w:ascii="Times New Roman" w:hAnsi="Times New Roman" w:eastAsia="宋体" w:cs="Times New Roman"/>
                <w:bCs/>
                <w:color w:val="000000" w:themeColor="text1"/>
                <w:sz w:val="24"/>
                <w:vertAlign w:val="subscript"/>
                <w14:textFill>
                  <w14:solidFill>
                    <w14:schemeClr w14:val="tx1"/>
                  </w14:solidFill>
                </w14:textFill>
              </w:rPr>
              <w:t>0</w:t>
            </w:r>
            <w:r>
              <w:rPr>
                <w:rFonts w:hint="default" w:ascii="Times New Roman" w:hAnsi="Times New Roman" w:eastAsia="宋体" w:cs="Times New Roman"/>
                <w:bCs/>
                <w:color w:val="000000" w:themeColor="text1"/>
                <w:sz w:val="24"/>
                <w14:textFill>
                  <w14:solidFill>
                    <w14:schemeClr w14:val="tx1"/>
                  </w14:solidFill>
                </w14:textFill>
              </w:rPr>
              <w:t>处的A声级，dB（A）；</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r—预测点距声源的距离，m；</w:t>
            </w:r>
          </w:p>
          <w:p>
            <w:pPr>
              <w:keepNext w:val="0"/>
              <w:keepLines w:val="0"/>
              <w:pageBreakBefore w:val="0"/>
              <w:widowControl w:val="0"/>
              <w:kinsoku/>
              <w:wordWrap/>
              <w:overflowPunct/>
              <w:topLinePunct w:val="0"/>
              <w:autoSpaceDE/>
              <w:autoSpaceDN/>
              <w:bidi w:val="0"/>
              <w:adjustRightInd/>
              <w:snapToGrid/>
              <w:spacing w:line="360" w:lineRule="auto"/>
              <w:ind w:firstLine="1200" w:firstLineChars="500"/>
              <w:textAlignment w:val="auto"/>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r</w:t>
            </w:r>
            <w:r>
              <w:rPr>
                <w:rFonts w:hint="default" w:ascii="Times New Roman" w:hAnsi="Times New Roman" w:eastAsia="宋体" w:cs="Times New Roman"/>
                <w:bCs/>
                <w:color w:val="000000" w:themeColor="text1"/>
                <w:sz w:val="24"/>
                <w:vertAlign w:val="subscript"/>
                <w14:textFill>
                  <w14:solidFill>
                    <w14:schemeClr w14:val="tx1"/>
                  </w14:solidFill>
                </w14:textFill>
              </w:rPr>
              <w:t>0</w:t>
            </w:r>
            <w:r>
              <w:rPr>
                <w:rFonts w:hint="default" w:ascii="Times New Roman" w:hAnsi="Times New Roman" w:eastAsia="宋体" w:cs="Times New Roman"/>
                <w:bCs/>
                <w:color w:val="000000" w:themeColor="text1"/>
                <w:sz w:val="24"/>
                <w14:textFill>
                  <w14:solidFill>
                    <w14:schemeClr w14:val="tx1"/>
                  </w14:solidFill>
                </w14:textFill>
              </w:rPr>
              <w:t>—参考位置距声源的距离，m。</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对于相距较远的两个或两个以上噪声源同时存在时，它们对于远处某一点（预测点）的声级必须按量叠加，该点的总声压级可用以下公式计算：</w:t>
            </w:r>
          </w:p>
          <w:p>
            <w:pPr>
              <w:adjustRightInd w:val="0"/>
              <w:snapToGrid w:val="0"/>
              <w:spacing w:before="468" w:beforeLines="150" w:line="500" w:lineRule="exact"/>
              <w:jc w:val="center"/>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drawing>
                <wp:inline distT="0" distB="0" distL="114300" distR="114300">
                  <wp:extent cx="1750695" cy="570230"/>
                  <wp:effectExtent l="0" t="0" r="1905" b="1270"/>
                  <wp:docPr id="21" name="图片 85" descr="未命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85" descr="未命名"/>
                          <pic:cNvPicPr>
                            <a:picLocks noChangeAspect="1"/>
                          </pic:cNvPicPr>
                        </pic:nvPicPr>
                        <pic:blipFill>
                          <a:blip r:embed="rId25"/>
                          <a:srcRect l="31458" t="23625" r="36218" b="38959"/>
                          <a:stretch>
                            <a:fillRect/>
                          </a:stretch>
                        </pic:blipFill>
                        <pic:spPr>
                          <a:xfrm>
                            <a:off x="0" y="0"/>
                            <a:ext cx="1750695" cy="57023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600" w:firstLineChars="250"/>
              <w:textAlignment w:val="auto"/>
              <w:outlineLvl w:val="9"/>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其中：L</w:t>
            </w:r>
            <w:r>
              <w:rPr>
                <w:rFonts w:hint="default" w:ascii="Times New Roman" w:hAnsi="Times New Roman" w:eastAsia="宋体" w:cs="Times New Roman"/>
                <w:bCs/>
                <w:color w:val="000000" w:themeColor="text1"/>
                <w:sz w:val="24"/>
                <w:vertAlign w:val="subscript"/>
                <w14:textFill>
                  <w14:solidFill>
                    <w14:schemeClr w14:val="tx1"/>
                  </w14:solidFill>
                </w14:textFill>
              </w:rPr>
              <w:t>P</w:t>
            </w:r>
            <w:r>
              <w:rPr>
                <w:rFonts w:hint="default" w:ascii="Times New Roman" w:hAnsi="Times New Roman" w:eastAsia="宋体" w:cs="Times New Roman"/>
                <w:bCs/>
                <w:color w:val="000000" w:themeColor="text1"/>
                <w:sz w:val="24"/>
                <w14:textFill>
                  <w14:solidFill>
                    <w14:schemeClr w14:val="tx1"/>
                  </w14:solidFill>
                </w14:textFill>
              </w:rPr>
              <w:t>——某点叠加后的总声压级dB(A)</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1325" w:firstLineChars="502"/>
              <w:textAlignment w:val="auto"/>
              <w:outlineLvl w:val="9"/>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pacing w:val="12"/>
                <w:sz w:val="24"/>
                <w14:textFill>
                  <w14:solidFill>
                    <w14:schemeClr w14:val="tx1"/>
                  </w14:solidFill>
                </w14:textFill>
              </w:rPr>
              <w:t>Li——第i个参与合成的声压级强度，dB（A）。</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textAlignment w:val="auto"/>
              <w:outlineLvl w:val="9"/>
              <w:rPr>
                <w:rFonts w:hint="default" w:ascii="Times New Roman" w:hAnsi="Times New Roman" w:eastAsia="宋体" w:cs="Times New Roman"/>
                <w:bCs/>
                <w:color w:val="000000" w:themeColor="text1"/>
                <w:sz w:val="24"/>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预测主要施工机械在不同距离贡献值，预测结果见</w:t>
            </w:r>
            <w:r>
              <w:rPr>
                <w:rFonts w:hint="default" w:ascii="Times New Roman" w:hAnsi="Times New Roman" w:eastAsia="宋体" w:cs="Times New Roman"/>
                <w:bCs/>
                <w:color w:val="000000" w:themeColor="text1"/>
                <w:sz w:val="24"/>
                <w:lang w:eastAsia="zh-CN"/>
                <w14:textFill>
                  <w14:solidFill>
                    <w14:schemeClr w14:val="tx1"/>
                  </w14:solidFill>
                </w14:textFill>
              </w:rPr>
              <w:t>下</w:t>
            </w:r>
            <w:r>
              <w:rPr>
                <w:rFonts w:hint="default" w:ascii="Times New Roman" w:hAnsi="Times New Roman" w:eastAsia="宋体" w:cs="Times New Roman"/>
                <w:bCs/>
                <w:color w:val="000000" w:themeColor="text1"/>
                <w:sz w:val="24"/>
                <w14:textFill>
                  <w14:solidFill>
                    <w14:schemeClr w14:val="tx1"/>
                  </w14:solidFill>
                </w14:textFill>
              </w:rPr>
              <w:t>表。</w:t>
            </w: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val="0"/>
                <w:color w:val="000000" w:themeColor="text1"/>
                <w:sz w:val="21"/>
                <w:szCs w:val="21"/>
                <w14:textFill>
                  <w14:solidFill>
                    <w14:schemeClr w14:val="tx1"/>
                  </w14:solidFill>
                </w14:textFill>
              </w:rPr>
            </w:pPr>
            <w:r>
              <w:rPr>
                <w:rFonts w:hint="default" w:ascii="Times New Roman" w:hAnsi="Times New Roman" w:eastAsia="宋体" w:cs="Times New Roman"/>
                <w:b/>
                <w:bCs w:val="0"/>
                <w:color w:val="000000" w:themeColor="text1"/>
                <w:sz w:val="21"/>
                <w:szCs w:val="21"/>
                <w14:textFill>
                  <w14:solidFill>
                    <w14:schemeClr w14:val="tx1"/>
                  </w14:solidFill>
                </w14:textFill>
              </w:rPr>
              <w:t>各主要施工机械在不同距离处的贡献值</w:t>
            </w:r>
          </w:p>
          <w:tbl>
            <w:tblPr>
              <w:tblStyle w:val="16"/>
              <w:tblW w:w="7817"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76"/>
              <w:gridCol w:w="1001"/>
              <w:gridCol w:w="502"/>
              <w:gridCol w:w="636"/>
              <w:gridCol w:w="605"/>
              <w:gridCol w:w="605"/>
              <w:gridCol w:w="627"/>
              <w:gridCol w:w="605"/>
              <w:gridCol w:w="605"/>
              <w:gridCol w:w="713"/>
              <w:gridCol w:w="713"/>
              <w:gridCol w:w="72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restart"/>
                  <w:tcBorders>
                    <w:top w:val="single" w:color="auto" w:sz="4" w:space="0"/>
                    <w:left w:val="single" w:color="auto" w:sz="4" w:space="0"/>
                    <w:bottom w:val="single" w:color="auto" w:sz="4" w:space="0"/>
                  </w:tcBorders>
                  <w:tcMar>
                    <w:left w:w="57" w:type="dxa"/>
                    <w:right w:w="57" w:type="dxa"/>
                  </w:tcMar>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序</w:t>
                  </w:r>
                </w:p>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号</w:t>
                  </w:r>
                </w:p>
              </w:tc>
              <w:tc>
                <w:tcPr>
                  <w:tcW w:w="1001" w:type="dxa"/>
                  <w:vMerge w:val="restart"/>
                  <w:tcBorders>
                    <w:top w:val="single" w:color="auto" w:sz="4" w:space="0"/>
                    <w:bottom w:val="single" w:color="auto" w:sz="4" w:space="0"/>
                  </w:tcBorders>
                  <w:tcMar>
                    <w:left w:w="57" w:type="dxa"/>
                    <w:right w:w="57" w:type="dxa"/>
                  </w:tcMar>
                  <w:vAlign w:val="center"/>
                </w:tcPr>
                <w:p>
                  <w:pPr>
                    <w:pStyle w:val="10"/>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施 工</w:t>
                  </w:r>
                </w:p>
                <w:p>
                  <w:pPr>
                    <w:pStyle w:val="10"/>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阶 段</w:t>
                  </w:r>
                </w:p>
              </w:tc>
              <w:tc>
                <w:tcPr>
                  <w:tcW w:w="6340" w:type="dxa"/>
                  <w:gridSpan w:val="10"/>
                  <w:tcBorders>
                    <w:top w:val="single" w:color="auto" w:sz="4" w:space="0"/>
                    <w:bottom w:val="single" w:color="auto" w:sz="4" w:space="0"/>
                    <w:right w:val="single" w:color="auto" w:sz="4" w:space="0"/>
                  </w:tcBorders>
                  <w:tcMar>
                    <w:left w:w="57" w:type="dxa"/>
                    <w:right w:w="57" w:type="dxa"/>
                  </w:tcMar>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不同距离处的噪声预测（dB(A)）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dxa"/>
                  <w:vMerge w:val="continue"/>
                  <w:tcBorders>
                    <w:top w:val="single" w:color="auto" w:sz="4" w:space="0"/>
                    <w:left w:val="single" w:color="auto" w:sz="4" w:space="0"/>
                    <w:bottom w:val="single" w:color="auto" w:sz="4" w:space="0"/>
                  </w:tcBorders>
                  <w:tcMar>
                    <w:left w:w="57" w:type="dxa"/>
                    <w:right w:w="57" w:type="dxa"/>
                  </w:tcMar>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1001" w:type="dxa"/>
                  <w:vMerge w:val="continue"/>
                  <w:tcBorders>
                    <w:top w:val="single" w:color="auto" w:sz="4" w:space="0"/>
                    <w:bottom w:val="single" w:color="auto" w:sz="4" w:space="0"/>
                  </w:tcBorders>
                  <w:tcMar>
                    <w:left w:w="57" w:type="dxa"/>
                    <w:right w:w="57" w:type="dxa"/>
                  </w:tcMar>
                  <w:vAlign w:val="center"/>
                </w:tcPr>
                <w:p>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p>
              </w:tc>
              <w:tc>
                <w:tcPr>
                  <w:tcW w:w="502" w:type="dxa"/>
                  <w:tcBorders>
                    <w:top w:val="single" w:color="auto" w:sz="4" w:space="0"/>
                    <w:bottom w:val="single" w:color="auto" w:sz="4" w:space="0"/>
                  </w:tcBorders>
                  <w:tcMar>
                    <w:left w:w="57" w:type="dxa"/>
                    <w:right w:w="57" w:type="dxa"/>
                  </w:tcMar>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1m</w:t>
                  </w:r>
                </w:p>
              </w:tc>
              <w:tc>
                <w:tcPr>
                  <w:tcW w:w="636"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5m</w:t>
                  </w:r>
                </w:p>
              </w:tc>
              <w:tc>
                <w:tcPr>
                  <w:tcW w:w="605"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10m</w:t>
                  </w:r>
                </w:p>
              </w:tc>
              <w:tc>
                <w:tcPr>
                  <w:tcW w:w="605"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20m</w:t>
                  </w:r>
                </w:p>
              </w:tc>
              <w:tc>
                <w:tcPr>
                  <w:tcW w:w="627"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30m</w:t>
                  </w:r>
                </w:p>
              </w:tc>
              <w:tc>
                <w:tcPr>
                  <w:tcW w:w="605"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40m</w:t>
                  </w:r>
                </w:p>
              </w:tc>
              <w:tc>
                <w:tcPr>
                  <w:tcW w:w="605"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50m</w:t>
                  </w:r>
                </w:p>
              </w:tc>
              <w:tc>
                <w:tcPr>
                  <w:tcW w:w="713"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100m</w:t>
                  </w:r>
                </w:p>
              </w:tc>
              <w:tc>
                <w:tcPr>
                  <w:tcW w:w="713"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150m</w:t>
                  </w:r>
                </w:p>
              </w:tc>
              <w:tc>
                <w:tcPr>
                  <w:tcW w:w="729" w:type="dxa"/>
                  <w:tcBorders>
                    <w:top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200m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dxa"/>
                  <w:tcBorders>
                    <w:top w:val="single" w:color="auto" w:sz="4" w:space="0"/>
                    <w:left w:val="single" w:color="auto" w:sz="4" w:space="0"/>
                    <w:bottom w:val="single" w:color="auto" w:sz="4" w:space="0"/>
                  </w:tcBorders>
                  <w:tcMar>
                    <w:left w:w="57" w:type="dxa"/>
                    <w:right w:w="57" w:type="dxa"/>
                  </w:tcMar>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1</w:t>
                  </w:r>
                </w:p>
              </w:tc>
              <w:tc>
                <w:tcPr>
                  <w:tcW w:w="1001" w:type="dxa"/>
                  <w:tcBorders>
                    <w:top w:val="single" w:color="auto" w:sz="4" w:space="0"/>
                    <w:bottom w:val="single" w:color="auto" w:sz="4" w:space="0"/>
                  </w:tcBorders>
                  <w:tcMar>
                    <w:left w:w="57" w:type="dxa"/>
                    <w:right w:w="57" w:type="dxa"/>
                  </w:tcMar>
                  <w:vAlign w:val="center"/>
                </w:tcPr>
                <w:p>
                  <w:pPr>
                    <w:pStyle w:val="2"/>
                    <w:keepNext w:val="0"/>
                    <w:keepLines w:val="0"/>
                    <w:pageBreakBefore w:val="0"/>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场地平整</w:t>
                  </w:r>
                </w:p>
              </w:tc>
              <w:tc>
                <w:tcPr>
                  <w:tcW w:w="502" w:type="dxa"/>
                  <w:tcBorders>
                    <w:top w:val="single" w:color="auto" w:sz="4" w:space="0"/>
                    <w:bottom w:val="single" w:color="auto" w:sz="4" w:space="0"/>
                  </w:tcBorders>
                  <w:tcMar>
                    <w:left w:w="57" w:type="dxa"/>
                    <w:right w:w="57" w:type="dxa"/>
                  </w:tcMar>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87.7</w:t>
                  </w:r>
                </w:p>
              </w:tc>
              <w:tc>
                <w:tcPr>
                  <w:tcW w:w="636"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73.7</w:t>
                  </w:r>
                </w:p>
              </w:tc>
              <w:tc>
                <w:tcPr>
                  <w:tcW w:w="605"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color w:val="000000" w:themeColor="text1"/>
                      <w:sz w:val="21"/>
                      <w:szCs w:val="21"/>
                      <w:u w:val="none"/>
                      <w14:textFill>
                        <w14:solidFill>
                          <w14:schemeClr w14:val="tx1"/>
                        </w14:solidFill>
                      </w14:textFill>
                    </w:rPr>
                  </w:pPr>
                  <w:r>
                    <w:rPr>
                      <w:rFonts w:hint="default" w:ascii="Times New Roman" w:hAnsi="Times New Roman" w:eastAsia="宋体" w:cs="Times New Roman"/>
                      <w:b w:val="0"/>
                      <w:bCs/>
                      <w:color w:val="000000" w:themeColor="text1"/>
                      <w:sz w:val="21"/>
                      <w:szCs w:val="21"/>
                      <w:u w:val="none"/>
                      <w14:textFill>
                        <w14:solidFill>
                          <w14:schemeClr w14:val="tx1"/>
                        </w14:solidFill>
                      </w14:textFill>
                    </w:rPr>
                    <w:t>67.7</w:t>
                  </w:r>
                </w:p>
              </w:tc>
              <w:tc>
                <w:tcPr>
                  <w:tcW w:w="605"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color w:val="000000" w:themeColor="text1"/>
                      <w:sz w:val="21"/>
                      <w:szCs w:val="21"/>
                      <w:u w:val="none"/>
                      <w14:textFill>
                        <w14:solidFill>
                          <w14:schemeClr w14:val="tx1"/>
                        </w14:solidFill>
                      </w14:textFill>
                    </w:rPr>
                  </w:pPr>
                  <w:r>
                    <w:rPr>
                      <w:rFonts w:hint="default" w:ascii="Times New Roman" w:hAnsi="Times New Roman" w:eastAsia="宋体" w:cs="Times New Roman"/>
                      <w:b w:val="0"/>
                      <w:bCs/>
                      <w:color w:val="000000" w:themeColor="text1"/>
                      <w:sz w:val="21"/>
                      <w:szCs w:val="21"/>
                      <w:u w:val="none"/>
                      <w14:textFill>
                        <w14:solidFill>
                          <w14:schemeClr w14:val="tx1"/>
                        </w14:solidFill>
                      </w14:textFill>
                    </w:rPr>
                    <w:t>61.7</w:t>
                  </w:r>
                </w:p>
              </w:tc>
              <w:tc>
                <w:tcPr>
                  <w:tcW w:w="627"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58.2</w:t>
                  </w:r>
                </w:p>
              </w:tc>
              <w:tc>
                <w:tcPr>
                  <w:tcW w:w="605"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55.7</w:t>
                  </w:r>
                </w:p>
              </w:tc>
              <w:tc>
                <w:tcPr>
                  <w:tcW w:w="605"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i/>
                      <w:color w:val="000000" w:themeColor="text1"/>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z w:val="21"/>
                      <w:szCs w:val="21"/>
                      <w14:textFill>
                        <w14:solidFill>
                          <w14:schemeClr w14:val="tx1"/>
                        </w14:solidFill>
                      </w14:textFill>
                    </w:rPr>
                    <w:t>53.7</w:t>
                  </w:r>
                </w:p>
              </w:tc>
              <w:tc>
                <w:tcPr>
                  <w:tcW w:w="713"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color w:val="000000" w:themeColor="text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14:textFill>
                        <w14:solidFill>
                          <w14:schemeClr w14:val="tx1"/>
                        </w14:solidFill>
                      </w14:textFill>
                    </w:rPr>
                    <w:t>47.7</w:t>
                  </w:r>
                </w:p>
              </w:tc>
              <w:tc>
                <w:tcPr>
                  <w:tcW w:w="713"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44.2</w:t>
                  </w:r>
                </w:p>
              </w:tc>
              <w:tc>
                <w:tcPr>
                  <w:tcW w:w="729" w:type="dxa"/>
                  <w:tcBorders>
                    <w:top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41.7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6" w:type="dxa"/>
                  <w:tcBorders>
                    <w:top w:val="single" w:color="auto" w:sz="4" w:space="0"/>
                    <w:left w:val="single" w:color="auto" w:sz="4" w:space="0"/>
                    <w:bottom w:val="single" w:color="auto" w:sz="4" w:space="0"/>
                  </w:tcBorders>
                  <w:tcMar>
                    <w:left w:w="57" w:type="dxa"/>
                    <w:right w:w="57" w:type="dxa"/>
                  </w:tcMar>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z w:val="21"/>
                      <w:szCs w:val="21"/>
                      <w:lang w:eastAsia="zh-CN"/>
                      <w14:textFill>
                        <w14:solidFill>
                          <w14:schemeClr w14:val="tx1"/>
                        </w14:solidFill>
                      </w14:textFill>
                    </w:rPr>
                  </w:pPr>
                  <w:r>
                    <w:rPr>
                      <w:rFonts w:hint="default" w:ascii="Times New Roman" w:hAnsi="Times New Roman" w:eastAsia="宋体" w:cs="Times New Roman"/>
                      <w:bCs/>
                      <w:color w:val="000000" w:themeColor="text1"/>
                      <w:sz w:val="21"/>
                      <w:szCs w:val="21"/>
                      <w:lang w:val="en-US" w:eastAsia="zh-CN"/>
                      <w14:textFill>
                        <w14:solidFill>
                          <w14:schemeClr w14:val="tx1"/>
                        </w14:solidFill>
                      </w14:textFill>
                    </w:rPr>
                    <w:t>2</w:t>
                  </w:r>
                </w:p>
              </w:tc>
              <w:tc>
                <w:tcPr>
                  <w:tcW w:w="1001" w:type="dxa"/>
                  <w:tcBorders>
                    <w:top w:val="single" w:color="auto" w:sz="4" w:space="0"/>
                    <w:bottom w:val="single" w:color="auto" w:sz="4" w:space="0"/>
                  </w:tcBorders>
                  <w:tcMar>
                    <w:left w:w="57" w:type="dxa"/>
                    <w:right w:w="57" w:type="dxa"/>
                  </w:tcMar>
                  <w:vAlign w:val="center"/>
                </w:tcPr>
                <w:p>
                  <w:pPr>
                    <w:pStyle w:val="2"/>
                    <w:keepNext w:val="0"/>
                    <w:keepLines w:val="0"/>
                    <w:pageBreakBefore w:val="0"/>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结构</w:t>
                  </w:r>
                </w:p>
              </w:tc>
              <w:tc>
                <w:tcPr>
                  <w:tcW w:w="502" w:type="dxa"/>
                  <w:tcBorders>
                    <w:top w:val="single" w:color="auto" w:sz="4" w:space="0"/>
                    <w:bottom w:val="single" w:color="auto" w:sz="4" w:space="0"/>
                  </w:tcBorders>
                  <w:tcMar>
                    <w:left w:w="57" w:type="dxa"/>
                    <w:right w:w="57" w:type="dxa"/>
                  </w:tcMar>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pacing w:val="-10"/>
                      <w:sz w:val="21"/>
                      <w:szCs w:val="21"/>
                      <w14:textFill>
                        <w14:solidFill>
                          <w14:schemeClr w14:val="tx1"/>
                        </w14:solidFill>
                      </w14:textFill>
                    </w:rPr>
                  </w:pPr>
                  <w:r>
                    <w:rPr>
                      <w:rFonts w:hint="default" w:ascii="Times New Roman" w:hAnsi="Times New Roman" w:eastAsia="宋体" w:cs="Times New Roman"/>
                      <w:bCs/>
                      <w:color w:val="000000" w:themeColor="text1"/>
                      <w:spacing w:val="-10"/>
                      <w:sz w:val="21"/>
                      <w:szCs w:val="21"/>
                      <w14:textFill>
                        <w14:solidFill>
                          <w14:schemeClr w14:val="tx1"/>
                        </w14:solidFill>
                      </w14:textFill>
                    </w:rPr>
                    <w:t>94.2</w:t>
                  </w:r>
                </w:p>
              </w:tc>
              <w:tc>
                <w:tcPr>
                  <w:tcW w:w="636"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pacing w:val="-10"/>
                      <w:sz w:val="21"/>
                      <w:szCs w:val="21"/>
                      <w14:textFill>
                        <w14:solidFill>
                          <w14:schemeClr w14:val="tx1"/>
                        </w14:solidFill>
                      </w14:textFill>
                    </w:rPr>
                  </w:pPr>
                  <w:r>
                    <w:rPr>
                      <w:rFonts w:hint="default" w:ascii="Times New Roman" w:hAnsi="Times New Roman" w:eastAsia="宋体" w:cs="Times New Roman"/>
                      <w:bCs/>
                      <w:color w:val="000000" w:themeColor="text1"/>
                      <w:spacing w:val="-10"/>
                      <w:sz w:val="21"/>
                      <w:szCs w:val="21"/>
                      <w14:textFill>
                        <w14:solidFill>
                          <w14:schemeClr w14:val="tx1"/>
                        </w14:solidFill>
                      </w14:textFill>
                    </w:rPr>
                    <w:t>80.2</w:t>
                  </w:r>
                </w:p>
              </w:tc>
              <w:tc>
                <w:tcPr>
                  <w:tcW w:w="605"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color w:val="000000" w:themeColor="text1"/>
                      <w:spacing w:val="-10"/>
                      <w:sz w:val="21"/>
                      <w:szCs w:val="21"/>
                      <w:u w:val="none"/>
                      <w14:textFill>
                        <w14:solidFill>
                          <w14:schemeClr w14:val="tx1"/>
                        </w14:solidFill>
                      </w14:textFill>
                    </w:rPr>
                  </w:pPr>
                  <w:r>
                    <w:rPr>
                      <w:rFonts w:hint="default" w:ascii="Times New Roman" w:hAnsi="Times New Roman" w:eastAsia="宋体" w:cs="Times New Roman"/>
                      <w:b w:val="0"/>
                      <w:bCs/>
                      <w:color w:val="000000" w:themeColor="text1"/>
                      <w:spacing w:val="-10"/>
                      <w:sz w:val="21"/>
                      <w:szCs w:val="21"/>
                      <w:u w:val="none"/>
                      <w14:textFill>
                        <w14:solidFill>
                          <w14:schemeClr w14:val="tx1"/>
                        </w14:solidFill>
                      </w14:textFill>
                    </w:rPr>
                    <w:t>74.2</w:t>
                  </w:r>
                </w:p>
              </w:tc>
              <w:tc>
                <w:tcPr>
                  <w:tcW w:w="605"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color w:val="000000" w:themeColor="text1"/>
                      <w:spacing w:val="-10"/>
                      <w:sz w:val="21"/>
                      <w:szCs w:val="21"/>
                      <w:u w:val="none"/>
                      <w14:textFill>
                        <w14:solidFill>
                          <w14:schemeClr w14:val="tx1"/>
                        </w14:solidFill>
                      </w14:textFill>
                    </w:rPr>
                  </w:pPr>
                  <w:r>
                    <w:rPr>
                      <w:rFonts w:hint="default" w:ascii="Times New Roman" w:hAnsi="Times New Roman" w:eastAsia="宋体" w:cs="Times New Roman"/>
                      <w:b w:val="0"/>
                      <w:bCs/>
                      <w:color w:val="000000" w:themeColor="text1"/>
                      <w:spacing w:val="-10"/>
                      <w:sz w:val="21"/>
                      <w:szCs w:val="21"/>
                      <w:u w:val="none"/>
                      <w14:textFill>
                        <w14:solidFill>
                          <w14:schemeClr w14:val="tx1"/>
                        </w14:solidFill>
                      </w14:textFill>
                    </w:rPr>
                    <w:t>68.2</w:t>
                  </w:r>
                </w:p>
              </w:tc>
              <w:tc>
                <w:tcPr>
                  <w:tcW w:w="627"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pacing w:val="-10"/>
                      <w:sz w:val="21"/>
                      <w:szCs w:val="21"/>
                      <w14:textFill>
                        <w14:solidFill>
                          <w14:schemeClr w14:val="tx1"/>
                        </w14:solidFill>
                      </w14:textFill>
                    </w:rPr>
                  </w:pPr>
                  <w:r>
                    <w:rPr>
                      <w:rFonts w:hint="default" w:ascii="Times New Roman" w:hAnsi="Times New Roman" w:eastAsia="宋体" w:cs="Times New Roman"/>
                      <w:bCs/>
                      <w:color w:val="000000" w:themeColor="text1"/>
                      <w:spacing w:val="-10"/>
                      <w:sz w:val="21"/>
                      <w:szCs w:val="21"/>
                      <w14:textFill>
                        <w14:solidFill>
                          <w14:schemeClr w14:val="tx1"/>
                        </w14:solidFill>
                      </w14:textFill>
                    </w:rPr>
                    <w:t>64.7</w:t>
                  </w:r>
                </w:p>
              </w:tc>
              <w:tc>
                <w:tcPr>
                  <w:tcW w:w="605"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pacing w:val="-10"/>
                      <w:sz w:val="21"/>
                      <w:szCs w:val="21"/>
                      <w14:textFill>
                        <w14:solidFill>
                          <w14:schemeClr w14:val="tx1"/>
                        </w14:solidFill>
                      </w14:textFill>
                    </w:rPr>
                  </w:pPr>
                  <w:r>
                    <w:rPr>
                      <w:rFonts w:hint="default" w:ascii="Times New Roman" w:hAnsi="Times New Roman" w:eastAsia="宋体" w:cs="Times New Roman"/>
                      <w:bCs/>
                      <w:color w:val="000000" w:themeColor="text1"/>
                      <w:spacing w:val="-10"/>
                      <w:sz w:val="21"/>
                      <w:szCs w:val="21"/>
                      <w14:textFill>
                        <w14:solidFill>
                          <w14:schemeClr w14:val="tx1"/>
                        </w14:solidFill>
                      </w14:textFill>
                    </w:rPr>
                    <w:t>62.2</w:t>
                  </w:r>
                </w:p>
              </w:tc>
              <w:tc>
                <w:tcPr>
                  <w:tcW w:w="605"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color w:val="000000" w:themeColor="text1"/>
                      <w:spacing w:val="-10"/>
                      <w:sz w:val="21"/>
                      <w:szCs w:val="21"/>
                      <w14:textFill>
                        <w14:solidFill>
                          <w14:schemeClr w14:val="tx1"/>
                        </w14:solidFill>
                      </w14:textFill>
                    </w:rPr>
                  </w:pPr>
                  <w:r>
                    <w:rPr>
                      <w:rFonts w:hint="default" w:ascii="Times New Roman" w:hAnsi="Times New Roman" w:eastAsia="宋体" w:cs="Times New Roman"/>
                      <w:b w:val="0"/>
                      <w:bCs/>
                      <w:color w:val="000000" w:themeColor="text1"/>
                      <w:spacing w:val="-10"/>
                      <w:sz w:val="21"/>
                      <w:szCs w:val="21"/>
                      <w14:textFill>
                        <w14:solidFill>
                          <w14:schemeClr w14:val="tx1"/>
                        </w14:solidFill>
                      </w14:textFill>
                    </w:rPr>
                    <w:t>60.2</w:t>
                  </w:r>
                </w:p>
              </w:tc>
              <w:tc>
                <w:tcPr>
                  <w:tcW w:w="713"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i/>
                      <w:color w:val="000000" w:themeColor="text1"/>
                      <w:spacing w:val="-10"/>
                      <w:sz w:val="21"/>
                      <w:szCs w:val="21"/>
                      <w14:textFill>
                        <w14:solidFill>
                          <w14:schemeClr w14:val="tx1"/>
                        </w14:solidFill>
                      </w14:textFill>
                    </w:rPr>
                  </w:pPr>
                  <w:r>
                    <w:rPr>
                      <w:rFonts w:hint="default" w:ascii="Times New Roman" w:hAnsi="Times New Roman" w:eastAsia="宋体" w:cs="Times New Roman"/>
                      <w:b w:val="0"/>
                      <w:bCs/>
                      <w:i w:val="0"/>
                      <w:iCs/>
                      <w:color w:val="000000" w:themeColor="text1"/>
                      <w:spacing w:val="-10"/>
                      <w:sz w:val="21"/>
                      <w:szCs w:val="21"/>
                      <w14:textFill>
                        <w14:solidFill>
                          <w14:schemeClr w14:val="tx1"/>
                        </w14:solidFill>
                      </w14:textFill>
                    </w:rPr>
                    <w:t>54.2</w:t>
                  </w:r>
                </w:p>
              </w:tc>
              <w:tc>
                <w:tcPr>
                  <w:tcW w:w="713" w:type="dxa"/>
                  <w:tcBorders>
                    <w:top w:val="single" w:color="auto" w:sz="4" w:space="0"/>
                    <w:bottom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pacing w:val="-10"/>
                      <w:sz w:val="21"/>
                      <w:szCs w:val="21"/>
                      <w14:textFill>
                        <w14:solidFill>
                          <w14:schemeClr w14:val="tx1"/>
                        </w14:solidFill>
                      </w14:textFill>
                    </w:rPr>
                  </w:pPr>
                  <w:r>
                    <w:rPr>
                      <w:rFonts w:hint="default" w:ascii="Times New Roman" w:hAnsi="Times New Roman" w:eastAsia="宋体" w:cs="Times New Roman"/>
                      <w:bCs/>
                      <w:color w:val="000000" w:themeColor="text1"/>
                      <w:spacing w:val="-10"/>
                      <w:sz w:val="21"/>
                      <w:szCs w:val="21"/>
                      <w14:textFill>
                        <w14:solidFill>
                          <w14:schemeClr w14:val="tx1"/>
                        </w14:solidFill>
                      </w14:textFill>
                    </w:rPr>
                    <w:t>50.7</w:t>
                  </w:r>
                </w:p>
              </w:tc>
              <w:tc>
                <w:tcPr>
                  <w:tcW w:w="729" w:type="dxa"/>
                  <w:tcBorders>
                    <w:top w:val="single" w:color="auto" w:sz="4" w:space="0"/>
                    <w:bottom w:val="single" w:color="auto" w:sz="4" w:space="0"/>
                    <w:right w:val="single" w:color="auto" w:sz="4" w:space="0"/>
                  </w:tcBorders>
                  <w:vAlign w:val="center"/>
                </w:tcPr>
                <w:p>
                  <w:pPr>
                    <w:keepNext w:val="0"/>
                    <w:keepLines w:val="0"/>
                    <w:pageBreakBefore w:val="0"/>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Cs/>
                      <w:color w:val="000000" w:themeColor="text1"/>
                      <w:spacing w:val="-10"/>
                      <w:sz w:val="21"/>
                      <w:szCs w:val="21"/>
                      <w14:textFill>
                        <w14:solidFill>
                          <w14:schemeClr w14:val="tx1"/>
                        </w14:solidFill>
                      </w14:textFill>
                    </w:rPr>
                  </w:pPr>
                  <w:r>
                    <w:rPr>
                      <w:rFonts w:hint="default" w:ascii="Times New Roman" w:hAnsi="Times New Roman" w:eastAsia="宋体" w:cs="Times New Roman"/>
                      <w:bCs/>
                      <w:color w:val="000000" w:themeColor="text1"/>
                      <w:spacing w:val="-10"/>
                      <w:sz w:val="21"/>
                      <w:szCs w:val="21"/>
                      <w14:textFill>
                        <w14:solidFill>
                          <w14:schemeClr w14:val="tx1"/>
                        </w14:solidFill>
                      </w14:textFill>
                    </w:rPr>
                    <w:t>48.2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817" w:type="dxa"/>
                  <w:gridSpan w:val="12"/>
                  <w:tcBorders>
                    <w:top w:val="single" w:color="auto" w:sz="4" w:space="0"/>
                    <w:left w:val="single" w:color="auto" w:sz="4" w:space="0"/>
                    <w:bottom w:val="single" w:color="auto" w:sz="4" w:space="0"/>
                    <w:right w:val="single" w:color="auto" w:sz="4" w:space="0"/>
                  </w:tcBorders>
                  <w:tcMar>
                    <w:left w:w="57" w:type="dxa"/>
                    <w:right w:w="57" w:type="dxa"/>
                  </w:tcMar>
                  <w:vAlign w:val="center"/>
                </w:tcPr>
                <w:p>
                  <w:pPr>
                    <w:pStyle w:val="10"/>
                    <w:keepNext w:val="0"/>
                    <w:keepLines w:val="0"/>
                    <w:pageBreakBefore w:val="0"/>
                    <w:kinsoku/>
                    <w:wordWrap/>
                    <w:overflowPunct/>
                    <w:topLinePunct w:val="0"/>
                    <w:autoSpaceDE/>
                    <w:autoSpaceDN/>
                    <w:bidi w:val="0"/>
                    <w:adjustRightInd/>
                    <w:snapToGrid/>
                    <w:spacing w:line="360" w:lineRule="exact"/>
                    <w:jc w:val="left"/>
                    <w:textAlignment w:val="auto"/>
                    <w:rPr>
                      <w:rFonts w:hint="default" w:ascii="Times New Roman" w:hAnsi="Times New Roman" w:eastAsia="宋体" w:cs="Times New Roman"/>
                      <w:bCs/>
                      <w:color w:val="000000" w:themeColor="text1"/>
                      <w:sz w:val="21"/>
                      <w:szCs w:val="21"/>
                      <w14:textFill>
                        <w14:solidFill>
                          <w14:schemeClr w14:val="tx1"/>
                        </w14:solidFill>
                      </w14:textFill>
                    </w:rPr>
                  </w:pPr>
                  <w:r>
                    <w:rPr>
                      <w:rFonts w:hint="default" w:ascii="Times New Roman" w:hAnsi="Times New Roman" w:eastAsia="宋体" w:cs="Times New Roman"/>
                      <w:bCs/>
                      <w:color w:val="000000" w:themeColor="text1"/>
                      <w:sz w:val="21"/>
                      <w:szCs w:val="21"/>
                      <w14:textFill>
                        <w14:solidFill>
                          <w14:schemeClr w14:val="tx1"/>
                        </w14:solidFill>
                      </w14:textFill>
                    </w:rPr>
                    <w:t>注：划线的数据为其昼间达标距离对应的噪声值，斜体加粗的数据为夜间达标距离对应的噪声值。</w:t>
                  </w:r>
                </w:p>
              </w:tc>
            </w:tr>
          </w:tbl>
          <w:p>
            <w:pPr>
              <w:pStyle w:val="38"/>
              <w:keepNext w:val="0"/>
              <w:keepLines w:val="0"/>
              <w:pageBreakBefore w:val="0"/>
              <w:widowControl w:val="0"/>
              <w:kinsoku/>
              <w:wordWrap/>
              <w:overflowPunct/>
              <w:topLinePunct w:val="0"/>
              <w:autoSpaceDE/>
              <w:autoSpaceDN/>
              <w:bidi w:val="0"/>
              <w:adjustRightInd/>
              <w:snapToGrid/>
              <w:spacing w:line="360" w:lineRule="auto"/>
              <w:ind w:firstLineChars="200"/>
              <w:rPr>
                <w:rFonts w:hint="default" w:ascii="Times New Roman" w:hAnsi="Times New Roman" w:eastAsia="宋体" w:cs="Times New Roman"/>
                <w:b/>
                <w:color w:val="000000" w:themeColor="text1"/>
                <w:szCs w:val="24"/>
                <w14:textFill>
                  <w14:solidFill>
                    <w14:schemeClr w14:val="tx1"/>
                  </w14:solidFill>
                </w14:textFill>
              </w:rPr>
            </w:pPr>
            <w:r>
              <w:rPr>
                <w:rFonts w:hint="default" w:ascii="Times New Roman" w:hAnsi="Times New Roman" w:eastAsia="宋体" w:cs="Times New Roman"/>
                <w:b/>
                <w:color w:val="000000" w:themeColor="text1"/>
                <w:szCs w:val="24"/>
                <w:lang w:val="en-US" w:eastAsia="zh-CN"/>
                <w14:textFill>
                  <w14:solidFill>
                    <w14:schemeClr w14:val="tx1"/>
                  </w14:solidFill>
                </w14:textFill>
              </w:rPr>
              <w:t>3</w:t>
            </w:r>
            <w:r>
              <w:rPr>
                <w:rFonts w:hint="default" w:ascii="Times New Roman" w:hAnsi="Times New Roman" w:eastAsia="宋体" w:cs="Times New Roman"/>
                <w:b/>
                <w:color w:val="000000" w:themeColor="text1"/>
                <w:szCs w:val="24"/>
                <w14:textFill>
                  <w14:solidFill>
                    <w14:schemeClr w14:val="tx1"/>
                  </w14:solidFill>
                </w14:textFill>
              </w:rPr>
              <w:t>.3影响分析及对策措施</w:t>
            </w:r>
          </w:p>
          <w:p>
            <w:pPr>
              <w:pStyle w:val="38"/>
              <w:keepNext w:val="0"/>
              <w:keepLines w:val="0"/>
              <w:pageBreakBefore w:val="0"/>
              <w:widowControl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bCs/>
                <w:color w:val="000000" w:themeColor="text1"/>
                <w:kern w:val="2"/>
                <w14:textFill>
                  <w14:solidFill>
                    <w14:schemeClr w14:val="tx1"/>
                  </w14:solidFill>
                </w14:textFill>
              </w:rPr>
            </w:pPr>
            <w:r>
              <w:rPr>
                <w:rFonts w:hint="default" w:ascii="Times New Roman" w:hAnsi="Times New Roman" w:eastAsia="宋体" w:cs="Times New Roman"/>
                <w:bCs/>
                <w:color w:val="000000" w:themeColor="text1"/>
                <w:sz w:val="24"/>
                <w14:textFill>
                  <w14:solidFill>
                    <w14:schemeClr w14:val="tx1"/>
                  </w14:solidFill>
                </w14:textFill>
              </w:rPr>
              <w:t>鉴于施工机械在施工现场内一定区域内移动，根据《建筑施工</w:t>
            </w:r>
            <w:r>
              <w:rPr>
                <w:rFonts w:hint="default" w:ascii="Times New Roman" w:hAnsi="Times New Roman" w:eastAsia="宋体" w:cs="Times New Roman"/>
                <w:bCs/>
                <w:color w:val="000000" w:themeColor="text1"/>
                <w:sz w:val="24"/>
                <w:lang w:val="en-US" w:eastAsia="zh-CN"/>
                <w14:textFill>
                  <w14:solidFill>
                    <w14:schemeClr w14:val="tx1"/>
                  </w14:solidFill>
                </w14:textFill>
              </w:rPr>
              <w:t>场</w:t>
            </w:r>
            <w:r>
              <w:rPr>
                <w:rFonts w:hint="default" w:ascii="Times New Roman" w:hAnsi="Times New Roman" w:eastAsia="宋体" w:cs="Times New Roman"/>
                <w:bCs/>
                <w:color w:val="000000" w:themeColor="text1"/>
                <w:sz w:val="24"/>
                <w:lang w:eastAsia="zh-CN"/>
                <w14:textFill>
                  <w14:solidFill>
                    <w14:schemeClr w14:val="tx1"/>
                  </w14:solidFill>
                </w14:textFill>
              </w:rPr>
              <w:t>界</w:t>
            </w:r>
            <w:r>
              <w:rPr>
                <w:rFonts w:hint="default" w:ascii="Times New Roman" w:hAnsi="Times New Roman" w:eastAsia="宋体" w:cs="Times New Roman"/>
                <w:bCs/>
                <w:color w:val="000000" w:themeColor="text1"/>
                <w:sz w:val="24"/>
                <w:lang w:val="en-US" w:eastAsia="zh-CN"/>
                <w14:textFill>
                  <w14:solidFill>
                    <w14:schemeClr w14:val="tx1"/>
                  </w14:solidFill>
                </w14:textFill>
              </w:rPr>
              <w:t>环境</w:t>
            </w:r>
            <w:r>
              <w:rPr>
                <w:rFonts w:hint="default" w:ascii="Times New Roman" w:hAnsi="Times New Roman" w:eastAsia="宋体" w:cs="Times New Roman"/>
                <w:bCs/>
                <w:color w:val="000000" w:themeColor="text1"/>
                <w:sz w:val="24"/>
                <w14:textFill>
                  <w14:solidFill>
                    <w14:schemeClr w14:val="tx1"/>
                  </w14:solidFill>
                </w14:textFill>
              </w:rPr>
              <w:t>噪声限值》（GB12523-</w:t>
            </w:r>
            <w:r>
              <w:rPr>
                <w:rFonts w:hint="default" w:ascii="Times New Roman" w:hAnsi="Times New Roman" w:eastAsia="宋体" w:cs="Times New Roman"/>
                <w:bCs/>
                <w:color w:val="000000" w:themeColor="text1"/>
                <w:sz w:val="24"/>
                <w:lang w:val="en-US" w:eastAsia="zh-CN"/>
                <w14:textFill>
                  <w14:solidFill>
                    <w14:schemeClr w14:val="tx1"/>
                  </w14:solidFill>
                </w14:textFill>
              </w:rPr>
              <w:t>2011</w:t>
            </w:r>
            <w:r>
              <w:rPr>
                <w:rFonts w:hint="default" w:ascii="Times New Roman" w:hAnsi="Times New Roman" w:eastAsia="宋体" w:cs="Times New Roman"/>
                <w:bCs/>
                <w:color w:val="000000" w:themeColor="text1"/>
                <w:sz w:val="24"/>
                <w14:textFill>
                  <w14:solidFill>
                    <w14:schemeClr w14:val="tx1"/>
                  </w14:solidFill>
                </w14:textFill>
              </w:rPr>
              <w:t>），施工现场噪声贡献值昼间20m、夜间100m处可达到施工</w:t>
            </w:r>
            <w:r>
              <w:rPr>
                <w:rFonts w:hint="default" w:ascii="Times New Roman" w:hAnsi="Times New Roman" w:eastAsia="宋体" w:cs="Times New Roman"/>
                <w:bCs/>
                <w:color w:val="000000" w:themeColor="text1"/>
                <w:sz w:val="24"/>
                <w:lang w:eastAsia="zh-CN"/>
                <w14:textFill>
                  <w14:solidFill>
                    <w14:schemeClr w14:val="tx1"/>
                  </w14:solidFill>
                </w14:textFill>
              </w:rPr>
              <w:t>厂界</w:t>
            </w:r>
            <w:r>
              <w:rPr>
                <w:rFonts w:hint="default" w:ascii="Times New Roman" w:hAnsi="Times New Roman" w:eastAsia="宋体" w:cs="Times New Roman"/>
                <w:bCs/>
                <w:color w:val="000000" w:themeColor="text1"/>
                <w:sz w:val="24"/>
                <w14:textFill>
                  <w14:solidFill>
                    <w14:schemeClr w14:val="tx1"/>
                  </w14:solidFill>
                </w14:textFill>
              </w:rPr>
              <w:t>噪声排放限值要求。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rPr>
                <w:rFonts w:hint="default" w:ascii="Times New Roman" w:hAnsi="Times New Roman" w:eastAsia="宋体" w:cs="Times New Roman"/>
                <w:b w:val="0"/>
                <w:bCs/>
                <w:color w:val="000000" w:themeColor="text1"/>
                <w:sz w:val="24"/>
                <w:u w:val="none"/>
                <w14:textFill>
                  <w14:solidFill>
                    <w14:schemeClr w14:val="tx1"/>
                  </w14:solidFill>
                </w14:textFill>
              </w:rPr>
            </w:pPr>
            <w:r>
              <w:rPr>
                <w:rFonts w:hint="default" w:ascii="Times New Roman" w:hAnsi="Times New Roman" w:eastAsia="宋体" w:cs="Times New Roman"/>
                <w:b w:val="0"/>
                <w:bCs/>
                <w:color w:val="000000" w:themeColor="text1"/>
                <w:sz w:val="24"/>
                <w:u w:val="none"/>
                <w14:textFill>
                  <w14:solidFill>
                    <w14:schemeClr w14:val="tx1"/>
                  </w14:solidFill>
                </w14:textFill>
              </w:rPr>
              <w:t>为进一步减轻施工噪声对周围环境的影响，建议采用如下措施控制施工噪声：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b w:val="0"/>
                <w:bCs/>
                <w:color w:val="000000" w:themeColor="text1"/>
                <w:sz w:val="24"/>
                <w:u w:val="none"/>
                <w14:textFill>
                  <w14:solidFill>
                    <w14:schemeClr w14:val="tx1"/>
                  </w14:solidFill>
                </w14:textFill>
              </w:rPr>
            </w:pPr>
            <w:r>
              <w:rPr>
                <w:rFonts w:hint="default" w:ascii="Times New Roman" w:hAnsi="Times New Roman" w:eastAsia="宋体" w:cs="Times New Roman"/>
                <w:b w:val="0"/>
                <w:bCs/>
                <w:color w:val="000000" w:themeColor="text1"/>
                <w:sz w:val="24"/>
                <w:u w:val="none"/>
                <w:lang w:eastAsia="zh-CN"/>
                <w14:textFill>
                  <w14:solidFill>
                    <w14:schemeClr w14:val="tx1"/>
                  </w14:solidFill>
                </w14:textFill>
              </w:rPr>
              <w:t>①</w:t>
            </w:r>
            <w:r>
              <w:rPr>
                <w:rFonts w:hint="default" w:ascii="Times New Roman" w:hAnsi="Times New Roman" w:eastAsia="宋体" w:cs="Times New Roman"/>
                <w:b w:val="0"/>
                <w:bCs/>
                <w:color w:val="000000" w:themeColor="text1"/>
                <w:sz w:val="24"/>
                <w:u w:val="none"/>
                <w14:textFill>
                  <w14:solidFill>
                    <w14:schemeClr w14:val="tx1"/>
                  </w14:solidFill>
                </w14:textFill>
              </w:rPr>
              <w:t>积极改进作业技术，采用先进设备与材料，降低作业噪声的产生量。如整体滑动模板的使用，可以大大减少模板作业噪声发生量与强度。尽量选用低噪声或备有消声降噪声的施工机械。现场混凝土振捣采用低噪音振动棒，操作时，不得振捣钢筋和模板，不得任意空振产生噪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b w:val="0"/>
                <w:bCs/>
                <w:color w:val="000000" w:themeColor="text1"/>
                <w:sz w:val="24"/>
                <w:u w:val="single"/>
                <w:lang w:eastAsia="zh-CN"/>
                <w14:textFill>
                  <w14:solidFill>
                    <w14:schemeClr w14:val="tx1"/>
                  </w14:solidFill>
                </w14:textFill>
              </w:rPr>
            </w:pPr>
            <w:r>
              <w:rPr>
                <w:rFonts w:hint="default" w:ascii="Times New Roman" w:hAnsi="Times New Roman" w:eastAsia="宋体" w:cs="Times New Roman"/>
                <w:b w:val="0"/>
                <w:bCs/>
                <w:color w:val="000000" w:themeColor="text1"/>
                <w:sz w:val="24"/>
                <w:u w:val="none"/>
                <w14:textFill>
                  <w14:solidFill>
                    <w14:schemeClr w14:val="tx1"/>
                  </w14:solidFill>
                </w14:textFill>
              </w:rPr>
              <w:t>②合理安排施工时间：施工单位应合理安排好施工时间，靠近敏感点处施工时，尽量缩短工期，尤其是在有敏感点分布的边界附近施工时，应尽快施工，避免造成长期影响。除特殊工艺要求经批准外，禁止高噪声设备在午休时间和夜间22:00至次日6:00作业</w:t>
            </w:r>
            <w:r>
              <w:rPr>
                <w:rFonts w:hint="default" w:ascii="Times New Roman" w:hAnsi="Times New Roman" w:eastAsia="宋体" w:cs="Times New Roman"/>
                <w:b w:val="0"/>
                <w:bCs/>
                <w:color w:val="000000" w:themeColor="text1"/>
                <w:sz w:val="24"/>
                <w:u w:val="none"/>
                <w:lang w:eastAsia="zh-CN"/>
                <w14:textFill>
                  <w14:solidFill>
                    <w14:schemeClr w14:val="tx1"/>
                  </w14:solidFill>
                </w14:textFill>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b w:val="0"/>
                <w:bCs/>
                <w:color w:val="000000" w:themeColor="text1"/>
                <w:sz w:val="24"/>
                <w:u w:val="none"/>
                <w14:textFill>
                  <w14:solidFill>
                    <w14:schemeClr w14:val="tx1"/>
                  </w14:solidFill>
                </w14:textFill>
              </w:rPr>
            </w:pPr>
            <w:r>
              <w:rPr>
                <w:rFonts w:hint="default" w:ascii="Times New Roman" w:hAnsi="Times New Roman" w:eastAsia="宋体" w:cs="Times New Roman"/>
                <w:b w:val="0"/>
                <w:bCs/>
                <w:color w:val="000000" w:themeColor="text1"/>
                <w:sz w:val="24"/>
                <w:u w:val="none"/>
                <w14:textFill>
                  <w14:solidFill>
                    <w14:schemeClr w14:val="tx1"/>
                  </w14:solidFill>
                </w14:textFill>
              </w:rPr>
              <w:t>③从声源上控制：施工机械产生的噪声往往具有突发、无规则、不连续和高强度等特点，施工单位应采取合理安排施工机械操作时间的方法加以缓解，并减少同时作业的高噪施工机械数量，尽可能减轻声源叠加影响。噪声机械设备尽量远离场界，特别是在基础施工阶段，电锯、电刨、砂轮锯等强噪声机械设备应远离场界，现场强噪声采用封闭式隔音棚。施工现场模板、钢管等维修清理时，严禁使用大锤敲打，钢材、木材等进出场装卸时，要轻拿轻放。模板、脚手架支设和拆除搬运时，必须轻拿轻放，上下左右有人传递，不得随意乱抛乱放。塔吊指挥配置对讲机，不用口哨，实现降噪，使施工噪声排放达标，以避免扰民。使用电锤、电钻打孔时，及时在钻头上加油或加水，砂轮锯切割作业区要采取遮挡措施，木工电锯的锯片上要及时刷油，以降低噪声。</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b w:val="0"/>
                <w:bCs/>
                <w:color w:val="000000" w:themeColor="text1"/>
                <w:sz w:val="24"/>
                <w:u w:val="none"/>
                <w14:textFill>
                  <w14:solidFill>
                    <w14:schemeClr w14:val="tx1"/>
                  </w14:solidFill>
                </w14:textFill>
              </w:rPr>
            </w:pPr>
            <w:r>
              <w:rPr>
                <w:rFonts w:hint="default" w:ascii="Times New Roman" w:hAnsi="Times New Roman" w:eastAsia="宋体" w:cs="Times New Roman"/>
                <w:b w:val="0"/>
                <w:bCs/>
                <w:color w:val="000000" w:themeColor="text1"/>
                <w:sz w:val="24"/>
                <w:u w:val="none"/>
                <w14:textFill>
                  <w14:solidFill>
                    <w14:schemeClr w14:val="tx1"/>
                  </w14:solidFill>
                </w14:textFill>
              </w:rPr>
              <w:t>④必须在施工场址边界设立围挡设施，高度不应小于2.5m，降低施工噪声对周围环境造成的影响。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b w:val="0"/>
                <w:bCs/>
                <w:color w:val="000000" w:themeColor="text1"/>
                <w:sz w:val="24"/>
                <w:u w:val="none"/>
                <w14:textFill>
                  <w14:solidFill>
                    <w14:schemeClr w14:val="tx1"/>
                  </w14:solidFill>
                </w14:textFill>
              </w:rPr>
            </w:pPr>
            <w:r>
              <w:rPr>
                <w:rFonts w:hint="default" w:ascii="Times New Roman" w:hAnsi="Times New Roman" w:eastAsia="宋体" w:cs="Times New Roman"/>
                <w:b w:val="0"/>
                <w:bCs/>
                <w:color w:val="000000" w:themeColor="text1"/>
                <w:sz w:val="24"/>
                <w:u w:val="none"/>
                <w14:textFill>
                  <w14:solidFill>
                    <w14:schemeClr w14:val="tx1"/>
                  </w14:solidFill>
                </w14:textFill>
              </w:rPr>
              <w:t>⑤施工场地的施工车辆出入地点设置在</w:t>
            </w:r>
            <w:r>
              <w:rPr>
                <w:rFonts w:hint="default" w:ascii="Times New Roman" w:hAnsi="Times New Roman" w:eastAsia="宋体" w:cs="Times New Roman"/>
                <w:b w:val="0"/>
                <w:bCs/>
                <w:color w:val="000000" w:themeColor="text1"/>
                <w:sz w:val="24"/>
                <w:u w:val="none"/>
                <w:lang w:eastAsia="zh-CN"/>
                <w14:textFill>
                  <w14:solidFill>
                    <w14:schemeClr w14:val="tx1"/>
                  </w14:solidFill>
                </w14:textFill>
              </w:rPr>
              <w:t>院区北门</w:t>
            </w:r>
            <w:r>
              <w:rPr>
                <w:rFonts w:hint="default" w:ascii="Times New Roman" w:hAnsi="Times New Roman" w:eastAsia="宋体" w:cs="Times New Roman"/>
                <w:b w:val="0"/>
                <w:bCs/>
                <w:color w:val="000000" w:themeColor="text1"/>
                <w:sz w:val="24"/>
                <w:u w:val="none"/>
                <w14:textFill>
                  <w14:solidFill>
                    <w14:schemeClr w14:val="tx1"/>
                  </w14:solidFill>
                </w14:textFill>
              </w:rPr>
              <w:t>，车辆出入现场时应低速、禁鸣，在环境敏感点100m范围内车辆行驶速度应限制在20km/h以内，以降低车辆运输噪声；对于施工期间的材料运输、敲击、人的喊叫等噪声源，要求施工单位文明施工、加强有效管理以缓解其影响。</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b w:val="0"/>
                <w:bCs/>
                <w:color w:val="000000" w:themeColor="text1"/>
                <w:sz w:val="24"/>
                <w:u w:val="none"/>
                <w14:textFill>
                  <w14:solidFill>
                    <w14:schemeClr w14:val="tx1"/>
                  </w14:solidFill>
                </w14:textFill>
              </w:rPr>
            </w:pPr>
            <w:r>
              <w:rPr>
                <w:rFonts w:hint="default" w:ascii="Times New Roman" w:hAnsi="Times New Roman" w:eastAsia="宋体" w:cs="Times New Roman"/>
                <w:b w:val="0"/>
                <w:bCs/>
                <w:color w:val="000000" w:themeColor="text1"/>
                <w:sz w:val="24"/>
                <w:u w:val="none"/>
                <w14:textFill>
                  <w14:solidFill>
                    <w14:schemeClr w14:val="tx1"/>
                  </w14:solidFill>
                </w14:textFill>
              </w:rPr>
              <w:t>⑥要求业主单位在施工现场标明投诉电话，一旦接到投诉，业主单位应及时与当地环保部门取得联系，以便及时处理环境纠纷。加强环保意识的宣传，采取有效措施控制人为噪声和施工噪声，严格管理，最大限度减少噪声扰民，保证周边敏感点居民的正常生活和休息。</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80" w:firstLineChars="200"/>
              <w:textAlignment w:val="auto"/>
              <w:rPr>
                <w:rFonts w:hint="default" w:ascii="Times New Roman" w:hAnsi="Times New Roman" w:eastAsia="宋体" w:cs="Times New Roman"/>
                <w:b w:val="0"/>
                <w:bCs/>
                <w:color w:val="000000" w:themeColor="text1"/>
                <w:sz w:val="24"/>
                <w:u w:val="none"/>
                <w:lang w:eastAsia="zh-CN"/>
                <w14:textFill>
                  <w14:solidFill>
                    <w14:schemeClr w14:val="tx1"/>
                  </w14:solidFill>
                </w14:textFill>
              </w:rPr>
            </w:pPr>
            <w:r>
              <w:rPr>
                <w:rFonts w:hint="default" w:ascii="Times New Roman" w:hAnsi="Times New Roman" w:eastAsia="宋体" w:cs="Times New Roman"/>
                <w:b w:val="0"/>
                <w:bCs/>
                <w:color w:val="000000" w:themeColor="text1"/>
                <w:sz w:val="24"/>
                <w:u w:val="none"/>
                <w14:textFill>
                  <w14:solidFill>
                    <w14:schemeClr w14:val="tx1"/>
                  </w14:solidFill>
                </w14:textFill>
              </w:rPr>
              <w:t>本项目施工期在采取上述治理及控制措施后，各类机械设备的施工噪声能从影响程度、影响时间及影响强度等方面得以一定程度的削减，由于建筑作业难以做到全封闭施工，因此本项目的建设施工仍将对周围环境造成一定的不利影响，但噪声属无残留污染，施工结束噪声污染也随之结束，周围声环境即可恢复至现状水平。因此建设单位和施工单位应对施工期的噪声污染防治引起重视，落实控制措施，尽可能将该影响控制在最低水平</w:t>
            </w:r>
            <w:r>
              <w:rPr>
                <w:rFonts w:hint="default" w:ascii="Times New Roman" w:hAnsi="Times New Roman" w:eastAsia="宋体" w:cs="Times New Roman"/>
                <w:b w:val="0"/>
                <w:bCs/>
                <w:color w:val="000000" w:themeColor="text1"/>
                <w:sz w:val="24"/>
                <w:u w:val="none"/>
                <w:lang w:eastAsia="zh-CN"/>
                <w14:textFill>
                  <w14:solidFill>
                    <w14:schemeClr w14:val="tx1"/>
                  </w14:solidFill>
                </w14:textFill>
              </w:rPr>
              <w:t>。</w:t>
            </w:r>
          </w:p>
          <w:p>
            <w:pPr>
              <w:keepNext w:val="0"/>
              <w:keepLines w:val="0"/>
              <w:pageBreakBefore w:val="0"/>
              <w:widowControl w:val="0"/>
              <w:tabs>
                <w:tab w:val="left" w:pos="3225"/>
              </w:tabs>
              <w:kinsoku/>
              <w:wordWrap/>
              <w:overflowPunct/>
              <w:topLinePunct w:val="0"/>
              <w:autoSpaceDN/>
              <w:bidi w:val="0"/>
              <w:adjustRightInd/>
              <w:snapToGrid/>
              <w:spacing w:line="360" w:lineRule="auto"/>
              <w:ind w:firstLine="482" w:firstLineChars="200"/>
              <w:textAlignment w:val="auto"/>
              <w:rPr>
                <w:rFonts w:hint="default" w:ascii="Times New Roman" w:hAnsi="Times New Roman" w:eastAsia="宋体" w:cs="Times New Roman"/>
                <w:b/>
                <w:color w:val="000000" w:themeColor="text1"/>
                <w:kern w:val="0"/>
                <w:sz w:val="24"/>
                <w14:textFill>
                  <w14:solidFill>
                    <w14:schemeClr w14:val="tx1"/>
                  </w14:solidFill>
                </w14:textFill>
              </w:rPr>
            </w:pPr>
            <w:r>
              <w:rPr>
                <w:rFonts w:hint="default" w:ascii="Times New Roman" w:hAnsi="Times New Roman" w:eastAsia="宋体" w:cs="Times New Roman"/>
                <w:b/>
                <w:color w:val="000000" w:themeColor="text1"/>
                <w:kern w:val="0"/>
                <w:sz w:val="24"/>
                <w:lang w:val="en-US" w:eastAsia="zh-CN"/>
                <w14:textFill>
                  <w14:solidFill>
                    <w14:schemeClr w14:val="tx1"/>
                  </w14:solidFill>
                </w14:textFill>
              </w:rPr>
              <w:t>4</w:t>
            </w:r>
            <w:r>
              <w:rPr>
                <w:rFonts w:hint="default" w:ascii="Times New Roman" w:hAnsi="Times New Roman" w:eastAsia="宋体" w:cs="Times New Roman"/>
                <w:b/>
                <w:color w:val="000000" w:themeColor="text1"/>
                <w:kern w:val="0"/>
                <w:sz w:val="24"/>
                <w14:textFill>
                  <w14:solidFill>
                    <w14:schemeClr w14:val="tx1"/>
                  </w14:solidFill>
                </w14:textFill>
              </w:rPr>
              <w:t>、固体废物环境影响分析</w:t>
            </w:r>
          </w:p>
          <w:p>
            <w:pPr>
              <w:keepNext w:val="0"/>
              <w:keepLines w:val="0"/>
              <w:pageBreakBefore w:val="0"/>
              <w:widowControl w:val="0"/>
              <w:tabs>
                <w:tab w:val="left" w:pos="3225"/>
              </w:tabs>
              <w:kinsoku/>
              <w:wordWrap/>
              <w:overflowPunct/>
              <w:topLinePunct w:val="0"/>
              <w:autoSpaceDN/>
              <w:bidi w:val="0"/>
              <w:adjustRightInd/>
              <w:snapToGrid/>
              <w:spacing w:line="360" w:lineRule="auto"/>
              <w:ind w:firstLine="480" w:firstLineChars="200"/>
              <w:textAlignment w:val="auto"/>
              <w:rPr>
                <w:rFonts w:hint="default" w:ascii="Times New Roman" w:hAnsi="Times New Roman" w:eastAsia="宋体" w:cs="Times New Roman"/>
                <w:b/>
                <w:bCs/>
                <w:color w:val="000000" w:themeColor="text1"/>
                <w:kern w:val="0"/>
                <w:sz w:val="24"/>
                <w:u w:val="single"/>
                <w14:textFill>
                  <w14:solidFill>
                    <w14:schemeClr w14:val="tx1"/>
                  </w14:solidFill>
                </w14:textFill>
              </w:rPr>
            </w:pPr>
            <w:r>
              <w:rPr>
                <w:rFonts w:hint="default" w:ascii="Times New Roman" w:hAnsi="Times New Roman" w:eastAsia="宋体" w:cs="Times New Roman"/>
                <w:b w:val="0"/>
                <w:bCs w:val="0"/>
                <w:color w:val="000000" w:themeColor="text1"/>
                <w:kern w:val="0"/>
                <w:sz w:val="24"/>
                <w:u w:val="none"/>
                <w14:textFill>
                  <w14:solidFill>
                    <w14:schemeClr w14:val="tx1"/>
                  </w14:solidFill>
                </w14:textFill>
              </w:rPr>
              <w:t>本项目施工期固废主要为施工</w:t>
            </w:r>
            <w:r>
              <w:rPr>
                <w:rFonts w:hint="default" w:ascii="Times New Roman" w:hAnsi="Times New Roman" w:eastAsia="宋体" w:cs="Times New Roman"/>
                <w:b w:val="0"/>
                <w:bCs w:val="0"/>
                <w:color w:val="000000" w:themeColor="text1"/>
                <w:sz w:val="24"/>
                <w:u w:val="none"/>
                <w14:textFill>
                  <w14:solidFill>
                    <w14:schemeClr w14:val="tx1"/>
                  </w14:solidFill>
                </w14:textFill>
              </w:rPr>
              <w:t>建筑垃圾以及施工人员产生的生活垃圾。</w:t>
            </w:r>
            <w:r>
              <w:rPr>
                <w:rFonts w:hint="default" w:ascii="Times New Roman" w:hAnsi="Times New Roman" w:eastAsia="宋体" w:cs="Times New Roman"/>
                <w:b w:val="0"/>
                <w:bCs w:val="0"/>
                <w:color w:val="000000" w:themeColor="text1"/>
                <w:kern w:val="0"/>
                <w:sz w:val="24"/>
                <w:u w:val="none"/>
                <w14:textFill>
                  <w14:solidFill>
                    <w14:schemeClr w14:val="tx1"/>
                  </w14:solidFill>
                </w14:textFill>
              </w:rPr>
              <w:t>该项目就地取土用于低洼区回填，在项目区内实现取弃土平衡，故没有外抛土方，表层土用于绿地回填。</w:t>
            </w:r>
          </w:p>
          <w:p>
            <w:pPr>
              <w:pStyle w:val="38"/>
              <w:keepNext w:val="0"/>
              <w:keepLines w:val="0"/>
              <w:pageBreakBefore w:val="0"/>
              <w:widowControl w:val="0"/>
              <w:kinsoku/>
              <w:wordWrap/>
              <w:overflowPunct/>
              <w:topLinePunct w:val="0"/>
              <w:autoSpaceDE/>
              <w:autoSpaceDN/>
              <w:bidi w:val="0"/>
              <w:adjustRightInd/>
              <w:snapToGrid/>
              <w:spacing w:line="360" w:lineRule="auto"/>
              <w:ind w:firstLineChars="200"/>
              <w:rPr>
                <w:rFonts w:hint="default" w:ascii="Times New Roman" w:hAnsi="Times New Roman" w:eastAsia="宋体" w:cs="Times New Roman"/>
                <w:b/>
                <w:color w:val="000000" w:themeColor="text1"/>
                <w:szCs w:val="24"/>
                <w14:textFill>
                  <w14:solidFill>
                    <w14:schemeClr w14:val="tx1"/>
                  </w14:solidFill>
                </w14:textFill>
              </w:rPr>
            </w:pPr>
            <w:r>
              <w:rPr>
                <w:rFonts w:hint="default" w:ascii="Times New Roman" w:hAnsi="Times New Roman" w:eastAsia="宋体" w:cs="Times New Roman"/>
                <w:b/>
                <w:color w:val="000000" w:themeColor="text1"/>
                <w:szCs w:val="24"/>
                <w:lang w:val="en-US" w:eastAsia="zh-CN"/>
                <w14:textFill>
                  <w14:solidFill>
                    <w14:schemeClr w14:val="tx1"/>
                  </w14:solidFill>
                </w14:textFill>
              </w:rPr>
              <w:t>4</w:t>
            </w:r>
            <w:r>
              <w:rPr>
                <w:rFonts w:hint="default" w:ascii="Times New Roman" w:hAnsi="Times New Roman" w:eastAsia="宋体" w:cs="Times New Roman"/>
                <w:b/>
                <w:color w:val="000000" w:themeColor="text1"/>
                <w:szCs w:val="24"/>
                <w14:textFill>
                  <w14:solidFill>
                    <w14:schemeClr w14:val="tx1"/>
                  </w14:solidFill>
                </w14:textFill>
              </w:rPr>
              <w:t>.1建筑垃圾</w:t>
            </w:r>
          </w:p>
          <w:p>
            <w:pPr>
              <w:keepNext w:val="0"/>
              <w:keepLines w:val="0"/>
              <w:pageBreakBefore w:val="0"/>
              <w:widowControl w:val="0"/>
              <w:kinsoku/>
              <w:wordWrap/>
              <w:overflowPunct/>
              <w:topLinePunct w:val="0"/>
              <w:autoSpaceDN/>
              <w:bidi w:val="0"/>
              <w:adjustRightInd/>
              <w:snapToGrid/>
              <w:spacing w:line="360" w:lineRule="auto"/>
              <w:ind w:firstLine="480" w:firstLineChars="200"/>
              <w:textAlignment w:val="auto"/>
              <w:rPr>
                <w:rFonts w:hint="default" w:ascii="Times New Roman" w:hAnsi="Times New Roman" w:eastAsia="宋体" w:cs="Times New Roman"/>
                <w:b/>
                <w:bCs/>
                <w:color w:val="000000" w:themeColor="text1"/>
                <w:sz w:val="24"/>
                <w:u w:val="single"/>
                <w:lang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w:t>
            </w:r>
            <w:r>
              <w:rPr>
                <w:rFonts w:hint="default" w:ascii="Times New Roman" w:hAnsi="Times New Roman" w:eastAsia="宋体" w:cs="Times New Roman"/>
                <w:color w:val="000000" w:themeColor="text1"/>
                <w:sz w:val="24"/>
                <w:lang w:val="en-US" w:eastAsia="zh-CN"/>
                <w14:textFill>
                  <w14:solidFill>
                    <w14:schemeClr w14:val="tx1"/>
                  </w14:solidFill>
                </w14:textFill>
              </w:rPr>
              <w:t>占地</w:t>
            </w:r>
            <w:r>
              <w:rPr>
                <w:rFonts w:hint="default" w:ascii="Times New Roman" w:hAnsi="Times New Roman" w:eastAsia="宋体" w:cs="Times New Roman"/>
                <w:color w:val="000000" w:themeColor="text1"/>
                <w:sz w:val="24"/>
                <w14:textFill>
                  <w14:solidFill>
                    <w14:schemeClr w14:val="tx1"/>
                  </w14:solidFill>
                </w14:textFill>
              </w:rPr>
              <w:t>面积</w:t>
            </w:r>
            <w:r>
              <w:rPr>
                <w:rFonts w:hint="default" w:ascii="Times New Roman" w:hAnsi="Times New Roman" w:eastAsia="宋体" w:cs="Times New Roman"/>
                <w:color w:val="000000" w:themeColor="text1"/>
                <w:sz w:val="24"/>
                <w:lang w:val="en-US" w:eastAsia="zh-CN"/>
                <w14:textFill>
                  <w14:solidFill>
                    <w14:schemeClr w14:val="tx1"/>
                  </w14:solidFill>
                </w14:textFill>
              </w:rPr>
              <w:t>约13333</w:t>
            </w:r>
            <w:r>
              <w:rPr>
                <w:rFonts w:hint="default" w:ascii="Times New Roman" w:hAnsi="Times New Roman" w:eastAsia="宋体" w:cs="Times New Roman"/>
                <w:color w:val="000000" w:themeColor="text1"/>
                <w:sz w:val="24"/>
                <w14:textFill>
                  <w14:solidFill>
                    <w14:schemeClr w14:val="tx1"/>
                  </w14:solidFill>
                </w14:textFill>
              </w:rPr>
              <w:t>m</w:t>
            </w:r>
            <w:r>
              <w:rPr>
                <w:rFonts w:hint="default" w:ascii="Times New Roman" w:hAnsi="Times New Roman" w:eastAsia="宋体" w:cs="Times New Roman"/>
                <w:color w:val="000000" w:themeColor="text1"/>
                <w:sz w:val="24"/>
                <w:vertAlign w:val="superscript"/>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，建筑垃圾产生量按40kg/m</w:t>
            </w:r>
            <w:r>
              <w:rPr>
                <w:rFonts w:hint="default" w:ascii="Times New Roman" w:hAnsi="Times New Roman" w:eastAsia="宋体" w:cs="Times New Roman"/>
                <w:color w:val="000000" w:themeColor="text1"/>
                <w:sz w:val="24"/>
                <w:vertAlign w:val="superscript"/>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计算，则本项目建筑垃圾产生量为</w:t>
            </w:r>
            <w:r>
              <w:rPr>
                <w:rFonts w:hint="default" w:ascii="Times New Roman" w:hAnsi="Times New Roman" w:eastAsia="宋体" w:cs="Times New Roman"/>
                <w:color w:val="000000" w:themeColor="text1"/>
                <w:sz w:val="24"/>
                <w:lang w:val="en-US" w:eastAsia="zh-CN"/>
                <w14:textFill>
                  <w14:solidFill>
                    <w14:schemeClr w14:val="tx1"/>
                  </w14:solidFill>
                </w14:textFill>
              </w:rPr>
              <w:t>533.32</w:t>
            </w:r>
            <w:r>
              <w:rPr>
                <w:rFonts w:hint="default" w:ascii="Times New Roman" w:hAnsi="Times New Roman" w:eastAsia="宋体" w:cs="Times New Roman"/>
                <w:color w:val="000000" w:themeColor="text1"/>
                <w:sz w:val="24"/>
                <w14:textFill>
                  <w14:solidFill>
                    <w14:schemeClr w14:val="tx1"/>
                  </w14:solidFill>
                </w14:textFill>
              </w:rPr>
              <w:t>t。</w:t>
            </w:r>
            <w:r>
              <w:rPr>
                <w:rFonts w:hint="default" w:ascii="Times New Roman" w:hAnsi="Times New Roman" w:eastAsia="宋体" w:cs="Times New Roman"/>
                <w:b w:val="0"/>
                <w:bCs w:val="0"/>
                <w:color w:val="000000" w:themeColor="text1"/>
                <w:sz w:val="24"/>
                <w:u w:val="none"/>
                <w14:textFill>
                  <w14:solidFill>
                    <w14:schemeClr w14:val="tx1"/>
                  </w14:solidFill>
                </w14:textFill>
              </w:rPr>
              <w:t>施工期产生建筑垃圾集中堆放，由建筑垃圾清运公司外运至市政部门指定建筑垃圾堆放场，在外运过程中适当洒水，并采用篷布进行遮盖，检验合格后方可上路</w:t>
            </w:r>
            <w:r>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t>。</w:t>
            </w:r>
          </w:p>
          <w:p>
            <w:pPr>
              <w:keepNext w:val="0"/>
              <w:keepLines w:val="0"/>
              <w:pageBreakBefore w:val="0"/>
              <w:widowControl w:val="0"/>
              <w:kinsoku/>
              <w:wordWrap/>
              <w:overflowPunct/>
              <w:topLinePunct w:val="0"/>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t>施工过程中产生的产生和各类建筑垃圾施工单位或承建单位应及时外运，在渣土运输过程中严格执行以下的规定：</w:t>
            </w:r>
          </w:p>
          <w:p>
            <w:pPr>
              <w:keepNext w:val="0"/>
              <w:keepLines w:val="0"/>
              <w:pageBreakBefore w:val="0"/>
              <w:widowControl w:val="0"/>
              <w:kinsoku/>
              <w:wordWrap/>
              <w:overflowPunct/>
              <w:topLinePunct w:val="0"/>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t>①施工单位在开工前，应当与主管部门签订环境卫生责任书，对施工过程中产生和各类建筑垃圾应当及时清理，保持施工现场整洁；</w:t>
            </w:r>
          </w:p>
          <w:p>
            <w:pPr>
              <w:keepNext w:val="0"/>
              <w:keepLines w:val="0"/>
              <w:pageBreakBefore w:val="0"/>
              <w:widowControl w:val="0"/>
              <w:kinsoku/>
              <w:wordWrap/>
              <w:overflowPunct/>
              <w:topLinePunct w:val="0"/>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t>②工程施工现场出入口的道路应当硬化，配置相应的冲洗设施，车辆冲洗干净后，方可驶离工地；</w:t>
            </w:r>
          </w:p>
          <w:p>
            <w:pPr>
              <w:keepNext w:val="0"/>
              <w:keepLines w:val="0"/>
              <w:pageBreakBefore w:val="0"/>
              <w:widowControl w:val="0"/>
              <w:kinsoku/>
              <w:wordWrap/>
              <w:overflowPunct/>
              <w:topLinePunct w:val="0"/>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t>③按照行政主管部门核定的时间、路线、地点运输和倾倒建筑垃圾，禁止偷倒、乱倒；</w:t>
            </w:r>
          </w:p>
          <w:p>
            <w:pPr>
              <w:keepNext w:val="0"/>
              <w:keepLines w:val="0"/>
              <w:pageBreakBefore w:val="0"/>
              <w:widowControl w:val="0"/>
              <w:kinsoku/>
              <w:wordWrap/>
              <w:overflowPunct/>
              <w:topLinePunct w:val="0"/>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t>④建筑垃圾运输车辆应当采取密闭措施，不得超载运输，不得车轮带泥，不得遗撒、泄漏；</w:t>
            </w:r>
          </w:p>
          <w:p>
            <w:pPr>
              <w:keepNext w:val="0"/>
              <w:keepLines w:val="0"/>
              <w:pageBreakBefore w:val="0"/>
              <w:widowControl w:val="0"/>
              <w:kinsoku/>
              <w:wordWrap/>
              <w:overflowPunct/>
              <w:topLinePunct w:val="0"/>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t>⑤建筑垃圾运输作业时，建设单位应当督促运输单位在清运时间内组织人力、物力做好沿途的污染清理工作；清运过程中造成交通安全设施损坏的，应予以赔偿。</w:t>
            </w:r>
          </w:p>
          <w:p>
            <w:pPr>
              <w:keepNext w:val="0"/>
              <w:keepLines w:val="0"/>
              <w:pageBreakBefore w:val="0"/>
              <w:widowControl w:val="0"/>
              <w:kinsoku/>
              <w:wordWrap/>
              <w:overflowPunct/>
              <w:topLinePunct w:val="0"/>
              <w:autoSpaceDN/>
              <w:bidi w:val="0"/>
              <w:adjustRightInd/>
              <w:snapToGrid/>
              <w:spacing w:line="360" w:lineRule="auto"/>
              <w:ind w:firstLine="480" w:firstLineChars="200"/>
              <w:textAlignment w:val="auto"/>
              <w:rPr>
                <w:rFonts w:hint="default" w:ascii="Times New Roman" w:hAnsi="Times New Roman" w:eastAsia="宋体" w:cs="Times New Roman"/>
                <w:b w:val="0"/>
                <w:bCs w:val="0"/>
                <w:color w:val="000000" w:themeColor="text1"/>
                <w:sz w:val="24"/>
                <w:u w:val="none"/>
                <w14:textFill>
                  <w14:solidFill>
                    <w14:schemeClr w14:val="tx1"/>
                  </w14:solidFill>
                </w14:textFill>
              </w:rPr>
            </w:pPr>
            <w:r>
              <w:rPr>
                <w:rFonts w:hint="default" w:ascii="Times New Roman" w:hAnsi="Times New Roman" w:eastAsia="宋体" w:cs="Times New Roman"/>
                <w:b w:val="0"/>
                <w:bCs w:val="0"/>
                <w:color w:val="000000" w:themeColor="text1"/>
                <w:sz w:val="24"/>
                <w:u w:val="none"/>
                <w:lang w:eastAsia="zh-CN"/>
                <w14:textFill>
                  <w14:solidFill>
                    <w14:schemeClr w14:val="tx1"/>
                  </w14:solidFill>
                </w14:textFill>
              </w:rPr>
              <w:t>由于建筑垃圾是土建工程中不可避免的，因此建设单位和施工单位必须做好施工垃圾管理，避免对周围环境造成影响。</w:t>
            </w:r>
          </w:p>
          <w:p>
            <w:pPr>
              <w:pStyle w:val="38"/>
              <w:keepNext w:val="0"/>
              <w:keepLines w:val="0"/>
              <w:pageBreakBefore w:val="0"/>
              <w:widowControl w:val="0"/>
              <w:kinsoku/>
              <w:wordWrap/>
              <w:overflowPunct/>
              <w:topLinePunct w:val="0"/>
              <w:autoSpaceDE/>
              <w:autoSpaceDN/>
              <w:bidi w:val="0"/>
              <w:adjustRightInd/>
              <w:snapToGrid/>
              <w:spacing w:line="360" w:lineRule="auto"/>
              <w:ind w:firstLineChars="200"/>
              <w:rPr>
                <w:rFonts w:hint="default" w:ascii="Times New Roman" w:hAnsi="Times New Roman" w:eastAsia="宋体" w:cs="Times New Roman"/>
                <w:b/>
                <w:bCs w:val="0"/>
                <w:color w:val="000000" w:themeColor="text1"/>
                <w:szCs w:val="24"/>
                <w14:textFill>
                  <w14:solidFill>
                    <w14:schemeClr w14:val="tx1"/>
                  </w14:solidFill>
                </w14:textFill>
              </w:rPr>
            </w:pPr>
            <w:r>
              <w:rPr>
                <w:rFonts w:hint="default" w:ascii="Times New Roman" w:hAnsi="Times New Roman" w:eastAsia="宋体" w:cs="Times New Roman"/>
                <w:b/>
                <w:bCs w:val="0"/>
                <w:color w:val="000000" w:themeColor="text1"/>
                <w:szCs w:val="24"/>
                <w:lang w:val="en-US" w:eastAsia="zh-CN"/>
                <w14:textFill>
                  <w14:solidFill>
                    <w14:schemeClr w14:val="tx1"/>
                  </w14:solidFill>
                </w14:textFill>
              </w:rPr>
              <w:t>4</w:t>
            </w:r>
            <w:r>
              <w:rPr>
                <w:rFonts w:hint="default" w:ascii="Times New Roman" w:hAnsi="Times New Roman" w:eastAsia="宋体" w:cs="Times New Roman"/>
                <w:b/>
                <w:bCs w:val="0"/>
                <w:color w:val="000000" w:themeColor="text1"/>
                <w:szCs w:val="24"/>
                <w14:textFill>
                  <w14:solidFill>
                    <w14:schemeClr w14:val="tx1"/>
                  </w14:solidFill>
                </w14:textFill>
              </w:rPr>
              <w:t>.</w:t>
            </w:r>
            <w:r>
              <w:rPr>
                <w:rFonts w:hint="default" w:ascii="Times New Roman" w:hAnsi="Times New Roman" w:eastAsia="宋体" w:cs="Times New Roman"/>
                <w:b/>
                <w:bCs w:val="0"/>
                <w:color w:val="000000" w:themeColor="text1"/>
                <w:szCs w:val="24"/>
                <w:lang w:val="en-US" w:eastAsia="zh-CN"/>
                <w14:textFill>
                  <w14:solidFill>
                    <w14:schemeClr w14:val="tx1"/>
                  </w14:solidFill>
                </w14:textFill>
              </w:rPr>
              <w:t>2</w:t>
            </w:r>
            <w:r>
              <w:rPr>
                <w:rFonts w:hint="default" w:ascii="Times New Roman" w:hAnsi="Times New Roman" w:eastAsia="宋体" w:cs="Times New Roman"/>
                <w:b/>
                <w:bCs w:val="0"/>
                <w:color w:val="000000" w:themeColor="text1"/>
                <w:szCs w:val="24"/>
                <w14:textFill>
                  <w14:solidFill>
                    <w14:schemeClr w14:val="tx1"/>
                  </w14:solidFill>
                </w14:textFill>
              </w:rPr>
              <w:t>生活垃圾</w:t>
            </w:r>
          </w:p>
          <w:p>
            <w:pPr>
              <w:keepNext w:val="0"/>
              <w:keepLines w:val="0"/>
              <w:pageBreakBefore w:val="0"/>
              <w:widowControl w:val="0"/>
              <w:kinsoku/>
              <w:wordWrap/>
              <w:overflowPunct/>
              <w:topLinePunct w:val="0"/>
              <w:autoSpaceDE w:val="0"/>
              <w:autoSpaceDN/>
              <w:bidi w:val="0"/>
              <w:adjustRightInd/>
              <w:snapToGrid/>
              <w:spacing w:line="360" w:lineRule="auto"/>
              <w:ind w:firstLine="480" w:firstLineChars="20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本项目施工期约</w:t>
            </w:r>
            <w:r>
              <w:rPr>
                <w:rFonts w:hint="default" w:ascii="Times New Roman" w:hAnsi="Times New Roman" w:eastAsia="宋体" w:cs="Times New Roman"/>
                <w:color w:val="000000" w:themeColor="text1"/>
                <w:sz w:val="24"/>
                <w:lang w:val="en-US" w:eastAsia="zh-CN"/>
                <w14:textFill>
                  <w14:solidFill>
                    <w14:schemeClr w14:val="tx1"/>
                  </w14:solidFill>
                </w14:textFill>
              </w:rPr>
              <w:t>3月</w:t>
            </w:r>
            <w:r>
              <w:rPr>
                <w:rFonts w:hint="default" w:ascii="Times New Roman" w:hAnsi="Times New Roman" w:eastAsia="宋体" w:cs="Times New Roman"/>
                <w:color w:val="000000" w:themeColor="text1"/>
                <w:sz w:val="24"/>
                <w14:textFill>
                  <w14:solidFill>
                    <w14:schemeClr w14:val="tx1"/>
                  </w14:solidFill>
                </w14:textFill>
              </w:rPr>
              <w:t>，施工人员平均每天按</w:t>
            </w:r>
            <w:r>
              <w:rPr>
                <w:rFonts w:hint="default" w:ascii="Times New Roman" w:hAnsi="Times New Roman" w:eastAsia="宋体" w:cs="Times New Roman"/>
                <w:color w:val="000000" w:themeColor="text1"/>
                <w:sz w:val="24"/>
                <w:lang w:val="en-US" w:eastAsia="zh-CN"/>
                <w14:textFill>
                  <w14:solidFill>
                    <w14:schemeClr w14:val="tx1"/>
                  </w14:solidFill>
                </w14:textFill>
              </w:rPr>
              <w:t>2</w:t>
            </w:r>
            <w:r>
              <w:rPr>
                <w:rFonts w:hint="default" w:ascii="Times New Roman" w:hAnsi="Times New Roman" w:eastAsia="宋体" w:cs="Times New Roman"/>
                <w:color w:val="000000" w:themeColor="text1"/>
                <w:sz w:val="24"/>
                <w14:textFill>
                  <w14:solidFill>
                    <w14:schemeClr w14:val="tx1"/>
                  </w14:solidFill>
                </w14:textFill>
              </w:rPr>
              <w:t>0人计，生活垃圾产生量按0.5kg/人·d计算，则生活垃圾产生量为1</w:t>
            </w:r>
            <w:r>
              <w:rPr>
                <w:rFonts w:hint="default" w:ascii="Times New Roman" w:hAnsi="Times New Roman" w:eastAsia="宋体" w:cs="Times New Roman"/>
                <w:color w:val="000000" w:themeColor="text1"/>
                <w:sz w:val="24"/>
                <w:lang w:val="en-US" w:eastAsia="zh-CN"/>
                <w14:textFill>
                  <w14:solidFill>
                    <w14:schemeClr w14:val="tx1"/>
                  </w14:solidFill>
                </w14:textFill>
              </w:rPr>
              <w:t>0</w:t>
            </w:r>
            <w:r>
              <w:rPr>
                <w:rFonts w:hint="default" w:ascii="Times New Roman" w:hAnsi="Times New Roman" w:eastAsia="宋体" w:cs="Times New Roman"/>
                <w:color w:val="000000" w:themeColor="text1"/>
                <w:sz w:val="24"/>
                <w14:textFill>
                  <w14:solidFill>
                    <w14:schemeClr w14:val="tx1"/>
                  </w14:solidFill>
                </w14:textFill>
              </w:rPr>
              <w:t>kg/d，约</w:t>
            </w:r>
            <w:r>
              <w:rPr>
                <w:rFonts w:hint="default" w:ascii="Times New Roman" w:hAnsi="Times New Roman" w:eastAsia="宋体" w:cs="Times New Roman"/>
                <w:color w:val="000000" w:themeColor="text1"/>
                <w:sz w:val="24"/>
                <w:lang w:val="en-US" w:eastAsia="zh-CN"/>
                <w14:textFill>
                  <w14:solidFill>
                    <w14:schemeClr w14:val="tx1"/>
                  </w14:solidFill>
                </w14:textFill>
              </w:rPr>
              <w:t>0.9</w:t>
            </w:r>
            <w:r>
              <w:rPr>
                <w:rFonts w:hint="default" w:ascii="Times New Roman" w:hAnsi="Times New Roman" w:eastAsia="宋体" w:cs="Times New Roman"/>
                <w:color w:val="000000" w:themeColor="text1"/>
                <w:sz w:val="24"/>
                <w14:textFill>
                  <w14:solidFill>
                    <w14:schemeClr w14:val="tx1"/>
                  </w14:solidFill>
                </w14:textFill>
              </w:rPr>
              <w:t>t。生活垃圾经收集后运至垃圾中转站，交当地环卫部门统一处理。</w:t>
            </w:r>
          </w:p>
          <w:p>
            <w:pPr>
              <w:keepNext w:val="0"/>
              <w:keepLines w:val="0"/>
              <w:pageBreakBefore w:val="0"/>
              <w:widowControl w:val="0"/>
              <w:tabs>
                <w:tab w:val="left" w:pos="1375"/>
              </w:tabs>
              <w:kinsoku/>
              <w:wordWrap/>
              <w:overflowPunct/>
              <w:topLinePunct w:val="0"/>
              <w:autoSpaceDN/>
              <w:bidi w:val="0"/>
              <w:adjustRightInd/>
              <w:snapToGrid/>
              <w:spacing w:line="360" w:lineRule="auto"/>
              <w:ind w:firstLine="482" w:firstLineChars="200"/>
              <w:textAlignment w:val="auto"/>
              <w:rPr>
                <w:rFonts w:hint="default" w:ascii="Times New Roman" w:hAnsi="Times New Roman" w:eastAsia="宋体" w:cs="Times New Roman"/>
                <w:b/>
                <w:color w:val="000000" w:themeColor="text1"/>
                <w:sz w:val="24"/>
                <w:lang w:val="en-GB"/>
                <w14:textFill>
                  <w14:solidFill>
                    <w14:schemeClr w14:val="tx1"/>
                  </w14:solidFill>
                </w14:textFill>
              </w:rPr>
            </w:pPr>
            <w:r>
              <w:rPr>
                <w:rFonts w:hint="default" w:ascii="Times New Roman" w:hAnsi="Times New Roman" w:eastAsia="宋体" w:cs="Times New Roman"/>
                <w:b/>
                <w:color w:val="000000" w:themeColor="text1"/>
                <w:sz w:val="24"/>
                <w:lang w:val="en-US" w:eastAsia="zh-CN"/>
                <w14:textFill>
                  <w14:solidFill>
                    <w14:schemeClr w14:val="tx1"/>
                  </w14:solidFill>
                </w14:textFill>
              </w:rPr>
              <w:t>5</w:t>
            </w:r>
            <w:r>
              <w:rPr>
                <w:rFonts w:hint="default" w:ascii="Times New Roman" w:hAnsi="Times New Roman" w:eastAsia="宋体" w:cs="Times New Roman"/>
                <w:b/>
                <w:color w:val="000000" w:themeColor="text1"/>
                <w:sz w:val="24"/>
                <w14:textFill>
                  <w14:solidFill>
                    <w14:schemeClr w14:val="tx1"/>
                  </w14:solidFill>
                </w14:textFill>
              </w:rPr>
              <w:t>、生态环境、景观影响分析</w:t>
            </w:r>
          </w:p>
          <w:p>
            <w:pPr>
              <w:pStyle w:val="42"/>
              <w:keepNext w:val="0"/>
              <w:keepLines w:val="0"/>
              <w:pageBreakBefore w:val="0"/>
              <w:widowControl w:val="0"/>
              <w:kinsoku/>
              <w:wordWrap/>
              <w:overflowPunct/>
              <w:topLinePunct w:val="0"/>
              <w:autoSpaceDN/>
              <w:bidi w:val="0"/>
              <w:adjustRightInd/>
              <w:snapToGrid/>
              <w:spacing w:before="0" w:after="0" w:line="360" w:lineRule="auto"/>
              <w:ind w:firstLine="480" w:firstLineChars="20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施工期产生的生态影响主要为降雨和工程施工过程引起的水土流失。</w:t>
            </w:r>
          </w:p>
          <w:p>
            <w:pPr>
              <w:pStyle w:val="42"/>
              <w:keepNext w:val="0"/>
              <w:keepLines w:val="0"/>
              <w:pageBreakBefore w:val="0"/>
              <w:widowControl w:val="0"/>
              <w:kinsoku/>
              <w:wordWrap/>
              <w:overflowPunct/>
              <w:topLinePunct w:val="0"/>
              <w:autoSpaceDN/>
              <w:bidi w:val="0"/>
              <w:adjustRightInd/>
              <w:snapToGrid/>
              <w:spacing w:before="0" w:after="0" w:line="360" w:lineRule="auto"/>
              <w:ind w:firstLine="480" w:firstLineChars="20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降雨是发生水土流失最直接的因素之一，若遇大雨天气，泥土可能会随着雨水形成径流进入周围环境或市政雨水管网；二是工程因素，主要指人类的各项开发建设活动，区域开发建设改变当地的地形地貌、破坏植被、改变土壤理化性质，从而加剧了水土流失的发生。</w:t>
            </w:r>
          </w:p>
          <w:p>
            <w:pPr>
              <w:pStyle w:val="42"/>
              <w:keepNext w:val="0"/>
              <w:keepLines w:val="0"/>
              <w:pageBreakBefore w:val="0"/>
              <w:widowControl w:val="0"/>
              <w:kinsoku/>
              <w:wordWrap/>
              <w:overflowPunct/>
              <w:topLinePunct w:val="0"/>
              <w:autoSpaceDN/>
              <w:bidi w:val="0"/>
              <w:adjustRightInd/>
              <w:snapToGrid/>
              <w:spacing w:before="0" w:after="0" w:line="360" w:lineRule="auto"/>
              <w:ind w:firstLine="480" w:firstLineChars="200"/>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为防止施工造成水土流失，建议建设单位施工前在项目四周设置围墙，可以起到拦截作用，避免在雨季动土，做好土石方平衡并尽量减少开挖面积和开挖量，防止水土流失减少对生态环境的影响。</w:t>
            </w:r>
          </w:p>
          <w:p>
            <w:pPr>
              <w:pStyle w:val="15"/>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总之，施工期各要素对环境的影响是暂时的、局部的，采取有效的控制措施，可将影响降至最低，施工结束后，对项目区进行绿化，施工期造成的生态影响也可得到一定程度的恢复</w:t>
            </w:r>
            <w:r>
              <w:rPr>
                <w:rFonts w:hint="default" w:ascii="Times New Roman" w:hAnsi="Times New Roman" w:eastAsia="宋体" w:cs="Times New Roman"/>
                <w:color w:val="000000" w:themeColor="text1"/>
                <w:sz w:val="24"/>
                <w:lang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22" w:hRule="atLeast"/>
        </w:trPr>
        <w:tc>
          <w:tcPr>
            <w:tcW w:w="457" w:type="dxa"/>
            <w:vAlign w:val="center"/>
          </w:tcPr>
          <w:p>
            <w:pPr>
              <w:pStyle w:val="15"/>
              <w:keepNext w:val="0"/>
              <w:keepLines w:val="0"/>
              <w:pageBreakBefore w:val="0"/>
              <w:widowControl w:val="0"/>
              <w:kinsoku/>
              <w:wordWrap/>
              <w:overflowPunct/>
              <w:topLinePunct w:val="0"/>
              <w:autoSpaceDE/>
              <w:autoSpaceDN/>
              <w:bidi w:val="0"/>
              <w:adjustRightInd/>
              <w:snapToGrid/>
              <w:spacing w:line="360" w:lineRule="auto"/>
              <w:ind w:left="0" w:firstLine="0" w:firstLineChars="0"/>
              <w:jc w:val="center"/>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运营期环境影响和保护措施</w:t>
            </w:r>
          </w:p>
        </w:tc>
        <w:tc>
          <w:tcPr>
            <w:tcW w:w="8065" w:type="dxa"/>
            <w:vAlign w:val="top"/>
          </w:tcPr>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32"/>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szCs w:val="32"/>
                <w:vertAlign w:val="baseline"/>
                <w:lang w:eastAsia="zh-CN"/>
                <w14:textFill>
                  <w14:solidFill>
                    <w14:schemeClr w14:val="tx1"/>
                  </w14:solidFill>
                </w14:textFill>
              </w:rPr>
              <w:t>废气</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1.1源强分析</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本项目涉及废气主要为切割粉尘、下料粉尘、焊接烟尘、打磨粉尘、粘接废气、烘干废气、</w:t>
            </w: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热处理废气、</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渗碳废气。</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①切割粉尘</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本项目滤网切割过程中会产生少量的金属粉尘，产生量参照《工业源产排污核算方法和系数手册》（2021.6发布）中“34 通用设备制造业、35 专用设备制造业”，锯床、砂轮切割机切割产生的工业粉尘产污系数为5.3kg/吨-原料，本项目原料滤网用量为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20000捆</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a（500t/a）。则项目粉尘产生量为2.65t/a，评价建议建设单位在产尘点设置集气装置，收集后进入覆膜袋式除尘器处理，处理达标后经15m高排气筒排放。集气装置集气效率90%，除尘器除尘效率99.8%。则有组织收集量为2.385t/a，未收集粉尘量为0.265t/a。此类机加工产生的粉尘主要以金属细屑颗粒物为主，质量和粒径相对较大，参照《固体物料堆存颗粒物产排污核算系数手册》，密闭式堆场颗粒物控制效率可达99%，则无组织颗粒物逸散量为0.0027t/a。</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②下料粉尘</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本项目原料钢材在下料过程中会产生切割金属粉尘，产生量参照《工业源产排污核算方法和系数手册》（2021.6发布）中“34 通用设备制造业、35 专用设备制造业”，锯床、砂轮切割机切割产生的工业粉尘产污系数为5.3kg/吨-原料，本项目原料钢材使用量共计1200t/a，则项目粉尘产生量为6.36t/a，评价建议建设单位在产尘点设置集气装置，收集后进入覆膜袋式除尘器处理，处理达标后经15m高排气筒排放。集气装置集气效率90%，除尘器除尘效率99.8%。则有组织收集量为5.724t/a，未收集粉尘量为0.636t/a。此类机加工产生的粉尘主要以金属细屑颗粒物为主，质量和粒径相对较大，参照《固体物料堆存颗粒物产排污核算系数手册》，密闭式堆场颗粒物控制效率可达99%，则无组织颗粒物逸散量为0.0064t/a。</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③焊接烟尘</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项目采用CO</w:t>
            </w:r>
            <w:r>
              <w:rPr>
                <w:rFonts w:hint="default" w:ascii="Times New Roman" w:hAnsi="Times New Roman" w:eastAsia="宋体" w:cs="Times New Roman"/>
                <w:color w:val="000000" w:themeColor="text1"/>
                <w:sz w:val="24"/>
                <w:szCs w:val="32"/>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保护实芯焊接，焊接过程中产生少量烟尘，焊接烟尘主要成分为MnO</w:t>
            </w:r>
            <w:r>
              <w:rPr>
                <w:rFonts w:hint="default" w:ascii="Times New Roman" w:hAnsi="Times New Roman" w:eastAsia="宋体" w:cs="Times New Roman"/>
                <w:color w:val="000000" w:themeColor="text1"/>
                <w:sz w:val="24"/>
                <w:szCs w:val="32"/>
                <w:vertAlign w:val="sub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、FeO</w:t>
            </w:r>
            <w:r>
              <w:rPr>
                <w:rFonts w:hint="default" w:ascii="Times New Roman" w:hAnsi="Times New Roman" w:eastAsia="宋体" w:cs="Times New Roman"/>
                <w:color w:val="000000" w:themeColor="text1"/>
                <w:sz w:val="24"/>
                <w:szCs w:val="32"/>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等。项目生产过程使用焊条量为2t/a，项目焊接工序起尘量见下表：</w:t>
            </w: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val="0"/>
                <w:color w:val="000000" w:themeColor="text1"/>
                <w:sz w:val="21"/>
                <w:szCs w:val="21"/>
                <w14:textFill>
                  <w14:solidFill>
                    <w14:schemeClr w14:val="tx1"/>
                  </w14:solidFill>
                </w14:textFill>
              </w:rPr>
            </w:pPr>
            <w:r>
              <w:rPr>
                <w:rFonts w:hint="default" w:ascii="Times New Roman" w:hAnsi="Times New Roman" w:eastAsia="宋体" w:cs="Times New Roman"/>
                <w:b/>
                <w:bCs w:val="0"/>
                <w:color w:val="000000" w:themeColor="text1"/>
                <w:sz w:val="21"/>
                <w:szCs w:val="21"/>
                <w14:textFill>
                  <w14:solidFill>
                    <w14:schemeClr w14:val="tx1"/>
                  </w14:solidFill>
                </w14:textFill>
              </w:rPr>
              <w:t>焊接烟尘产生情况表</w:t>
            </w:r>
          </w:p>
          <w:tbl>
            <w:tblPr>
              <w:tblStyle w:val="16"/>
              <w:tblW w:w="783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0"/>
              <w:gridCol w:w="1618"/>
              <w:gridCol w:w="1419"/>
              <w:gridCol w:w="1590"/>
              <w:gridCol w:w="154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660" w:type="dxa"/>
                  <w:vAlign w:val="center"/>
                </w:tcPr>
                <w:p>
                  <w:pPr>
                    <w:pStyle w:val="50"/>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项目焊接方式</w:t>
                  </w:r>
                </w:p>
              </w:tc>
              <w:tc>
                <w:tcPr>
                  <w:tcW w:w="1618" w:type="dxa"/>
                  <w:vAlign w:val="center"/>
                </w:tcPr>
                <w:p>
                  <w:pPr>
                    <w:pStyle w:val="50"/>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标准发尘量（g/kg）</w:t>
                  </w:r>
                </w:p>
              </w:tc>
              <w:tc>
                <w:tcPr>
                  <w:tcW w:w="1419" w:type="dxa"/>
                  <w:vAlign w:val="center"/>
                </w:tcPr>
                <w:p>
                  <w:pPr>
                    <w:pStyle w:val="50"/>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发尘量取值（g/kg）</w:t>
                  </w:r>
                </w:p>
              </w:tc>
              <w:tc>
                <w:tcPr>
                  <w:tcW w:w="1590" w:type="dxa"/>
                  <w:vAlign w:val="center"/>
                </w:tcPr>
                <w:p>
                  <w:pPr>
                    <w:pStyle w:val="50"/>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焊条使用量（kg/a）</w:t>
                  </w:r>
                </w:p>
              </w:tc>
              <w:tc>
                <w:tcPr>
                  <w:tcW w:w="1549" w:type="dxa"/>
                  <w:vAlign w:val="center"/>
                </w:tcPr>
                <w:p>
                  <w:pPr>
                    <w:pStyle w:val="50"/>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烟尘产生量（t/a）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1660" w:type="dxa"/>
                  <w:vAlign w:val="center"/>
                </w:tcPr>
                <w:p>
                  <w:pPr>
                    <w:pStyle w:val="50"/>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CO</w:t>
                  </w:r>
                  <w:r>
                    <w:rPr>
                      <w:rFonts w:hint="default" w:ascii="Times New Roman" w:hAnsi="Times New Roman" w:eastAsia="宋体" w:cs="Times New Roman"/>
                      <w:color w:val="000000" w:themeColor="text1"/>
                      <w:sz w:val="21"/>
                      <w:szCs w:val="21"/>
                      <w:vertAlign w:val="subscript"/>
                      <w14:textFill>
                        <w14:solidFill>
                          <w14:schemeClr w14:val="tx1"/>
                        </w14:solidFill>
                      </w14:textFill>
                    </w:rPr>
                    <w:t>2</w:t>
                  </w:r>
                  <w:r>
                    <w:rPr>
                      <w:rFonts w:hint="default" w:ascii="Times New Roman" w:hAnsi="Times New Roman" w:eastAsia="宋体" w:cs="Times New Roman"/>
                      <w:color w:val="000000" w:themeColor="text1"/>
                      <w:sz w:val="21"/>
                      <w:szCs w:val="21"/>
                      <w14:textFill>
                        <w14:solidFill>
                          <w14:schemeClr w14:val="tx1"/>
                        </w14:solidFill>
                      </w14:textFill>
                    </w:rPr>
                    <w:t>气体保护焊</w:t>
                  </w:r>
                </w:p>
              </w:tc>
              <w:tc>
                <w:tcPr>
                  <w:tcW w:w="1618" w:type="dxa"/>
                  <w:vAlign w:val="center"/>
                </w:tcPr>
                <w:p>
                  <w:pPr>
                    <w:pStyle w:val="50"/>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5~8</w:t>
                  </w:r>
                </w:p>
              </w:tc>
              <w:tc>
                <w:tcPr>
                  <w:tcW w:w="1419" w:type="dxa"/>
                  <w:vAlign w:val="center"/>
                </w:tcPr>
                <w:p>
                  <w:pPr>
                    <w:pStyle w:val="50"/>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8</w:t>
                  </w:r>
                </w:p>
              </w:tc>
              <w:tc>
                <w:tcPr>
                  <w:tcW w:w="1590" w:type="dxa"/>
                  <w:vAlign w:val="center"/>
                </w:tcPr>
                <w:p>
                  <w:pPr>
                    <w:pStyle w:val="50"/>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2000</w:t>
                  </w:r>
                </w:p>
              </w:tc>
              <w:tc>
                <w:tcPr>
                  <w:tcW w:w="1549" w:type="dxa"/>
                  <w:vAlign w:val="center"/>
                </w:tcPr>
                <w:p>
                  <w:pPr>
                    <w:pStyle w:val="50"/>
                    <w:spacing w:line="240" w:lineRule="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0.016</w:t>
                  </w:r>
                </w:p>
              </w:tc>
            </w:tr>
          </w:tbl>
          <w:p>
            <w:pPr>
              <w:pStyle w:val="15"/>
              <w:keepNext w:val="0"/>
              <w:keepLines w:val="0"/>
              <w:pageBreakBefore w:val="0"/>
              <w:widowControl w:val="0"/>
              <w:kinsoku/>
              <w:wordWrap/>
              <w:overflowPunct/>
              <w:topLinePunct w:val="0"/>
              <w:autoSpaceDE/>
              <w:autoSpaceDN/>
              <w:bidi w:val="0"/>
              <w:adjustRightInd/>
              <w:snapToGrid/>
              <w:spacing w:line="240" w:lineRule="auto"/>
              <w:ind w:left="0" w:firstLine="0" w:firstLineChars="0"/>
              <w:textAlignment w:val="auto"/>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注：本表摘自《焊接工作的劳动保护》</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auto"/>
                <w:sz w:val="24"/>
                <w:szCs w:val="32"/>
                <w:vertAlign w:val="baseline"/>
                <w:lang w:val="en-US" w:eastAsia="zh-CN"/>
              </w:rPr>
              <w:t>经计算，焊接工序烟尘产生量0.016t/a，本次评价要求建设单位焊接工序固定于专门区域，固定焊接区域安装固定集气罩，焊接烟尘经集气罩收集后，通过覆膜袋式除尘器处理后通过1根15m高排气筒排放。集气装置集气效率90%，除尘器除尘效率99.8%。则有组织收集量为0.0144t/a，未收集粉尘量为0.00003t/a。</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参照《固体物料堆存颗粒物产排污核算系数手册》，密闭式堆场颗粒物控制效率可达99%，则无组织颗粒物逸散量为0.00002t/a。</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④打磨粉尘</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本项目半成品石油钻采设备及配件在打磨（抛丸）过程中会产生打磨（抛丸）粉尘，产生量参照《工业源产排污核算方法和系数手册》（2021.6发布）中“34 通用设备制造业、35 专用设备制造业”，抛丸、喷砂、打磨、滚筒产生的工业粉尘产污系数为2.19kg/吨-原料，本项目原料钢材使用量共计1200t/a，则项目打磨量最大为1200t/a，则项目粉尘产生量为2.628t/a，项目打磨过程抛丸机全密闭，且抛丸机自带滤筒除尘器，经滤筒除尘器处理后，进入覆膜袋式除尘器处理，处理达标后经15m高排气筒排放。滤筒除尘器去除效率为99%，覆膜袋式除尘器去除效率为99.8%。</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⑤粘接、烘干废气</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本项目内燃机滤芯在粘接过程中会产生粘接废气，产生量参照《工业源产排污核算方法和系数手册》（2021.6发布）中“34 通用设备制造业、35 专用设备制造业”，涂胶及涂胶后固化产生的挥发性有机物（以非甲烷总烃计）产污系数为60kg/吨-原料，本项目双组份胶使用量为350kg/a（0.35t/a），则非甲烷总烃产生量为0.021t/a</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，项目粘接工序位于固定房间内，与烘干室废气（负压收集），共同通过干式过滤器+二级活性炭吸附后通过1根15m高排气筒排放。干式过滤器+二级活性炭吸附去除效率90%。</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⑥热处理废气</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项目工件在热处理炉内直接转移至密闭淬火液池进行淬火，由于热处理的工件含有大量的热，当工件放入淬火液池中，这些热量传入淬火液，使它的温度明显高于饱和温度，在固、液接触面上就发生沸腾并产生蒸汽即为油雾，主要污染物为油雾和挥发性有机物，本评价油雾以颗粒物计，挥发性有机物以非甲烷总烃计。</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参照《工业源产排污核算方法和系数手册》（2021.6发布）中“34 通用设备制造业、35 专用设备制造业”，热处理工段-淬火/回火-非甲烷总烃0.01kg/t淬火油、颗粒物200kg/t-淬火油进行计算。项目淬火液（淬火油）使用量为2t/a，则颗粒物产生量为0.4t/a，非甲烷总烃产生量为0.00002t/a，通过集气罩收集后进入油雾净化器处理，处理后，与粘接、烘干废气共同进入干式过滤器+二级活性炭吸附装置处理后通过1根15m高排气筒排放。集气装置集气效率90%，油雾过滤器对颗粒物去除效率以90%计，干式过滤器对颗粒物去除效率</w:t>
            </w:r>
            <w:bookmarkStart w:id="3" w:name="OLE_LINK2"/>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以90%计</w:t>
            </w:r>
            <w:bookmarkEnd w:id="3"/>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，二级活性炭吸附对颗粒物去除效率以90%计，二级活性炭吸附非甲烷总烃去除效率以90%计。则颗粒物有组织收集量为0.36t/a，未收集量为0.04t/a；非甲烷总烃有组织收集量为0.000018t/a，未收集量为0.000002t/a。</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⑦渗碳废气</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u w:val="single"/>
                <w:vertAlign w:val="baseline"/>
                <w:lang w:val="en-US" w:eastAsia="zh-CN"/>
                <w14:textFill>
                  <w14:solidFill>
                    <w14:schemeClr w14:val="tx1"/>
                  </w14:solidFill>
                </w14:textFill>
              </w:rPr>
              <w:t>本项目半成品石油钻采设备及配件在渗碳过程中会有有机废气逸出，产生量参照《工业源产排污核算方法和系数手册》（2021.6发布）中“34 通用设备制造业、35 专用设备制造业”，气体渗氮/渗碳/碳氮共渗产生的挥发性有机物（甲醇）产污系数为0.01kg/吨-产品，根据建设单位原生产情况，渗碳产品最大量约600t/a，则甲醇废气产生量为0.006t/a。在渗碳过程中，甲醇通常800度以上发生裂解，生成一氧化碳和氢气甲醇裂解，甲醇分解量约为0.194t/a，根据甲醇裂解方程式分析，CO产生量约为0.1698t/a，经查阅《热处理技师手册》，一氧化碳（CO）在900摄氏度下会发生裂解反应，裂解率约在98%左右。经计算，CO产生量约为0.0034t/a。项目渗碳炉上方设置集气罩，废气经集气罩收集后，与粘接、烘干废气共同通过干式过滤器+二级活性炭吸附后通过1根15m高排气筒排放。集气装置集气效率90%，干式过滤器+二级活性炭吸附对非甲烷总烃（甲醇）去除效率以90%计，对CO去除效率以10%计。则非甲烷总烃（甲醇）有组织收集量为0.0054t/a，未收集量为0.0006t/a；CO有组织收集量为0.0031t/a，未收集量为0.0003t/a；</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切割、下料、焊接、打磨废气收集方式及废气量</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根据《环保设备设计手册—大气污染控制设备》（化学工业出版社，2004年版）计算公式：</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Q=k×L×H×Vx</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式中，Q——处理风量，m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/s；</w:t>
            </w:r>
          </w:p>
          <w:p>
            <w:pPr>
              <w:pStyle w:val="15"/>
              <w:keepNext w:val="0"/>
              <w:keepLines w:val="0"/>
              <w:pageBreakBefore w:val="0"/>
              <w:widowControl w:val="0"/>
              <w:kinsoku/>
              <w:wordWrap/>
              <w:overflowPunct/>
              <w:topLinePunct w:val="0"/>
              <w:autoSpaceDE/>
              <w:autoSpaceDN/>
              <w:bidi w:val="0"/>
              <w:adjustRightInd/>
              <w:snapToGrid/>
              <w:spacing w:line="360" w:lineRule="auto"/>
              <w:ind w:left="0" w:firstLine="1200" w:firstLineChars="5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k——安全系数，取1.1；</w:t>
            </w:r>
          </w:p>
          <w:p>
            <w:pPr>
              <w:pStyle w:val="15"/>
              <w:keepNext w:val="0"/>
              <w:keepLines w:val="0"/>
              <w:pageBreakBefore w:val="0"/>
              <w:widowControl w:val="0"/>
              <w:kinsoku/>
              <w:wordWrap/>
              <w:overflowPunct/>
              <w:topLinePunct w:val="0"/>
              <w:autoSpaceDE/>
              <w:autoSpaceDN/>
              <w:bidi w:val="0"/>
              <w:adjustRightInd/>
              <w:snapToGrid/>
              <w:spacing w:line="360" w:lineRule="auto"/>
              <w:ind w:left="0" w:firstLine="1200" w:firstLineChars="5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L——集气罩罩口敞开面的周长，m；项目在切割机、切网机、焊机上方设置集气罩，介于设备型号不同，集气罩罩口平均尺寸取0.6×0.6m，故L=（0.6+0.6）×2=2.4m；</w:t>
            </w:r>
          </w:p>
          <w:p>
            <w:pPr>
              <w:pStyle w:val="15"/>
              <w:keepNext w:val="0"/>
              <w:keepLines w:val="0"/>
              <w:pageBreakBefore w:val="0"/>
              <w:widowControl w:val="0"/>
              <w:kinsoku/>
              <w:wordWrap/>
              <w:overflowPunct/>
              <w:topLinePunct w:val="0"/>
              <w:autoSpaceDE/>
              <w:autoSpaceDN/>
              <w:bidi w:val="0"/>
              <w:adjustRightInd/>
              <w:snapToGrid/>
              <w:spacing w:line="360" w:lineRule="auto"/>
              <w:ind w:left="0" w:firstLine="1200" w:firstLineChars="5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H——罩口至污染源的距离，m；每个集气罩至污染源的距离H为0.4m；</w:t>
            </w:r>
          </w:p>
          <w:p>
            <w:pPr>
              <w:pStyle w:val="15"/>
              <w:keepNext w:val="0"/>
              <w:keepLines w:val="0"/>
              <w:pageBreakBefore w:val="0"/>
              <w:widowControl w:val="0"/>
              <w:kinsoku/>
              <w:wordWrap/>
              <w:overflowPunct/>
              <w:topLinePunct w:val="0"/>
              <w:autoSpaceDE/>
              <w:autoSpaceDN/>
              <w:bidi w:val="0"/>
              <w:adjustRightInd/>
              <w:snapToGrid/>
              <w:spacing w:line="360" w:lineRule="auto"/>
              <w:ind w:left="0" w:firstLine="1200" w:firstLineChars="5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Vx——敞开断面处流速，m/s，0.25~2.5m/s之间，取0.4m/s；</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本项目共有切割机、切网机、焊机共计9台，经计算，项目颗粒物所需废气量为：Q=9×1.1×2.4×0.4×0.4m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/s=3.8016m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/s=13685.76m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/h，取值14000m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/h；根据设计资料，抛丸机3台，单台自带滤筒除尘器风量2000m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/h，共计6000m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/h。</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粘接、烘干、热处理、渗碳废气收集方式及废气量</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根据企业提供资料，粘接室面积约50m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，高取2.5米，烘干室面积约50m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，高取2.5米，本次评价要求对粘接室及烘干室废气进行整体收集，根据《废气处理工程技术手册》，换气次数为10次，则粘接室及烘干室每小时风量为2500m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/h。</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本项目拟在热处理炉（淬火工段）上方设置1个集气罩对产生的废气进行收集处理；拟在渗碳炉上方设置1个集气罩对渗碳工序产生的有机废气进行收集处理。</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根据《环保设备设计手册—大气污染控制设备》（化学工业出版社，2004年版）计算公式：</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Q=k×L×H×Vx</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式中，Q——处理风量，m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/s；</w:t>
            </w:r>
          </w:p>
          <w:p>
            <w:pPr>
              <w:pStyle w:val="15"/>
              <w:keepNext w:val="0"/>
              <w:keepLines w:val="0"/>
              <w:pageBreakBefore w:val="0"/>
              <w:widowControl w:val="0"/>
              <w:kinsoku/>
              <w:wordWrap/>
              <w:overflowPunct/>
              <w:topLinePunct w:val="0"/>
              <w:autoSpaceDE/>
              <w:autoSpaceDN/>
              <w:bidi w:val="0"/>
              <w:adjustRightInd/>
              <w:snapToGrid/>
              <w:spacing w:line="360" w:lineRule="auto"/>
              <w:ind w:left="0" w:firstLine="1200" w:firstLineChars="5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k——安全系数，一般取1.05~1.1，取1.1；</w:t>
            </w:r>
          </w:p>
          <w:p>
            <w:pPr>
              <w:pStyle w:val="15"/>
              <w:keepNext w:val="0"/>
              <w:keepLines w:val="0"/>
              <w:pageBreakBefore w:val="0"/>
              <w:widowControl w:val="0"/>
              <w:kinsoku/>
              <w:wordWrap/>
              <w:overflowPunct/>
              <w:topLinePunct w:val="0"/>
              <w:autoSpaceDE/>
              <w:autoSpaceDN/>
              <w:bidi w:val="0"/>
              <w:adjustRightInd/>
              <w:snapToGrid/>
              <w:spacing w:line="360" w:lineRule="auto"/>
              <w:ind w:left="0" w:firstLine="1200" w:firstLineChars="5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L——集气罩罩口敞开面的周长，m；热处理工序集气罩罩口平均尺寸取0.8×1.5m，故L=（0.8+1.5）×2=4.6m；渗碳工序集气罩罩口平均尺寸取0.8×0.8m，故L=（0.8+0.8）×2=3.2m；</w:t>
            </w:r>
          </w:p>
          <w:p>
            <w:pPr>
              <w:pStyle w:val="15"/>
              <w:keepNext w:val="0"/>
              <w:keepLines w:val="0"/>
              <w:pageBreakBefore w:val="0"/>
              <w:widowControl w:val="0"/>
              <w:kinsoku/>
              <w:wordWrap/>
              <w:overflowPunct/>
              <w:topLinePunct w:val="0"/>
              <w:autoSpaceDE/>
              <w:autoSpaceDN/>
              <w:bidi w:val="0"/>
              <w:adjustRightInd/>
              <w:snapToGrid/>
              <w:spacing w:line="360" w:lineRule="auto"/>
              <w:ind w:left="0" w:firstLine="1200" w:firstLineChars="5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H——罩口至污染源的距离，m；每个集气罩至污染源的距离H为0.4m；</w:t>
            </w:r>
          </w:p>
          <w:p>
            <w:pPr>
              <w:pStyle w:val="15"/>
              <w:keepNext w:val="0"/>
              <w:keepLines w:val="0"/>
              <w:pageBreakBefore w:val="0"/>
              <w:widowControl w:val="0"/>
              <w:kinsoku/>
              <w:wordWrap/>
              <w:overflowPunct/>
              <w:topLinePunct w:val="0"/>
              <w:autoSpaceDE/>
              <w:autoSpaceDN/>
              <w:bidi w:val="0"/>
              <w:adjustRightInd/>
              <w:snapToGrid/>
              <w:spacing w:line="360" w:lineRule="auto"/>
              <w:ind w:left="0" w:firstLine="1200" w:firstLineChars="50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Vx——敞开断面处流速，m/s，0.25~2.5m/s之间，取0.4m/s；</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经计算，项目废气收集所需废气量为：Q=1×1.1×4.6×0.4×0.4m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/s+1×1.1×3.2×0.4×0.4m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/s=1.3728m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/s=4942.08m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/h。</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企业有机废气收集总风机风量设计取值为7500m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/h。</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1.2废气治理设施</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textAlignment w:val="auto"/>
              <w:outlineLvl w:val="9"/>
              <w:rPr>
                <w:rFonts w:hint="default" w:ascii="Times New Roman" w:hAnsi="Times New Roman" w:eastAsia="宋体" w:cs="Times New Roman"/>
                <w:b/>
                <w:bCs/>
                <w:color w:val="000000" w:themeColor="text1"/>
                <w:sz w:val="24"/>
                <w:szCs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single"/>
                <w:lang w:val="en-US" w:eastAsia="zh-CN"/>
                <w14:textFill>
                  <w14:solidFill>
                    <w14:schemeClr w14:val="tx1"/>
                  </w14:solidFill>
                </w14:textFill>
              </w:rPr>
              <w:t>本工程除尘工序采用覆膜袋式除尘，其工作原理：含尘气体通过进气口进入除尘器，首先经过气流分布装置，使气体均匀地分布在滤袋表面，提高过滤效率。当含尘气体通过滤袋时，粉尘被截留在滤袋表面，净化后的气体从滤袋内部通过，然后从出气口排出。随着过滤过程的进行，滤袋表面的粉尘层逐渐增厚，过滤阻力逐渐增大。当过滤阻力达到一定值时，清灰系统开始工作，对滤袋进行清灰。清灰系统采用脉冲喷吹方式，通过高压空气将滤袋表面的粉尘吹落，落入下方的灰斗中。灰斗中的粉尘通过排灰系统排出，完成一个过滤周期。</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textAlignment w:val="auto"/>
              <w:outlineLvl w:val="9"/>
              <w:rPr>
                <w:rFonts w:hint="default" w:ascii="Times New Roman" w:hAnsi="Times New Roman" w:eastAsia="宋体" w:cs="Times New Roman"/>
                <w:b/>
                <w:bCs/>
                <w:color w:val="000000" w:themeColor="text1"/>
                <w:sz w:val="24"/>
                <w:szCs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single"/>
                <w:lang w:val="en-US" w:eastAsia="zh-CN"/>
                <w14:textFill>
                  <w14:solidFill>
                    <w14:schemeClr w14:val="tx1"/>
                  </w14:solidFill>
                </w14:textFill>
              </w:rPr>
              <w:t>滤筒除尘器是一种高效、低阻的除尘设备，广泛应用于各种工业粉尘治理领域。其工作原理主要基于过滤原理，通过滤材将粉尘阻隔在滤筒表面，达到除尘效果。当含尘气体进入滤筒除尘器时，气体中的粉尘颗粒在通过滤筒时被阻隔在滤筒表面。随着时间的推移，滤筒表面的粉尘颗粒逐渐增多，形成一层粉尘层。这层粉尘层具有一定的透气性，可以进一步过滤通过的粉尘颗粒，提高除尘效率。当滤筒表面的粉尘层达到一定厚度时，需要进行清灰处理。清灰方式有多种，如机械振打、逆气流反吹等。清灰时，清灰系统对滤筒进行敲打或反吹气流，使滤筒表面的粉尘层脱落，落入灰斗中。清灰后的滤筒可以重新进行过滤工作。</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textAlignment w:val="auto"/>
              <w:outlineLvl w:val="9"/>
              <w:rPr>
                <w:rFonts w:hint="default" w:ascii="Times New Roman" w:hAnsi="Times New Roman" w:eastAsia="宋体" w:cs="Times New Roman"/>
                <w:b/>
                <w:bCs/>
                <w:color w:val="000000" w:themeColor="text1"/>
                <w:sz w:val="24"/>
                <w:szCs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single"/>
                <w:lang w:val="en-US" w:eastAsia="zh-CN"/>
                <w14:textFill>
                  <w14:solidFill>
                    <w14:schemeClr w14:val="tx1"/>
                  </w14:solidFill>
                </w14:textFill>
              </w:rPr>
              <w:t>油雾净化器可用于乳化液及合成冷却液等在加工时产生的油雾及水性雾气。其工作原理如下：当控制器接通电源时，吸雾口产生强大的负压迫使油雾被定向吸入吸雾器内。油雾微粒在油雾净化器内风轮的作用下发生碰撞，微小的颗粒集合成能被控制的较大颗粒，在高效吸雾材料的阻挡下被拦截下来，通过回流口收集并回收。</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textAlignment w:val="auto"/>
              <w:outlineLvl w:val="9"/>
              <w:rPr>
                <w:rFonts w:hint="default" w:ascii="Times New Roman" w:hAnsi="Times New Roman" w:eastAsia="宋体" w:cs="Times New Roman"/>
                <w:b/>
                <w:bCs/>
                <w:color w:val="000000" w:themeColor="text1"/>
                <w:sz w:val="24"/>
                <w:szCs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u w:val="single"/>
                <w:lang w:val="en-US" w:eastAsia="zh-CN"/>
                <w14:textFill>
                  <w14:solidFill>
                    <w14:schemeClr w14:val="tx1"/>
                  </w14:solidFill>
                </w14:textFill>
              </w:rPr>
              <w:t>有机废气采用干式过滤器+二级活性炭吸附，其工作原理：活性炭具有发达的空隙，比表面积大，具有很高的吸附能力的特点。根据活性炭的这个特点，在废气处理设备中，当有机废气进入活性炭装置中时，由于活性炭固体表面上存在着未平衡和未饱和的分子引力，当气体通过活性炭时，就能吸引废气内污染分子，使其浓聚并保持在固体表面，污染物质就会被吸附住，废气经过滤器后，进入设备排气系统，净化后的气体高空达标排放。</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本项目废气处理情况见下图。</w:t>
            </w:r>
          </w:p>
          <w:p>
            <w:pPr>
              <w:pStyle w:val="7"/>
              <w:keepNext w:val="0"/>
              <w:keepLines w:val="0"/>
              <w:pageBreakBefore w:val="0"/>
              <w:widowControl w:val="0"/>
              <w:kinsoku/>
              <w:wordWrap/>
              <w:overflowPunct/>
              <w:topLinePunct w:val="0"/>
              <w:autoSpaceDE/>
              <w:autoSpaceDN/>
              <w:bidi w:val="0"/>
              <w:adjustRightInd/>
              <w:snapToGrid/>
              <w:spacing w:line="360" w:lineRule="auto"/>
              <w:ind w:right="0"/>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object>
                <v:shape id="_x0000_i1028" o:spt="75" type="#_x0000_t75" style="height:387.25pt;width:389.8pt;" o:ole="t" filled="f" o:preferrelative="t" stroked="f" coordsize="21600,21600">
                  <v:path/>
                  <v:fill on="f" focussize="0,0"/>
                  <v:stroke on="f"/>
                  <v:imagedata r:id="rId27" o:title=""/>
                  <o:lock v:ext="edit" aspectratio="f"/>
                  <w10:wrap type="none"/>
                  <w10:anchorlock/>
                </v:shape>
                <o:OLEObject Type="Embed" ProgID="Visio.Drawing.11" ShapeID="_x0000_i1028" DrawAspect="Content" ObjectID="_1468075728" r:id="rId26">
                  <o:LockedField>false</o:LockedField>
                </o:OLEObject>
              </w:object>
            </w:r>
          </w:p>
          <w:p>
            <w:pPr>
              <w:pStyle w:val="7"/>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outlineLvl w:val="9"/>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图4-1  废气处理情况图</w:t>
            </w:r>
          </w:p>
        </w:tc>
      </w:tr>
    </w:tbl>
    <w:p>
      <w:pPr>
        <w:pStyle w:val="15"/>
        <w:rPr>
          <w:rFonts w:hint="default" w:ascii="Times New Roman" w:hAnsi="Times New Roman" w:eastAsia="宋体" w:cs="Times New Roman"/>
          <w:color w:val="000000" w:themeColor="text1"/>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tbl>
      <w:tblPr>
        <w:tblStyle w:val="17"/>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7"/>
        <w:gridCol w:w="137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47" w:hRule="atLeast"/>
        </w:trPr>
        <w:tc>
          <w:tcPr>
            <w:tcW w:w="457" w:type="dxa"/>
            <w:vAlign w:val="center"/>
          </w:tcPr>
          <w:p>
            <w:pPr>
              <w:jc w:val="center"/>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运营期环境影响和保护措施</w:t>
            </w:r>
          </w:p>
        </w:tc>
        <w:tc>
          <w:tcPr>
            <w:tcW w:w="13717" w:type="dxa"/>
          </w:tcPr>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废气污染源源强核算结果及相关参数一览表</w:t>
            </w:r>
          </w:p>
          <w:tbl>
            <w:tblPr>
              <w:tblStyle w:val="16"/>
              <w:tblW w:w="1348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28" w:type="dxa"/>
                <w:bottom w:w="57" w:type="dxa"/>
                <w:right w:w="28" w:type="dxa"/>
              </w:tblCellMar>
            </w:tblPr>
            <w:tblGrid>
              <w:gridCol w:w="357"/>
              <w:gridCol w:w="1096"/>
              <w:gridCol w:w="610"/>
              <w:gridCol w:w="341"/>
              <w:gridCol w:w="1091"/>
              <w:gridCol w:w="894"/>
              <w:gridCol w:w="1045"/>
              <w:gridCol w:w="934"/>
              <w:gridCol w:w="870"/>
              <w:gridCol w:w="872"/>
              <w:gridCol w:w="720"/>
              <w:gridCol w:w="855"/>
              <w:gridCol w:w="1014"/>
              <w:gridCol w:w="962"/>
              <w:gridCol w:w="1035"/>
              <w:gridCol w:w="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trHeight w:val="283" w:hRule="atLeast"/>
                <w:jc w:val="center"/>
              </w:trPr>
              <w:tc>
                <w:tcPr>
                  <w:tcW w:w="357"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序号</w:t>
                  </w:r>
                </w:p>
              </w:tc>
              <w:tc>
                <w:tcPr>
                  <w:tcW w:w="1096"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污染源</w:t>
                  </w:r>
                </w:p>
              </w:tc>
              <w:tc>
                <w:tcPr>
                  <w:tcW w:w="951" w:type="dxa"/>
                  <w:gridSpan w:val="2"/>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污染物</w:t>
                  </w:r>
                </w:p>
              </w:tc>
              <w:tc>
                <w:tcPr>
                  <w:tcW w:w="3964" w:type="dxa"/>
                  <w:gridSpan w:val="4"/>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污染物产生情况</w:t>
                  </w:r>
                </w:p>
              </w:tc>
              <w:tc>
                <w:tcPr>
                  <w:tcW w:w="3317" w:type="dxa"/>
                  <w:gridSpan w:val="4"/>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治理措施</w:t>
                  </w:r>
                </w:p>
              </w:tc>
              <w:tc>
                <w:tcPr>
                  <w:tcW w:w="3011" w:type="dxa"/>
                  <w:gridSpan w:val="3"/>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污染物排放情况</w:t>
                  </w:r>
                </w:p>
              </w:tc>
              <w:tc>
                <w:tcPr>
                  <w:tcW w:w="790"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排放时间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trHeight w:val="283" w:hRule="atLeast"/>
                <w:jc w:val="center"/>
              </w:trPr>
              <w:tc>
                <w:tcPr>
                  <w:tcW w:w="357"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96"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951" w:type="dxa"/>
                  <w:gridSpan w:val="2"/>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91"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核算方法</w:t>
                  </w:r>
                </w:p>
              </w:tc>
              <w:tc>
                <w:tcPr>
                  <w:tcW w:w="89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产生量</w:t>
                  </w:r>
                </w:p>
              </w:tc>
              <w:tc>
                <w:tcPr>
                  <w:tcW w:w="104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产生速率</w:t>
                  </w:r>
                </w:p>
              </w:tc>
              <w:tc>
                <w:tcPr>
                  <w:tcW w:w="93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产生浓度</w:t>
                  </w:r>
                </w:p>
              </w:tc>
              <w:tc>
                <w:tcPr>
                  <w:tcW w:w="870"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处理工艺</w:t>
                  </w:r>
                </w:p>
              </w:tc>
              <w:tc>
                <w:tcPr>
                  <w:tcW w:w="872"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风机风量（m</w:t>
                  </w:r>
                  <w:r>
                    <w:rPr>
                      <w:rFonts w:hint="default" w:ascii="Times New Roman" w:hAnsi="Times New Roman" w:eastAsia="宋体" w:cs="Times New Roman"/>
                      <w:b/>
                      <w:bCs/>
                      <w:color w:val="000000" w:themeColor="text1"/>
                      <w:sz w:val="21"/>
                      <w:szCs w:val="21"/>
                      <w:u w:val="single"/>
                      <w:vertAlign w:val="superscript"/>
                      <w:lang w:val="en-US" w:eastAsia="zh-CN"/>
                      <w14:textFill>
                        <w14:solidFill>
                          <w14:schemeClr w14:val="tx1"/>
                        </w14:solidFill>
                      </w14:textFill>
                    </w:rPr>
                    <w:t>3</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/h）</w:t>
                  </w:r>
                </w:p>
              </w:tc>
              <w:tc>
                <w:tcPr>
                  <w:tcW w:w="720"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去除效率（%）</w:t>
                  </w:r>
                </w:p>
              </w:tc>
              <w:tc>
                <w:tcPr>
                  <w:tcW w:w="855"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是否为可行技术</w:t>
                  </w:r>
                </w:p>
              </w:tc>
              <w:tc>
                <w:tcPr>
                  <w:tcW w:w="101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排放量</w:t>
                  </w:r>
                </w:p>
              </w:tc>
              <w:tc>
                <w:tcPr>
                  <w:tcW w:w="962" w:type="dxa"/>
                  <w:tcBorders>
                    <w:righ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排放速率</w:t>
                  </w:r>
                </w:p>
              </w:tc>
              <w:tc>
                <w:tcPr>
                  <w:tcW w:w="1035" w:type="dxa"/>
                  <w:tcBorders>
                    <w:lef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kern w:val="0"/>
                      <w:sz w:val="21"/>
                      <w:szCs w:val="21"/>
                      <w:u w:val="singl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排放浓度</w:t>
                  </w:r>
                </w:p>
              </w:tc>
              <w:tc>
                <w:tcPr>
                  <w:tcW w:w="790"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trHeight w:val="283" w:hRule="atLeast"/>
                <w:jc w:val="center"/>
              </w:trPr>
              <w:tc>
                <w:tcPr>
                  <w:tcW w:w="357"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96"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951" w:type="dxa"/>
                  <w:gridSpan w:val="2"/>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91"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89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t/a</w:t>
                  </w:r>
                </w:p>
              </w:tc>
              <w:tc>
                <w:tcPr>
                  <w:tcW w:w="104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vertAlign w:val="superscript"/>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kg/h</w:t>
                  </w:r>
                </w:p>
              </w:tc>
              <w:tc>
                <w:tcPr>
                  <w:tcW w:w="93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mg/m</w:t>
                  </w:r>
                  <w:r>
                    <w:rPr>
                      <w:rFonts w:hint="default" w:ascii="Times New Roman" w:hAnsi="Times New Roman" w:eastAsia="宋体" w:cs="Times New Roman"/>
                      <w:b/>
                      <w:bCs/>
                      <w:color w:val="000000" w:themeColor="text1"/>
                      <w:sz w:val="21"/>
                      <w:szCs w:val="21"/>
                      <w:u w:val="single"/>
                      <w:vertAlign w:val="superscript"/>
                      <w:lang w:val="en-US" w:eastAsia="zh-CN"/>
                      <w14:textFill>
                        <w14:solidFill>
                          <w14:schemeClr w14:val="tx1"/>
                        </w14:solidFill>
                      </w14:textFill>
                    </w:rPr>
                    <w:t>3</w:t>
                  </w:r>
                </w:p>
              </w:tc>
              <w:tc>
                <w:tcPr>
                  <w:tcW w:w="870"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872"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720"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855"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both"/>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1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t/a</w:t>
                  </w:r>
                </w:p>
              </w:tc>
              <w:tc>
                <w:tcPr>
                  <w:tcW w:w="962" w:type="dxa"/>
                  <w:tcBorders>
                    <w:righ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kg/h</w:t>
                  </w:r>
                </w:p>
              </w:tc>
              <w:tc>
                <w:tcPr>
                  <w:tcW w:w="1035" w:type="dxa"/>
                  <w:tcBorders>
                    <w:lef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kern w:val="0"/>
                      <w:sz w:val="21"/>
                      <w:szCs w:val="21"/>
                      <w:u w:val="singl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mg/m</w:t>
                  </w:r>
                  <w:r>
                    <w:rPr>
                      <w:rFonts w:hint="default" w:ascii="Times New Roman" w:hAnsi="Times New Roman" w:eastAsia="宋体" w:cs="Times New Roman"/>
                      <w:b/>
                      <w:bCs/>
                      <w:color w:val="000000" w:themeColor="text1"/>
                      <w:sz w:val="21"/>
                      <w:szCs w:val="21"/>
                      <w:u w:val="single"/>
                      <w:vertAlign w:val="superscript"/>
                      <w:lang w:val="en-US" w:eastAsia="zh-CN"/>
                      <w14:textFill>
                        <w14:solidFill>
                          <w14:schemeClr w14:val="tx1"/>
                        </w14:solidFill>
                      </w14:textFill>
                    </w:rPr>
                    <w:t>3</w:t>
                  </w:r>
                </w:p>
              </w:tc>
              <w:tc>
                <w:tcPr>
                  <w:tcW w:w="79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trHeight w:val="922" w:hRule="atLeast"/>
                <w:jc w:val="center"/>
              </w:trPr>
              <w:tc>
                <w:tcPr>
                  <w:tcW w:w="357" w:type="dxa"/>
                  <w:vMerge w:val="restart"/>
                  <w:vAlign w:val="center"/>
                </w:tcPr>
                <w:p>
                  <w:pPr>
                    <w:pStyle w:val="7"/>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1</w:t>
                  </w:r>
                </w:p>
              </w:tc>
              <w:tc>
                <w:tcPr>
                  <w:tcW w:w="1096"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切割粉尘、下料粉尘、焊接烟尘</w:t>
                  </w:r>
                </w:p>
              </w:tc>
              <w:tc>
                <w:tcPr>
                  <w:tcW w:w="610"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颗粒物</w:t>
                  </w:r>
                </w:p>
              </w:tc>
              <w:tc>
                <w:tcPr>
                  <w:tcW w:w="341"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有组织</w:t>
                  </w:r>
                </w:p>
              </w:tc>
              <w:tc>
                <w:tcPr>
                  <w:tcW w:w="1091"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系数法</w:t>
                  </w:r>
                </w:p>
              </w:tc>
              <w:tc>
                <w:tcPr>
                  <w:tcW w:w="89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8.1234</w:t>
                  </w:r>
                </w:p>
              </w:tc>
              <w:tc>
                <w:tcPr>
                  <w:tcW w:w="104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3.3848</w:t>
                  </w:r>
                </w:p>
              </w:tc>
              <w:tc>
                <w:tcPr>
                  <w:tcW w:w="93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241.76</w:t>
                  </w:r>
                </w:p>
              </w:tc>
              <w:tc>
                <w:tcPr>
                  <w:tcW w:w="1742" w:type="dxa"/>
                  <w:gridSpan w:val="2"/>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覆膜袋式除尘器（14000m</w:t>
                  </w:r>
                  <w:r>
                    <w:rPr>
                      <w:rFonts w:hint="default" w:ascii="Times New Roman" w:hAnsi="Times New Roman" w:eastAsia="宋体" w:cs="Times New Roman"/>
                      <w:b/>
                      <w:bCs/>
                      <w:color w:val="000000" w:themeColor="text1"/>
                      <w:sz w:val="21"/>
                      <w:szCs w:val="21"/>
                      <w:u w:val="single"/>
                      <w:vertAlign w:val="superscript"/>
                      <w:lang w:val="en-US" w:eastAsia="zh-CN"/>
                      <w14:textFill>
                        <w14:solidFill>
                          <w14:schemeClr w14:val="tx1"/>
                        </w14:solidFill>
                      </w14:textFill>
                    </w:rPr>
                    <w:t>3</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/h）</w:t>
                  </w:r>
                </w:p>
              </w:tc>
              <w:tc>
                <w:tcPr>
                  <w:tcW w:w="72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99.8</w:t>
                  </w:r>
                </w:p>
              </w:tc>
              <w:tc>
                <w:tcPr>
                  <w:tcW w:w="855"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是</w:t>
                  </w:r>
                </w:p>
              </w:tc>
              <w:tc>
                <w:tcPr>
                  <w:tcW w:w="1014"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0.0163</w:t>
                  </w:r>
                </w:p>
              </w:tc>
              <w:tc>
                <w:tcPr>
                  <w:tcW w:w="962" w:type="dxa"/>
                  <w:vMerge w:val="restart"/>
                  <w:tcBorders>
                    <w:righ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0.0068</w:t>
                  </w:r>
                </w:p>
              </w:tc>
              <w:tc>
                <w:tcPr>
                  <w:tcW w:w="1035" w:type="dxa"/>
                  <w:vMerge w:val="restart"/>
                  <w:tcBorders>
                    <w:lef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0.34</w:t>
                  </w:r>
                </w:p>
              </w:tc>
              <w:tc>
                <w:tcPr>
                  <w:tcW w:w="790"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trHeight w:val="450" w:hRule="atLeast"/>
                <w:jc w:val="center"/>
              </w:trPr>
              <w:tc>
                <w:tcPr>
                  <w:tcW w:w="357" w:type="dxa"/>
                  <w:vMerge w:val="continue"/>
                  <w:vAlign w:val="center"/>
                </w:tcPr>
                <w:p>
                  <w:pPr>
                    <w:pStyle w:val="7"/>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96"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打磨粉尘</w:t>
                  </w:r>
                </w:p>
              </w:tc>
              <w:tc>
                <w:tcPr>
                  <w:tcW w:w="610"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341"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91"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系数法</w:t>
                  </w:r>
                </w:p>
              </w:tc>
              <w:tc>
                <w:tcPr>
                  <w:tcW w:w="89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2.628</w:t>
                  </w:r>
                </w:p>
              </w:tc>
              <w:tc>
                <w:tcPr>
                  <w:tcW w:w="104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1.098</w:t>
                  </w:r>
                </w:p>
              </w:tc>
              <w:tc>
                <w:tcPr>
                  <w:tcW w:w="93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183</w:t>
                  </w:r>
                </w:p>
              </w:tc>
              <w:tc>
                <w:tcPr>
                  <w:tcW w:w="1742" w:type="dxa"/>
                  <w:gridSpan w:val="2"/>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滤筒除尘器（6000m</w:t>
                  </w:r>
                  <w:r>
                    <w:rPr>
                      <w:rFonts w:hint="default" w:ascii="Times New Roman" w:hAnsi="Times New Roman" w:eastAsia="宋体" w:cs="Times New Roman"/>
                      <w:b/>
                      <w:bCs/>
                      <w:color w:val="000000" w:themeColor="text1"/>
                      <w:sz w:val="21"/>
                      <w:szCs w:val="21"/>
                      <w:u w:val="single"/>
                      <w:vertAlign w:val="superscript"/>
                      <w:lang w:val="en-US" w:eastAsia="zh-CN"/>
                      <w14:textFill>
                        <w14:solidFill>
                          <w14:schemeClr w14:val="tx1"/>
                        </w14:solidFill>
                      </w14:textFill>
                    </w:rPr>
                    <w:t>3</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/h）+覆膜袋式除尘器（14000m</w:t>
                  </w:r>
                  <w:r>
                    <w:rPr>
                      <w:rFonts w:hint="default" w:ascii="Times New Roman" w:hAnsi="Times New Roman" w:eastAsia="宋体" w:cs="Times New Roman"/>
                      <w:b/>
                      <w:bCs/>
                      <w:color w:val="000000" w:themeColor="text1"/>
                      <w:sz w:val="21"/>
                      <w:szCs w:val="21"/>
                      <w:u w:val="single"/>
                      <w:vertAlign w:val="superscript"/>
                      <w:lang w:val="en-US" w:eastAsia="zh-CN"/>
                      <w14:textFill>
                        <w14:solidFill>
                          <w14:schemeClr w14:val="tx1"/>
                        </w14:solidFill>
                      </w14:textFill>
                    </w:rPr>
                    <w:t>3</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/h）</w:t>
                  </w:r>
                </w:p>
              </w:tc>
              <w:tc>
                <w:tcPr>
                  <w:tcW w:w="72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99.998</w:t>
                  </w:r>
                </w:p>
              </w:tc>
              <w:tc>
                <w:tcPr>
                  <w:tcW w:w="855"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14"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962" w:type="dxa"/>
                  <w:vMerge w:val="continue"/>
                  <w:tcBorders>
                    <w:righ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35" w:type="dxa"/>
                  <w:vMerge w:val="continue"/>
                  <w:tcBorders>
                    <w:lef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790"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trHeight w:val="1495" w:hRule="atLeast"/>
                <w:jc w:val="center"/>
              </w:trPr>
              <w:tc>
                <w:tcPr>
                  <w:tcW w:w="357" w:type="dxa"/>
                  <w:vMerge w:val="restart"/>
                  <w:vAlign w:val="center"/>
                </w:tcPr>
                <w:p>
                  <w:pPr>
                    <w:pStyle w:val="7"/>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w:t>
                  </w:r>
                </w:p>
              </w:tc>
              <w:tc>
                <w:tcPr>
                  <w:tcW w:w="1096"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粘接、烘干废气、热处理废气、渗碳废气</w:t>
                  </w:r>
                </w:p>
              </w:tc>
              <w:tc>
                <w:tcPr>
                  <w:tcW w:w="61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非甲烷总烃（含甲醇）</w:t>
                  </w:r>
                </w:p>
              </w:tc>
              <w:tc>
                <w:tcPr>
                  <w:tcW w:w="341"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91"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系数法</w:t>
                  </w:r>
                </w:p>
              </w:tc>
              <w:tc>
                <w:tcPr>
                  <w:tcW w:w="89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0.0264</w:t>
                  </w:r>
                </w:p>
              </w:tc>
              <w:tc>
                <w:tcPr>
                  <w:tcW w:w="104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0.0178（其中渗碳年工作时间为600h）</w:t>
                  </w:r>
                </w:p>
              </w:tc>
              <w:tc>
                <w:tcPr>
                  <w:tcW w:w="93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2.37</w:t>
                  </w:r>
                </w:p>
              </w:tc>
              <w:tc>
                <w:tcPr>
                  <w:tcW w:w="870"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干式过滤器+二级活性炭吸附</w:t>
                  </w:r>
                </w:p>
              </w:tc>
              <w:tc>
                <w:tcPr>
                  <w:tcW w:w="872"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7500</w:t>
                  </w:r>
                </w:p>
              </w:tc>
              <w:tc>
                <w:tcPr>
                  <w:tcW w:w="720"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90</w:t>
                  </w:r>
                </w:p>
              </w:tc>
              <w:tc>
                <w:tcPr>
                  <w:tcW w:w="855"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是</w:t>
                  </w:r>
                </w:p>
              </w:tc>
              <w:tc>
                <w:tcPr>
                  <w:tcW w:w="101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0.0026</w:t>
                  </w:r>
                </w:p>
              </w:tc>
              <w:tc>
                <w:tcPr>
                  <w:tcW w:w="962" w:type="dxa"/>
                  <w:tcBorders>
                    <w:righ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0.0018</w:t>
                  </w:r>
                </w:p>
              </w:tc>
              <w:tc>
                <w:tcPr>
                  <w:tcW w:w="1035" w:type="dxa"/>
                  <w:tcBorders>
                    <w:lef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0.24</w:t>
                  </w:r>
                </w:p>
              </w:tc>
              <w:tc>
                <w:tcPr>
                  <w:tcW w:w="79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2400（其中渗碳工序600）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trHeight w:val="425" w:hRule="atLeast"/>
                <w:jc w:val="center"/>
              </w:trPr>
              <w:tc>
                <w:tcPr>
                  <w:tcW w:w="357" w:type="dxa"/>
                  <w:vMerge w:val="continue"/>
                  <w:vAlign w:val="center"/>
                </w:tcPr>
                <w:p>
                  <w:pPr>
                    <w:pStyle w:val="7"/>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96"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61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甲醇</w:t>
                  </w:r>
                </w:p>
              </w:tc>
              <w:tc>
                <w:tcPr>
                  <w:tcW w:w="341"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91"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系数法</w:t>
                  </w:r>
                </w:p>
              </w:tc>
              <w:tc>
                <w:tcPr>
                  <w:tcW w:w="89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0.0054</w:t>
                  </w:r>
                </w:p>
              </w:tc>
              <w:tc>
                <w:tcPr>
                  <w:tcW w:w="104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0.009</w:t>
                  </w:r>
                </w:p>
              </w:tc>
              <w:tc>
                <w:tcPr>
                  <w:tcW w:w="93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1.2</w:t>
                  </w:r>
                </w:p>
              </w:tc>
              <w:tc>
                <w:tcPr>
                  <w:tcW w:w="870"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872"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720"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855"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1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0.0005</w:t>
                  </w:r>
                </w:p>
              </w:tc>
              <w:tc>
                <w:tcPr>
                  <w:tcW w:w="962" w:type="dxa"/>
                  <w:tcBorders>
                    <w:righ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0.0009</w:t>
                  </w:r>
                </w:p>
              </w:tc>
              <w:tc>
                <w:tcPr>
                  <w:tcW w:w="1035" w:type="dxa"/>
                  <w:tcBorders>
                    <w:lef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0.12</w:t>
                  </w:r>
                </w:p>
              </w:tc>
              <w:tc>
                <w:tcPr>
                  <w:tcW w:w="79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trHeight w:val="231" w:hRule="atLeast"/>
                <w:jc w:val="center"/>
              </w:trPr>
              <w:tc>
                <w:tcPr>
                  <w:tcW w:w="357" w:type="dxa"/>
                  <w:vAlign w:val="center"/>
                </w:tcPr>
                <w:p>
                  <w:pPr>
                    <w:pStyle w:val="7"/>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3</w:t>
                  </w:r>
                </w:p>
              </w:tc>
              <w:tc>
                <w:tcPr>
                  <w:tcW w:w="1096"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热处理废气</w:t>
                  </w:r>
                </w:p>
              </w:tc>
              <w:tc>
                <w:tcPr>
                  <w:tcW w:w="61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油雾（颗粒物）</w:t>
                  </w:r>
                </w:p>
              </w:tc>
              <w:tc>
                <w:tcPr>
                  <w:tcW w:w="341"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91"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系数法</w:t>
                  </w:r>
                </w:p>
              </w:tc>
              <w:tc>
                <w:tcPr>
                  <w:tcW w:w="89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0.36</w:t>
                  </w:r>
                </w:p>
              </w:tc>
              <w:tc>
                <w:tcPr>
                  <w:tcW w:w="104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0.15</w:t>
                  </w:r>
                </w:p>
              </w:tc>
              <w:tc>
                <w:tcPr>
                  <w:tcW w:w="93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20</w:t>
                  </w:r>
                </w:p>
              </w:tc>
              <w:tc>
                <w:tcPr>
                  <w:tcW w:w="87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油雾净化器+干式过滤器+二级活性炭吸附</w:t>
                  </w:r>
                </w:p>
              </w:tc>
              <w:tc>
                <w:tcPr>
                  <w:tcW w:w="872"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72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99.9</w:t>
                  </w:r>
                </w:p>
              </w:tc>
              <w:tc>
                <w:tcPr>
                  <w:tcW w:w="85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是</w:t>
                  </w:r>
                </w:p>
              </w:tc>
              <w:tc>
                <w:tcPr>
                  <w:tcW w:w="101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0.0004</w:t>
                  </w:r>
                </w:p>
              </w:tc>
              <w:tc>
                <w:tcPr>
                  <w:tcW w:w="962" w:type="dxa"/>
                  <w:tcBorders>
                    <w:righ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0.0002</w:t>
                  </w:r>
                </w:p>
              </w:tc>
              <w:tc>
                <w:tcPr>
                  <w:tcW w:w="1035" w:type="dxa"/>
                  <w:tcBorders>
                    <w:lef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0.02</w:t>
                  </w:r>
                </w:p>
              </w:tc>
              <w:tc>
                <w:tcPr>
                  <w:tcW w:w="79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trHeight w:val="205" w:hRule="atLeast"/>
                <w:jc w:val="center"/>
              </w:trPr>
              <w:tc>
                <w:tcPr>
                  <w:tcW w:w="357" w:type="dxa"/>
                  <w:vAlign w:val="center"/>
                </w:tcPr>
                <w:p>
                  <w:pPr>
                    <w:pStyle w:val="7"/>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4</w:t>
                  </w:r>
                </w:p>
              </w:tc>
              <w:tc>
                <w:tcPr>
                  <w:tcW w:w="1096"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渗碳废气</w:t>
                  </w:r>
                </w:p>
              </w:tc>
              <w:tc>
                <w:tcPr>
                  <w:tcW w:w="61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CO</w:t>
                  </w:r>
                </w:p>
              </w:tc>
              <w:tc>
                <w:tcPr>
                  <w:tcW w:w="341"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91"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系数法</w:t>
                  </w:r>
                </w:p>
              </w:tc>
              <w:tc>
                <w:tcPr>
                  <w:tcW w:w="89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0.0031</w:t>
                  </w:r>
                </w:p>
              </w:tc>
              <w:tc>
                <w:tcPr>
                  <w:tcW w:w="104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0.0052</w:t>
                  </w:r>
                </w:p>
              </w:tc>
              <w:tc>
                <w:tcPr>
                  <w:tcW w:w="93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0.69</w:t>
                  </w:r>
                </w:p>
              </w:tc>
              <w:tc>
                <w:tcPr>
                  <w:tcW w:w="87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干式过滤器+二级活性炭吸附</w:t>
                  </w:r>
                </w:p>
              </w:tc>
              <w:tc>
                <w:tcPr>
                  <w:tcW w:w="872"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72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10</w:t>
                  </w:r>
                </w:p>
              </w:tc>
              <w:tc>
                <w:tcPr>
                  <w:tcW w:w="85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是</w:t>
                  </w:r>
                </w:p>
              </w:tc>
              <w:tc>
                <w:tcPr>
                  <w:tcW w:w="101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0.0028</w:t>
                  </w:r>
                </w:p>
              </w:tc>
              <w:tc>
                <w:tcPr>
                  <w:tcW w:w="962" w:type="dxa"/>
                  <w:tcBorders>
                    <w:righ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0.0047</w:t>
                  </w:r>
                </w:p>
              </w:tc>
              <w:tc>
                <w:tcPr>
                  <w:tcW w:w="1035" w:type="dxa"/>
                  <w:tcBorders>
                    <w:lef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0.63</w:t>
                  </w:r>
                </w:p>
              </w:tc>
              <w:tc>
                <w:tcPr>
                  <w:tcW w:w="79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trHeight w:val="283" w:hRule="atLeast"/>
                <w:jc w:val="center"/>
              </w:trPr>
              <w:tc>
                <w:tcPr>
                  <w:tcW w:w="357" w:type="dxa"/>
                  <w:vAlign w:val="center"/>
                </w:tcPr>
                <w:p>
                  <w:pPr>
                    <w:pStyle w:val="7"/>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5</w:t>
                  </w:r>
                </w:p>
              </w:tc>
              <w:tc>
                <w:tcPr>
                  <w:tcW w:w="1096"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生产车间</w:t>
                  </w:r>
                </w:p>
              </w:tc>
              <w:tc>
                <w:tcPr>
                  <w:tcW w:w="61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颗粒物</w:t>
                  </w:r>
                </w:p>
              </w:tc>
              <w:tc>
                <w:tcPr>
                  <w:tcW w:w="341"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无组织</w:t>
                  </w:r>
                </w:p>
              </w:tc>
              <w:tc>
                <w:tcPr>
                  <w:tcW w:w="1091"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系数法</w:t>
                  </w:r>
                </w:p>
              </w:tc>
              <w:tc>
                <w:tcPr>
                  <w:tcW w:w="89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0.9413</w:t>
                  </w:r>
                </w:p>
              </w:tc>
              <w:tc>
                <w:tcPr>
                  <w:tcW w:w="104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0.3922</w:t>
                  </w:r>
                </w:p>
              </w:tc>
              <w:tc>
                <w:tcPr>
                  <w:tcW w:w="93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870"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生产车间密闭，定期清扫</w:t>
                  </w:r>
                </w:p>
              </w:tc>
              <w:tc>
                <w:tcPr>
                  <w:tcW w:w="872"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72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99%</w:t>
                  </w:r>
                </w:p>
              </w:tc>
              <w:tc>
                <w:tcPr>
                  <w:tcW w:w="85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是</w:t>
                  </w:r>
                </w:p>
              </w:tc>
              <w:tc>
                <w:tcPr>
                  <w:tcW w:w="101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0.0094</w:t>
                  </w:r>
                </w:p>
              </w:tc>
              <w:tc>
                <w:tcPr>
                  <w:tcW w:w="962" w:type="dxa"/>
                  <w:tcBorders>
                    <w:righ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0.0039</w:t>
                  </w:r>
                </w:p>
              </w:tc>
              <w:tc>
                <w:tcPr>
                  <w:tcW w:w="1035" w:type="dxa"/>
                  <w:tcBorders>
                    <w:lef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79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trHeight w:val="283" w:hRule="atLeast"/>
                <w:jc w:val="center"/>
              </w:trPr>
              <w:tc>
                <w:tcPr>
                  <w:tcW w:w="357" w:type="dxa"/>
                  <w:vAlign w:val="center"/>
                </w:tcPr>
                <w:p>
                  <w:pPr>
                    <w:pStyle w:val="7"/>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6</w:t>
                  </w:r>
                </w:p>
              </w:tc>
              <w:tc>
                <w:tcPr>
                  <w:tcW w:w="1096"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61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非甲烷总烃（含甲醇）</w:t>
                  </w:r>
                </w:p>
              </w:tc>
              <w:tc>
                <w:tcPr>
                  <w:tcW w:w="341"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91"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系数法</w:t>
                  </w:r>
                </w:p>
              </w:tc>
              <w:tc>
                <w:tcPr>
                  <w:tcW w:w="89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约0.0006</w:t>
                  </w:r>
                </w:p>
              </w:tc>
              <w:tc>
                <w:tcPr>
                  <w:tcW w:w="104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约0.001（其中渗碳年工作时间为600h）</w:t>
                  </w:r>
                </w:p>
              </w:tc>
              <w:tc>
                <w:tcPr>
                  <w:tcW w:w="93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870"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872"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72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85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101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约0.0006</w:t>
                  </w:r>
                </w:p>
              </w:tc>
              <w:tc>
                <w:tcPr>
                  <w:tcW w:w="962" w:type="dxa"/>
                  <w:tcBorders>
                    <w:righ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约0.001</w:t>
                  </w:r>
                </w:p>
              </w:tc>
              <w:tc>
                <w:tcPr>
                  <w:tcW w:w="1035" w:type="dxa"/>
                  <w:tcBorders>
                    <w:lef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79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2400（其中渗碳工序600h）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trHeight w:val="283" w:hRule="atLeast"/>
                <w:jc w:val="center"/>
              </w:trPr>
              <w:tc>
                <w:tcPr>
                  <w:tcW w:w="357" w:type="dxa"/>
                  <w:vAlign w:val="center"/>
                </w:tcPr>
                <w:p>
                  <w:pPr>
                    <w:pStyle w:val="7"/>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7</w:t>
                  </w:r>
                </w:p>
              </w:tc>
              <w:tc>
                <w:tcPr>
                  <w:tcW w:w="1096"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61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甲醇</w:t>
                  </w:r>
                </w:p>
              </w:tc>
              <w:tc>
                <w:tcPr>
                  <w:tcW w:w="341"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91"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系数法</w:t>
                  </w:r>
                </w:p>
              </w:tc>
              <w:tc>
                <w:tcPr>
                  <w:tcW w:w="89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0.0006</w:t>
                  </w:r>
                </w:p>
              </w:tc>
              <w:tc>
                <w:tcPr>
                  <w:tcW w:w="104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0.001</w:t>
                  </w:r>
                </w:p>
              </w:tc>
              <w:tc>
                <w:tcPr>
                  <w:tcW w:w="93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870"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872"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72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85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101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0.0006</w:t>
                  </w:r>
                </w:p>
              </w:tc>
              <w:tc>
                <w:tcPr>
                  <w:tcW w:w="962" w:type="dxa"/>
                  <w:tcBorders>
                    <w:righ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0.001</w:t>
                  </w:r>
                </w:p>
              </w:tc>
              <w:tc>
                <w:tcPr>
                  <w:tcW w:w="1035" w:type="dxa"/>
                  <w:tcBorders>
                    <w:lef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79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28" w:type="dxa"/>
                  <w:bottom w:w="57" w:type="dxa"/>
                  <w:right w:w="28" w:type="dxa"/>
                </w:tblCellMar>
              </w:tblPrEx>
              <w:trPr>
                <w:trHeight w:val="283" w:hRule="atLeast"/>
                <w:jc w:val="center"/>
              </w:trPr>
              <w:tc>
                <w:tcPr>
                  <w:tcW w:w="357" w:type="dxa"/>
                  <w:vAlign w:val="center"/>
                </w:tcPr>
                <w:p>
                  <w:pPr>
                    <w:pStyle w:val="7"/>
                    <w:keepNext w:val="0"/>
                    <w:keepLines w:val="0"/>
                    <w:pageBreakBefore w:val="0"/>
                    <w:widowControl w:val="0"/>
                    <w:kinsoku/>
                    <w:wordWrap/>
                    <w:overflowPunct/>
                    <w:topLinePunct w:val="0"/>
                    <w:autoSpaceDE/>
                    <w:autoSpaceDN/>
                    <w:bidi w:val="0"/>
                    <w:adjustRightInd/>
                    <w:snapToGrid/>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8</w:t>
                  </w:r>
                </w:p>
              </w:tc>
              <w:tc>
                <w:tcPr>
                  <w:tcW w:w="1096"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61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CO</w:t>
                  </w:r>
                </w:p>
              </w:tc>
              <w:tc>
                <w:tcPr>
                  <w:tcW w:w="341"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1091"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系数法</w:t>
                  </w:r>
                </w:p>
              </w:tc>
              <w:tc>
                <w:tcPr>
                  <w:tcW w:w="89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0.0003</w:t>
                  </w:r>
                </w:p>
              </w:tc>
              <w:tc>
                <w:tcPr>
                  <w:tcW w:w="104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0.0005</w:t>
                  </w:r>
                </w:p>
              </w:tc>
              <w:tc>
                <w:tcPr>
                  <w:tcW w:w="93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870"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p>
              </w:tc>
              <w:tc>
                <w:tcPr>
                  <w:tcW w:w="872"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72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85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101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0.0003</w:t>
                  </w:r>
                </w:p>
              </w:tc>
              <w:tc>
                <w:tcPr>
                  <w:tcW w:w="962" w:type="dxa"/>
                  <w:tcBorders>
                    <w:righ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0.0005</w:t>
                  </w:r>
                </w:p>
              </w:tc>
              <w:tc>
                <w:tcPr>
                  <w:tcW w:w="1035" w:type="dxa"/>
                  <w:tcBorders>
                    <w:left w:val="single" w:color="auto" w:sz="2" w:space="0"/>
                  </w:tcBorders>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79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600</w:t>
                  </w:r>
                </w:p>
              </w:tc>
            </w:tr>
          </w:tbl>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废气污染源达标分析一览表</w:t>
            </w:r>
          </w:p>
          <w:tbl>
            <w:tblPr>
              <w:tblStyle w:val="16"/>
              <w:tblW w:w="1349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3"/>
              <w:gridCol w:w="830"/>
              <w:gridCol w:w="888"/>
              <w:gridCol w:w="1387"/>
              <w:gridCol w:w="1075"/>
              <w:gridCol w:w="900"/>
              <w:gridCol w:w="1075"/>
              <w:gridCol w:w="1063"/>
              <w:gridCol w:w="1075"/>
              <w:gridCol w:w="1100"/>
              <w:gridCol w:w="375"/>
              <w:gridCol w:w="32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83" w:type="dxa"/>
                  <w:vMerge w:val="restart"/>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830" w:type="dxa"/>
                  <w:vMerge w:val="restart"/>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排气筒编号</w:t>
                  </w:r>
                </w:p>
              </w:tc>
              <w:tc>
                <w:tcPr>
                  <w:tcW w:w="888" w:type="dxa"/>
                  <w:vMerge w:val="restart"/>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排气筒名称</w:t>
                  </w:r>
                </w:p>
              </w:tc>
              <w:tc>
                <w:tcPr>
                  <w:tcW w:w="1387" w:type="dxa"/>
                  <w:vMerge w:val="restart"/>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污染源名称</w:t>
                  </w:r>
                </w:p>
              </w:tc>
              <w:tc>
                <w:tcPr>
                  <w:tcW w:w="1075" w:type="dxa"/>
                  <w:vMerge w:val="restart"/>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污染物</w:t>
                  </w:r>
                </w:p>
              </w:tc>
              <w:tc>
                <w:tcPr>
                  <w:tcW w:w="900" w:type="dxa"/>
                  <w:vMerge w:val="restart"/>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烟气量m</w:t>
                  </w:r>
                  <w:r>
                    <w:rPr>
                      <w:rFonts w:hint="default" w:ascii="Times New Roman" w:hAnsi="Times New Roman" w:eastAsia="宋体" w:cs="Times New Roman"/>
                      <w:color w:val="000000" w:themeColor="text1"/>
                      <w:sz w:val="21"/>
                      <w:szCs w:val="21"/>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/h</w:t>
                  </w:r>
                </w:p>
              </w:tc>
              <w:tc>
                <w:tcPr>
                  <w:tcW w:w="2138" w:type="dxa"/>
                  <w:gridSpan w:val="2"/>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污染物排放情况</w:t>
                  </w:r>
                </w:p>
              </w:tc>
              <w:tc>
                <w:tcPr>
                  <w:tcW w:w="2175" w:type="dxa"/>
                  <w:gridSpan w:val="2"/>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排放标准限值</w:t>
                  </w:r>
                </w:p>
              </w:tc>
              <w:tc>
                <w:tcPr>
                  <w:tcW w:w="375" w:type="dxa"/>
                  <w:vMerge w:val="restart"/>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达标情况</w:t>
                  </w:r>
                </w:p>
              </w:tc>
              <w:tc>
                <w:tcPr>
                  <w:tcW w:w="3240" w:type="dxa"/>
                  <w:vMerge w:val="restart"/>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执行标准名称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83" w:type="dxa"/>
                  <w:vMerge w:val="continue"/>
                  <w:vAlign w:val="center"/>
                </w:tcPr>
                <w:p>
                  <w:pPr>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30" w:type="dxa"/>
                  <w:vMerge w:val="continue"/>
                  <w:vAlign w:val="center"/>
                </w:tcPr>
                <w:p>
                  <w:pPr>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8" w:type="dxa"/>
                  <w:vMerge w:val="continue"/>
                  <w:vAlign w:val="center"/>
                </w:tcPr>
                <w:p>
                  <w:pPr>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87" w:type="dxa"/>
                  <w:vMerge w:val="continue"/>
                  <w:vAlign w:val="center"/>
                </w:tcPr>
                <w:p>
                  <w:pPr>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75" w:type="dxa"/>
                  <w:vMerge w:val="continue"/>
                  <w:vAlign w:val="center"/>
                </w:tcPr>
                <w:p>
                  <w:pPr>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00" w:type="dxa"/>
                  <w:vMerge w:val="continue"/>
                  <w:vAlign w:val="center"/>
                </w:tcPr>
                <w:p>
                  <w:pPr>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75"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排放浓度</w:t>
                  </w:r>
                </w:p>
              </w:tc>
              <w:tc>
                <w:tcPr>
                  <w:tcW w:w="1063"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排放速率</w:t>
                  </w:r>
                </w:p>
              </w:tc>
              <w:tc>
                <w:tcPr>
                  <w:tcW w:w="1075"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排放浓度</w:t>
                  </w:r>
                </w:p>
              </w:tc>
              <w:tc>
                <w:tcPr>
                  <w:tcW w:w="110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排放速率</w:t>
                  </w:r>
                </w:p>
              </w:tc>
              <w:tc>
                <w:tcPr>
                  <w:tcW w:w="375" w:type="dxa"/>
                  <w:vMerge w:val="continue"/>
                  <w:vAlign w:val="center"/>
                </w:tcPr>
                <w:p>
                  <w:pPr>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3240" w:type="dxa"/>
                  <w:vMerge w:val="continue"/>
                  <w:vAlign w:val="center"/>
                </w:tcPr>
                <w:p>
                  <w:pPr>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83" w:type="dxa"/>
                  <w:vMerge w:val="continue"/>
                  <w:vAlign w:val="center"/>
                </w:tcPr>
                <w:p>
                  <w:pPr>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30" w:type="dxa"/>
                  <w:vMerge w:val="continue"/>
                  <w:vAlign w:val="center"/>
                </w:tcPr>
                <w:p>
                  <w:pPr>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888" w:type="dxa"/>
                  <w:vMerge w:val="continue"/>
                  <w:vAlign w:val="center"/>
                </w:tcPr>
                <w:p>
                  <w:pPr>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387" w:type="dxa"/>
                  <w:vMerge w:val="continue"/>
                  <w:vAlign w:val="center"/>
                </w:tcPr>
                <w:p>
                  <w:pPr>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75" w:type="dxa"/>
                  <w:vMerge w:val="continue"/>
                  <w:vAlign w:val="center"/>
                </w:tcPr>
                <w:p>
                  <w:pPr>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900" w:type="dxa"/>
                  <w:vMerge w:val="continue"/>
                  <w:vAlign w:val="center"/>
                </w:tcPr>
                <w:p>
                  <w:pPr>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c>
                <w:tcPr>
                  <w:tcW w:w="1075"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p>
              </w:tc>
              <w:tc>
                <w:tcPr>
                  <w:tcW w:w="1063"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kg/h</w:t>
                  </w:r>
                </w:p>
              </w:tc>
              <w:tc>
                <w:tcPr>
                  <w:tcW w:w="1075"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mg/m</w:t>
                  </w:r>
                  <w:r>
                    <w:rPr>
                      <w:rFonts w:hint="default" w:ascii="Times New Roman" w:hAnsi="Times New Roman" w:eastAsia="宋体" w:cs="Times New Roman"/>
                      <w:color w:val="000000" w:themeColor="text1"/>
                      <w:sz w:val="21"/>
                      <w:szCs w:val="21"/>
                      <w:vertAlign w:val="superscript"/>
                      <w14:textFill>
                        <w14:solidFill>
                          <w14:schemeClr w14:val="tx1"/>
                        </w14:solidFill>
                      </w14:textFill>
                    </w:rPr>
                    <w:t>3</w:t>
                  </w:r>
                </w:p>
              </w:tc>
              <w:tc>
                <w:tcPr>
                  <w:tcW w:w="110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kg/h</w:t>
                  </w:r>
                </w:p>
              </w:tc>
              <w:tc>
                <w:tcPr>
                  <w:tcW w:w="375"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p>
              </w:tc>
              <w:tc>
                <w:tcPr>
                  <w:tcW w:w="3240" w:type="dxa"/>
                  <w:vMerge w:val="continue"/>
                  <w:vAlign w:val="center"/>
                </w:tcPr>
                <w:p>
                  <w:pPr>
                    <w:keepNext w:val="0"/>
                    <w:keepLines w:val="0"/>
                    <w:pageBreakBefore w:val="0"/>
                    <w:widowControl/>
                    <w:kinsoku/>
                    <w:wordWrap/>
                    <w:overflowPunct/>
                    <w:topLinePunct w:val="0"/>
                    <w:autoSpaceDE/>
                    <w:autoSpaceDN/>
                    <w:bidi w:val="0"/>
                    <w:adjustRightInd/>
                    <w:snapToGrid/>
                    <w:jc w:val="left"/>
                    <w:textAlignment w:val="auto"/>
                    <w:rPr>
                      <w:rFonts w:hint="default" w:ascii="Times New Roman" w:hAnsi="Times New Roman" w:eastAsia="宋体" w:cs="Times New Roman"/>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3" w:hRule="atLeast"/>
                <w:jc w:val="center"/>
              </w:trPr>
              <w:tc>
                <w:tcPr>
                  <w:tcW w:w="483"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83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DA001</w:t>
                  </w:r>
                </w:p>
              </w:tc>
              <w:tc>
                <w:tcPr>
                  <w:tcW w:w="888"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1#废气排气筒</w:t>
                  </w:r>
                </w:p>
              </w:tc>
              <w:tc>
                <w:tcPr>
                  <w:tcW w:w="1387"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切割粉尘、下料粉尘、焊接烟尘、打磨粉尘</w:t>
                  </w: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颗粒物</w:t>
                  </w:r>
                </w:p>
              </w:tc>
              <w:tc>
                <w:tcPr>
                  <w:tcW w:w="90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t>20000</w:t>
                  </w:r>
                </w:p>
              </w:tc>
              <w:tc>
                <w:tcPr>
                  <w:tcW w:w="1075"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0.34</w:t>
                  </w:r>
                </w:p>
              </w:tc>
              <w:tc>
                <w:tcPr>
                  <w:tcW w:w="1063"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0.0068</w:t>
                  </w:r>
                </w:p>
              </w:tc>
              <w:tc>
                <w:tcPr>
                  <w:tcW w:w="1075"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10</w:t>
                  </w:r>
                </w:p>
              </w:tc>
              <w:tc>
                <w:tcPr>
                  <w:tcW w:w="110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3.5</w:t>
                  </w:r>
                </w:p>
              </w:tc>
              <w:tc>
                <w:tcPr>
                  <w:tcW w:w="375" w:type="dxa"/>
                  <w:vAlign w:val="center"/>
                </w:tcPr>
                <w:p>
                  <w:pPr>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c>
                <w:tcPr>
                  <w:tcW w:w="3240" w:type="dxa"/>
                  <w:vMerge w:val="restart"/>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《大气污染物综合排放标准》（GB16297-1996）表2</w:t>
                  </w: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二级</w:t>
                  </w: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7" w:hRule="atLeast"/>
                <w:jc w:val="center"/>
              </w:trPr>
              <w:tc>
                <w:tcPr>
                  <w:tcW w:w="483" w:type="dxa"/>
                  <w:vMerge w:val="restart"/>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830" w:type="dxa"/>
                  <w:vMerge w:val="restart"/>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DA002</w:t>
                  </w:r>
                </w:p>
              </w:tc>
              <w:tc>
                <w:tcPr>
                  <w:tcW w:w="888" w:type="dxa"/>
                  <w:vMerge w:val="restart"/>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2#排气筒</w:t>
                  </w:r>
                </w:p>
              </w:tc>
              <w:tc>
                <w:tcPr>
                  <w:tcW w:w="1387"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粘接、烘干废气、热处理废气、渗碳废气</w:t>
                  </w: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油雾（颗粒物）</w:t>
                  </w:r>
                </w:p>
              </w:tc>
              <w:tc>
                <w:tcPr>
                  <w:tcW w:w="900"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t>7500</w:t>
                  </w:r>
                </w:p>
              </w:tc>
              <w:tc>
                <w:tcPr>
                  <w:tcW w:w="1075"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0.02</w:t>
                  </w:r>
                </w:p>
              </w:tc>
              <w:tc>
                <w:tcPr>
                  <w:tcW w:w="1063"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0.0002</w:t>
                  </w:r>
                </w:p>
              </w:tc>
              <w:tc>
                <w:tcPr>
                  <w:tcW w:w="1075"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t>10</w:t>
                  </w:r>
                </w:p>
              </w:tc>
              <w:tc>
                <w:tcPr>
                  <w:tcW w:w="110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3.5</w:t>
                  </w:r>
                </w:p>
              </w:tc>
              <w:tc>
                <w:tcPr>
                  <w:tcW w:w="375" w:type="dxa"/>
                  <w:vAlign w:val="center"/>
                </w:tcPr>
                <w:p>
                  <w:pPr>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c>
                <w:tcPr>
                  <w:tcW w:w="3240"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0" w:hRule="atLeast"/>
                <w:jc w:val="center"/>
              </w:trPr>
              <w:tc>
                <w:tcPr>
                  <w:tcW w:w="483"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30"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88"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p>
              </w:tc>
              <w:tc>
                <w:tcPr>
                  <w:tcW w:w="1387"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非甲烷总烃（含甲醇）</w:t>
                  </w:r>
                </w:p>
              </w:tc>
              <w:tc>
                <w:tcPr>
                  <w:tcW w:w="900"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0.24</w:t>
                  </w:r>
                </w:p>
              </w:tc>
              <w:tc>
                <w:tcPr>
                  <w:tcW w:w="1063"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0.0018</w:t>
                  </w: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40</w:t>
                  </w:r>
                </w:p>
              </w:tc>
              <w:tc>
                <w:tcPr>
                  <w:tcW w:w="110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w:t>
                  </w:r>
                </w:p>
              </w:tc>
              <w:tc>
                <w:tcPr>
                  <w:tcW w:w="375" w:type="dxa"/>
                  <w:vAlign w:val="center"/>
                </w:tcPr>
                <w:p>
                  <w:pPr>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c>
                <w:tcPr>
                  <w:tcW w:w="324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《关于全省开展工业企业挥发性有机物专项治理工作中排放建议值的通知》（豫环攻坚办〔2017〕162号）“其他行业”要求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483"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30"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88"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p>
              </w:tc>
              <w:tc>
                <w:tcPr>
                  <w:tcW w:w="1387"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甲醇</w:t>
                  </w:r>
                </w:p>
              </w:tc>
              <w:tc>
                <w:tcPr>
                  <w:tcW w:w="900"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0.12</w:t>
                  </w:r>
                </w:p>
              </w:tc>
              <w:tc>
                <w:tcPr>
                  <w:tcW w:w="1063"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0.0009</w:t>
                  </w: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190</w:t>
                  </w:r>
                </w:p>
              </w:tc>
              <w:tc>
                <w:tcPr>
                  <w:tcW w:w="110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5.1</w:t>
                  </w:r>
                </w:p>
              </w:tc>
              <w:tc>
                <w:tcPr>
                  <w:tcW w:w="375" w:type="dxa"/>
                  <w:vAlign w:val="center"/>
                </w:tcPr>
                <w:p>
                  <w:pPr>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c>
                <w:tcPr>
                  <w:tcW w:w="324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《大气污染物综合排放标准》（GB16297-1996）表2</w:t>
                  </w: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二级</w:t>
                  </w: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4" w:hRule="atLeast"/>
                <w:jc w:val="center"/>
              </w:trPr>
              <w:tc>
                <w:tcPr>
                  <w:tcW w:w="483"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30"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88"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p>
              </w:tc>
              <w:tc>
                <w:tcPr>
                  <w:tcW w:w="1387"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CO</w:t>
                  </w:r>
                </w:p>
              </w:tc>
              <w:tc>
                <w:tcPr>
                  <w:tcW w:w="900"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0.63</w:t>
                  </w:r>
                </w:p>
              </w:tc>
              <w:tc>
                <w:tcPr>
                  <w:tcW w:w="1063"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0.0047</w:t>
                  </w: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110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w:t>
                  </w:r>
                </w:p>
              </w:tc>
              <w:tc>
                <w:tcPr>
                  <w:tcW w:w="375" w:type="dxa"/>
                  <w:vAlign w:val="center"/>
                </w:tcPr>
                <w:p>
                  <w:pPr>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324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483" w:type="dxa"/>
                  <w:vMerge w:val="restart"/>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830" w:type="dxa"/>
                  <w:vMerge w:val="restart"/>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无组织废气</w:t>
                  </w:r>
                </w:p>
              </w:tc>
              <w:tc>
                <w:tcPr>
                  <w:tcW w:w="888" w:type="dxa"/>
                  <w:vMerge w:val="restart"/>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w:t>
                  </w:r>
                </w:p>
              </w:tc>
              <w:tc>
                <w:tcPr>
                  <w:tcW w:w="1387"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生产车间</w:t>
                  </w: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颗粒物</w:t>
                  </w:r>
                </w:p>
              </w:tc>
              <w:tc>
                <w:tcPr>
                  <w:tcW w:w="90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t>/</w:t>
                  </w: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1063"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0.0039</w:t>
                  </w: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1.0</w:t>
                  </w:r>
                </w:p>
              </w:tc>
              <w:tc>
                <w:tcPr>
                  <w:tcW w:w="110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w:t>
                  </w:r>
                </w:p>
              </w:tc>
              <w:tc>
                <w:tcPr>
                  <w:tcW w:w="375" w:type="dxa"/>
                  <w:vAlign w:val="center"/>
                </w:tcPr>
                <w:p>
                  <w:pPr>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c>
                <w:tcPr>
                  <w:tcW w:w="324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《大气污染物综合排放标准》（GB16297-1996）表2</w:t>
                  </w: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无组织排放监控浓度限值要求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483"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30"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88"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p>
              </w:tc>
              <w:tc>
                <w:tcPr>
                  <w:tcW w:w="1387"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非甲烷总烃（含甲醇）</w:t>
                  </w:r>
                </w:p>
              </w:tc>
              <w:tc>
                <w:tcPr>
                  <w:tcW w:w="90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t>/</w:t>
                  </w: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1063"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0.001</w:t>
                  </w: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2.0</w:t>
                  </w:r>
                </w:p>
              </w:tc>
              <w:tc>
                <w:tcPr>
                  <w:tcW w:w="110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w:t>
                  </w:r>
                </w:p>
              </w:tc>
              <w:tc>
                <w:tcPr>
                  <w:tcW w:w="375" w:type="dxa"/>
                  <w:vAlign w:val="center"/>
                </w:tcPr>
                <w:p>
                  <w:pPr>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c>
                <w:tcPr>
                  <w:tcW w:w="324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《关于全省开展工业企业挥发性有机物专项治理工作中排放建议值的通知》（豫环攻坚办〔2017〕162号）“其他行业”要求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483"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30"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88"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p>
              </w:tc>
              <w:tc>
                <w:tcPr>
                  <w:tcW w:w="1387"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甲醇</w:t>
                  </w:r>
                </w:p>
              </w:tc>
              <w:tc>
                <w:tcPr>
                  <w:tcW w:w="90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t>/</w:t>
                  </w: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1063"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0.001</w:t>
                  </w: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12</w:t>
                  </w:r>
                </w:p>
              </w:tc>
              <w:tc>
                <w:tcPr>
                  <w:tcW w:w="110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w:t>
                  </w:r>
                </w:p>
              </w:tc>
              <w:tc>
                <w:tcPr>
                  <w:tcW w:w="375" w:type="dxa"/>
                  <w:vAlign w:val="center"/>
                </w:tcPr>
                <w:p>
                  <w:pPr>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达标</w:t>
                  </w:r>
                </w:p>
              </w:tc>
              <w:tc>
                <w:tcPr>
                  <w:tcW w:w="324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eastAsia="zh-CN"/>
                      <w14:textFill>
                        <w14:solidFill>
                          <w14:schemeClr w14:val="tx1"/>
                        </w14:solidFill>
                      </w14:textFill>
                    </w:rPr>
                    <w:t>《大气污染物综合排放标准》（GB16297-1996）表2</w:t>
                  </w: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无组织排放监控浓度限值要求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 w:hRule="atLeast"/>
                <w:jc w:val="center"/>
              </w:trPr>
              <w:tc>
                <w:tcPr>
                  <w:tcW w:w="483"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30"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88" w:type="dxa"/>
                  <w:vMerge w:val="continue"/>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p>
              </w:tc>
              <w:tc>
                <w:tcPr>
                  <w:tcW w:w="1387"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CO</w:t>
                  </w:r>
                </w:p>
              </w:tc>
              <w:tc>
                <w:tcPr>
                  <w:tcW w:w="900"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t>/</w:t>
                  </w: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1063"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0.0005</w:t>
                  </w:r>
                </w:p>
              </w:tc>
              <w:tc>
                <w:tcPr>
                  <w:tcW w:w="1075"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110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w:t>
                  </w:r>
                </w:p>
              </w:tc>
              <w:tc>
                <w:tcPr>
                  <w:tcW w:w="375" w:type="dxa"/>
                  <w:vAlign w:val="center"/>
                </w:tcPr>
                <w:p>
                  <w:pPr>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w:t>
                  </w:r>
                </w:p>
              </w:tc>
              <w:tc>
                <w:tcPr>
                  <w:tcW w:w="3240"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w:t>
                  </w:r>
                </w:p>
              </w:tc>
            </w:tr>
          </w:tbl>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废气污染源排放口情况一览表</w:t>
            </w:r>
          </w:p>
          <w:tbl>
            <w:tblPr>
              <w:tblStyle w:val="16"/>
              <w:tblW w:w="134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57" w:type="dxa"/>
                <w:left w:w="108" w:type="dxa"/>
                <w:bottom w:w="57" w:type="dxa"/>
                <w:right w:w="108" w:type="dxa"/>
              </w:tblCellMar>
            </w:tblPr>
            <w:tblGrid>
              <w:gridCol w:w="1023"/>
              <w:gridCol w:w="2364"/>
              <w:gridCol w:w="1309"/>
              <w:gridCol w:w="1379"/>
              <w:gridCol w:w="1514"/>
              <w:gridCol w:w="1363"/>
              <w:gridCol w:w="1333"/>
              <w:gridCol w:w="32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283" w:hRule="atLeast"/>
                <w:jc w:val="center"/>
              </w:trPr>
              <w:tc>
                <w:tcPr>
                  <w:tcW w:w="1023"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序号</w:t>
                  </w:r>
                </w:p>
              </w:tc>
              <w:tc>
                <w:tcPr>
                  <w:tcW w:w="2364" w:type="dxa"/>
                  <w:vMerge w:val="restar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名称</w:t>
                  </w:r>
                </w:p>
              </w:tc>
              <w:tc>
                <w:tcPr>
                  <w:tcW w:w="10101" w:type="dxa"/>
                  <w:gridSpan w:val="6"/>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排放口基本情况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283" w:hRule="atLeast"/>
                <w:jc w:val="center"/>
              </w:trPr>
              <w:tc>
                <w:tcPr>
                  <w:tcW w:w="1023"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2364" w:type="dxa"/>
                  <w:vMerge w:val="continue"/>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309"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编号</w:t>
                  </w:r>
                </w:p>
              </w:tc>
              <w:tc>
                <w:tcPr>
                  <w:tcW w:w="1379"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高度/m</w:t>
                  </w:r>
                </w:p>
              </w:tc>
              <w:tc>
                <w:tcPr>
                  <w:tcW w:w="151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内径/m</w:t>
                  </w:r>
                </w:p>
              </w:tc>
              <w:tc>
                <w:tcPr>
                  <w:tcW w:w="1363"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温度/℃</w:t>
                  </w:r>
                </w:p>
              </w:tc>
              <w:tc>
                <w:tcPr>
                  <w:tcW w:w="1333"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类型</w:t>
                  </w:r>
                </w:p>
              </w:tc>
              <w:tc>
                <w:tcPr>
                  <w:tcW w:w="3203"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地理坐标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283" w:hRule="atLeast"/>
                <w:jc w:val="center"/>
              </w:trPr>
              <w:tc>
                <w:tcPr>
                  <w:tcW w:w="1023"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1</w:t>
                  </w:r>
                </w:p>
              </w:tc>
              <w:tc>
                <w:tcPr>
                  <w:tcW w:w="2364"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颗粒物废气排气筒</w:t>
                  </w:r>
                </w:p>
              </w:tc>
              <w:tc>
                <w:tcPr>
                  <w:tcW w:w="1309"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DA001</w:t>
                  </w:r>
                </w:p>
              </w:tc>
              <w:tc>
                <w:tcPr>
                  <w:tcW w:w="1379"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15</w:t>
                  </w:r>
                </w:p>
              </w:tc>
              <w:tc>
                <w:tcPr>
                  <w:tcW w:w="1514"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0.8</w:t>
                  </w:r>
                </w:p>
              </w:tc>
              <w:tc>
                <w:tcPr>
                  <w:tcW w:w="1363" w:type="dxa"/>
                  <w:vAlign w:val="center"/>
                </w:tcPr>
                <w:p>
                  <w:pPr>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25</w:t>
                  </w:r>
                </w:p>
              </w:tc>
              <w:tc>
                <w:tcPr>
                  <w:tcW w:w="1333"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一般排放口</w:t>
                  </w:r>
                </w:p>
              </w:tc>
              <w:tc>
                <w:tcPr>
                  <w:tcW w:w="3203" w:type="dxa"/>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经度：115.129922</w:t>
                  </w:r>
                </w:p>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纬度：35.806981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57" w:type="dxa"/>
                  <w:left w:w="108" w:type="dxa"/>
                  <w:bottom w:w="57" w:type="dxa"/>
                  <w:right w:w="108" w:type="dxa"/>
                </w:tblCellMar>
              </w:tblPrEx>
              <w:trPr>
                <w:trHeight w:val="283" w:hRule="atLeast"/>
                <w:jc w:val="center"/>
              </w:trPr>
              <w:tc>
                <w:tcPr>
                  <w:tcW w:w="1023"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w:t>
                  </w:r>
                </w:p>
              </w:tc>
              <w:tc>
                <w:tcPr>
                  <w:tcW w:w="2364"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2"/>
                      <w:sz w:val="21"/>
                      <w:szCs w:val="21"/>
                      <w:lang w:val="en-US" w:eastAsia="zh-CN"/>
                      <w14:textFill>
                        <w14:solidFill>
                          <w14:schemeClr w14:val="tx1"/>
                        </w14:solidFill>
                      </w14:textFill>
                    </w:rPr>
                    <w:t>有机废气气排气筒</w:t>
                  </w:r>
                </w:p>
              </w:tc>
              <w:tc>
                <w:tcPr>
                  <w:tcW w:w="1309" w:type="dxa"/>
                  <w:vAlign w:val="center"/>
                </w:tcPr>
                <w:p>
                  <w:pPr>
                    <w:pStyle w:val="7"/>
                    <w:keepNext w:val="0"/>
                    <w:keepLines w:val="0"/>
                    <w:pageBreakBefore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DA002</w:t>
                  </w:r>
                </w:p>
              </w:tc>
              <w:tc>
                <w:tcPr>
                  <w:tcW w:w="1379"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15</w:t>
                  </w:r>
                </w:p>
              </w:tc>
              <w:tc>
                <w:tcPr>
                  <w:tcW w:w="1514"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0.4</w:t>
                  </w:r>
                </w:p>
              </w:tc>
              <w:tc>
                <w:tcPr>
                  <w:tcW w:w="1363"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25</w:t>
                  </w:r>
                </w:p>
              </w:tc>
              <w:tc>
                <w:tcPr>
                  <w:tcW w:w="1333"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u w:val="none"/>
                      <w:lang w:val="en-US" w:eastAsia="zh-CN"/>
                      <w14:textFill>
                        <w14:solidFill>
                          <w14:schemeClr w14:val="tx1"/>
                        </w14:solidFill>
                      </w14:textFill>
                    </w:rPr>
                    <w:t>一般排放口</w:t>
                  </w:r>
                </w:p>
              </w:tc>
              <w:tc>
                <w:tcPr>
                  <w:tcW w:w="3203" w:type="dxa"/>
                  <w:vAlign w:val="center"/>
                </w:tcPr>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经度：</w:t>
                  </w:r>
                  <w:r>
                    <w:rPr>
                      <w:rFonts w:hint="default" w:ascii="Times New Roman" w:hAnsi="Times New Roman" w:eastAsia="宋体" w:cs="Times New Roman"/>
                      <w:color w:val="000000" w:themeColor="text1"/>
                      <w:sz w:val="21"/>
                      <w:szCs w:val="21"/>
                      <w14:textFill>
                        <w14:solidFill>
                          <w14:schemeClr w14:val="tx1"/>
                        </w14:solidFill>
                      </w14:textFill>
                    </w:rPr>
                    <w:t>115.129187</w:t>
                  </w:r>
                </w:p>
                <w:p>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纬度：35.806990</w:t>
                  </w:r>
                </w:p>
              </w:tc>
            </w:tr>
          </w:tbl>
          <w:p>
            <w:pPr>
              <w:rPr>
                <w:rFonts w:hint="default" w:ascii="Times New Roman" w:hAnsi="Times New Roman" w:eastAsia="宋体" w:cs="Times New Roman"/>
                <w:color w:val="000000" w:themeColor="text1"/>
                <w:vertAlign w:val="baseline"/>
                <w:lang w:val="en-US" w:eastAsia="zh-CN"/>
                <w14:textFill>
                  <w14:solidFill>
                    <w14:schemeClr w14:val="tx1"/>
                  </w14:solidFill>
                </w14:textFill>
              </w:rPr>
            </w:pPr>
          </w:p>
        </w:tc>
      </w:tr>
    </w:tbl>
    <w:p>
      <w:pPr>
        <w:rPr>
          <w:rFonts w:hint="default" w:ascii="Times New Roman" w:hAnsi="Times New Roman" w:eastAsia="宋体" w:cs="Times New Roman"/>
          <w:color w:val="000000" w:themeColor="text1"/>
          <w:lang w:val="en-US" w:eastAsia="zh-CN"/>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tbl>
      <w:tblPr>
        <w:tblStyle w:val="1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2"/>
        <w:gridCol w:w="78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93" w:hRule="atLeast"/>
        </w:trPr>
        <w:tc>
          <w:tcPr>
            <w:tcW w:w="632" w:type="dxa"/>
            <w:vAlign w:val="center"/>
          </w:tcPr>
          <w:p>
            <w:pPr>
              <w:bidi w:val="0"/>
              <w:jc w:val="center"/>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运营期环境影响和保护措施</w:t>
            </w:r>
          </w:p>
        </w:tc>
        <w:tc>
          <w:tcPr>
            <w:tcW w:w="7890" w:type="dxa"/>
          </w:tcPr>
          <w:p>
            <w:pPr>
              <w:adjustRightInd w:val="0"/>
              <w:snapToGrid w:val="0"/>
              <w:spacing w:line="360" w:lineRule="auto"/>
              <w:ind w:firstLine="480" w:firstLineChars="200"/>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根据《排污单位自行监测技术指南 总则》（HJ819-2017）规定，本项目废气例行监测要求如下：</w:t>
            </w: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kern w:val="0"/>
                <w:szCs w:val="21"/>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废气监测要求一览表</w:t>
            </w:r>
          </w:p>
          <w:tbl>
            <w:tblPr>
              <w:tblStyle w:val="16"/>
              <w:tblW w:w="76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0"/>
              <w:gridCol w:w="896"/>
              <w:gridCol w:w="713"/>
              <w:gridCol w:w="49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70" w:type="dxa"/>
                  <w:vMerge w:val="restart"/>
                  <w:vAlign w:val="center"/>
                </w:tcPr>
                <w:p>
                  <w:pPr>
                    <w:ind w:left="-105" w:leftChars="-50" w:right="-105" w:rightChars="-5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监测点位</w:t>
                  </w:r>
                </w:p>
              </w:tc>
              <w:tc>
                <w:tcPr>
                  <w:tcW w:w="896" w:type="dxa"/>
                  <w:vMerge w:val="restart"/>
                  <w:vAlign w:val="center"/>
                </w:tcPr>
                <w:p>
                  <w:pPr>
                    <w:ind w:left="-105" w:leftChars="-50" w:right="-105" w:rightChars="-5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监测因子</w:t>
                  </w:r>
                </w:p>
              </w:tc>
              <w:tc>
                <w:tcPr>
                  <w:tcW w:w="713" w:type="dxa"/>
                  <w:vMerge w:val="restart"/>
                  <w:vAlign w:val="center"/>
                </w:tcPr>
                <w:p>
                  <w:pPr>
                    <w:ind w:left="-105" w:leftChars="-50" w:right="-105" w:rightChars="-5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监测频次</w:t>
                  </w:r>
                </w:p>
              </w:tc>
              <w:tc>
                <w:tcPr>
                  <w:tcW w:w="4985" w:type="dxa"/>
                  <w:vMerge w:val="restart"/>
                  <w:vAlign w:val="center"/>
                </w:tcPr>
                <w:p>
                  <w:pPr>
                    <w:ind w:left="-105" w:leftChars="-50" w:right="-105" w:rightChars="-5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1070" w:type="dxa"/>
                  <w:vMerge w:val="continue"/>
                  <w:vAlign w:val="center"/>
                </w:tcPr>
                <w:p>
                  <w:pPr>
                    <w:ind w:left="-105" w:leftChars="-50" w:right="-105" w:rightChars="-50"/>
                    <w:jc w:val="center"/>
                    <w:rPr>
                      <w:rFonts w:hint="default" w:ascii="Times New Roman" w:hAnsi="Times New Roman" w:eastAsia="宋体" w:cs="Times New Roman"/>
                      <w:b/>
                      <w:bCs/>
                      <w:color w:val="000000" w:themeColor="text1"/>
                      <w:szCs w:val="21"/>
                      <w:u w:val="single"/>
                      <w14:textFill>
                        <w14:solidFill>
                          <w14:schemeClr w14:val="tx1"/>
                        </w14:solidFill>
                      </w14:textFill>
                    </w:rPr>
                  </w:pPr>
                </w:p>
              </w:tc>
              <w:tc>
                <w:tcPr>
                  <w:tcW w:w="896" w:type="dxa"/>
                  <w:vMerge w:val="continue"/>
                  <w:vAlign w:val="center"/>
                </w:tcPr>
                <w:p>
                  <w:pPr>
                    <w:ind w:left="-105" w:leftChars="-50" w:right="-105" w:rightChars="-50"/>
                    <w:jc w:val="center"/>
                    <w:rPr>
                      <w:rFonts w:hint="default" w:ascii="Times New Roman" w:hAnsi="Times New Roman" w:eastAsia="宋体" w:cs="Times New Roman"/>
                      <w:b/>
                      <w:bCs/>
                      <w:color w:val="000000" w:themeColor="text1"/>
                      <w:szCs w:val="21"/>
                      <w:u w:val="single"/>
                      <w14:textFill>
                        <w14:solidFill>
                          <w14:schemeClr w14:val="tx1"/>
                        </w14:solidFill>
                      </w14:textFill>
                    </w:rPr>
                  </w:pPr>
                </w:p>
              </w:tc>
              <w:tc>
                <w:tcPr>
                  <w:tcW w:w="713" w:type="dxa"/>
                  <w:vMerge w:val="continue"/>
                  <w:vAlign w:val="center"/>
                </w:tcPr>
                <w:p>
                  <w:pPr>
                    <w:ind w:left="-105" w:leftChars="-50" w:right="-105" w:rightChars="-50"/>
                    <w:jc w:val="center"/>
                    <w:rPr>
                      <w:rFonts w:hint="default" w:ascii="Times New Roman" w:hAnsi="Times New Roman" w:eastAsia="宋体" w:cs="Times New Roman"/>
                      <w:b/>
                      <w:bCs/>
                      <w:color w:val="000000" w:themeColor="text1"/>
                      <w:szCs w:val="21"/>
                      <w:u w:val="single"/>
                      <w14:textFill>
                        <w14:solidFill>
                          <w14:schemeClr w14:val="tx1"/>
                        </w14:solidFill>
                      </w14:textFill>
                    </w:rPr>
                  </w:pPr>
                </w:p>
              </w:tc>
              <w:tc>
                <w:tcPr>
                  <w:tcW w:w="4985" w:type="dxa"/>
                  <w:vMerge w:val="continue"/>
                  <w:vAlign w:val="center"/>
                </w:tcPr>
                <w:p>
                  <w:pPr>
                    <w:ind w:left="-105" w:leftChars="-50" w:right="-105" w:rightChars="-50"/>
                    <w:jc w:val="center"/>
                    <w:rPr>
                      <w:rFonts w:hint="default" w:ascii="Times New Roman" w:hAnsi="Times New Roman" w:eastAsia="宋体" w:cs="Times New Roman"/>
                      <w:b/>
                      <w:bCs/>
                      <w:color w:val="000000" w:themeColor="text1"/>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0" w:type="dxa"/>
                  <w:vAlign w:val="center"/>
                </w:tcPr>
                <w:p>
                  <w:pPr>
                    <w:adjustRightInd w:val="0"/>
                    <w:snapToGrid w:val="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DA001</w:t>
                  </w:r>
                </w:p>
              </w:tc>
              <w:tc>
                <w:tcPr>
                  <w:tcW w:w="896" w:type="dxa"/>
                  <w:vAlign w:val="center"/>
                </w:tcPr>
                <w:p>
                  <w:pPr>
                    <w:adjustRightInd w:val="0"/>
                    <w:snapToGrid w:val="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颗粒物</w:t>
                  </w:r>
                </w:p>
              </w:tc>
              <w:tc>
                <w:tcPr>
                  <w:tcW w:w="713" w:type="dxa"/>
                  <w:vAlign w:val="center"/>
                </w:tcPr>
                <w:p>
                  <w:pPr>
                    <w:ind w:left="-105" w:leftChars="-50" w:right="-105" w:rightChars="-5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1次/年</w:t>
                  </w:r>
                </w:p>
              </w:tc>
              <w:tc>
                <w:tcPr>
                  <w:tcW w:w="4985" w:type="dxa"/>
                  <w:vAlign w:val="center"/>
                </w:tcPr>
                <w:p>
                  <w:pPr>
                    <w:adjustRightInd w:val="0"/>
                    <w:snapToGrid w:val="0"/>
                    <w:jc w:val="center"/>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21"/>
                      <w:u w:val="single"/>
                      <w:lang w:eastAsia="zh-CN"/>
                      <w14:textFill>
                        <w14:solidFill>
                          <w14:schemeClr w14:val="tx1"/>
                        </w14:solidFill>
                      </w14:textFill>
                    </w:rPr>
                    <w:t>《大气污染物综合排放标准》（GB16297-1996）表2</w:t>
                  </w:r>
                  <w:r>
                    <w:rPr>
                      <w:rFonts w:hint="default" w:ascii="Times New Roman" w:hAnsi="Times New Roman" w:eastAsia="宋体" w:cs="Times New Roman"/>
                      <w:b/>
                      <w:bCs/>
                      <w:color w:val="000000" w:themeColor="text1"/>
                      <w:kern w:val="2"/>
                      <w:sz w:val="21"/>
                      <w:szCs w:val="21"/>
                      <w:u w:val="single"/>
                      <w:lang w:val="en-US" w:eastAsia="zh-CN"/>
                      <w14:textFill>
                        <w14:solidFill>
                          <w14:schemeClr w14:val="tx1"/>
                        </w14:solidFill>
                      </w14:textFill>
                    </w:rPr>
                    <w:t>二级</w:t>
                  </w:r>
                  <w:r>
                    <w:rPr>
                      <w:rFonts w:hint="default" w:ascii="Times New Roman" w:hAnsi="Times New Roman" w:eastAsia="宋体" w:cs="Times New Roman"/>
                      <w:b/>
                      <w:bCs/>
                      <w:color w:val="000000" w:themeColor="text1"/>
                      <w:kern w:val="2"/>
                      <w:sz w:val="21"/>
                      <w:szCs w:val="21"/>
                      <w:u w:val="single"/>
                      <w:lang w:eastAsia="zh-CN"/>
                      <w14:textFill>
                        <w14:solidFill>
                          <w14:schemeClr w14:val="tx1"/>
                        </w14:solidFill>
                      </w14:textFill>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0" w:type="dxa"/>
                  <w:vAlign w:val="center"/>
                </w:tcPr>
                <w:p>
                  <w:pPr>
                    <w:adjustRightInd w:val="0"/>
                    <w:snapToGrid w:val="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DA002</w:t>
                  </w:r>
                </w:p>
              </w:tc>
              <w:tc>
                <w:tcPr>
                  <w:tcW w:w="896" w:type="dxa"/>
                  <w:vAlign w:val="center"/>
                </w:tcPr>
                <w:p>
                  <w:pPr>
                    <w:adjustRightInd w:val="0"/>
                    <w:snapToGrid w:val="0"/>
                    <w:jc w:val="cente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颗粒物、</w:t>
                  </w:r>
                  <w:r>
                    <w:rPr>
                      <w:rFonts w:hint="default" w:ascii="Times New Roman" w:hAnsi="Times New Roman" w:eastAsia="宋体" w:cs="Times New Roman"/>
                      <w:b/>
                      <w:bCs/>
                      <w:color w:val="000000" w:themeColor="text1"/>
                      <w:szCs w:val="21"/>
                      <w:u w:val="single"/>
                      <w14:textFill>
                        <w14:solidFill>
                          <w14:schemeClr w14:val="tx1"/>
                        </w14:solidFill>
                      </w14:textFill>
                    </w:rPr>
                    <w:t>非甲烷总烃</w:t>
                  </w: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w:t>
                  </w: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甲醇、CO</w:t>
                  </w:r>
                </w:p>
              </w:tc>
              <w:tc>
                <w:tcPr>
                  <w:tcW w:w="713" w:type="dxa"/>
                  <w:vAlign w:val="center"/>
                </w:tcPr>
                <w:p>
                  <w:pPr>
                    <w:ind w:left="-105" w:leftChars="-50" w:right="-105" w:rightChars="-5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1次/年</w:t>
                  </w:r>
                </w:p>
              </w:tc>
              <w:tc>
                <w:tcPr>
                  <w:tcW w:w="4985" w:type="dxa"/>
                  <w:vAlign w:val="center"/>
                </w:tcPr>
                <w:p>
                  <w:pPr>
                    <w:adjustRightInd w:val="0"/>
                    <w:snapToGrid w:val="0"/>
                    <w:jc w:val="center"/>
                    <w:rPr>
                      <w:rFonts w:hint="default" w:ascii="Times New Roman" w:hAnsi="Times New Roman" w:eastAsia="宋体" w:cs="Times New Roman"/>
                      <w:b/>
                      <w:bCs/>
                      <w:color w:val="000000" w:themeColor="text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21"/>
                      <w:u w:val="single"/>
                      <w:lang w:eastAsia="zh-CN"/>
                      <w14:textFill>
                        <w14:solidFill>
                          <w14:schemeClr w14:val="tx1"/>
                        </w14:solidFill>
                      </w14:textFill>
                    </w:rPr>
                    <w:t>《大气污染物综合排放标准》（GB16297-1996）表2</w:t>
                  </w:r>
                  <w:r>
                    <w:rPr>
                      <w:rFonts w:hint="default" w:ascii="Times New Roman" w:hAnsi="Times New Roman" w:eastAsia="宋体" w:cs="Times New Roman"/>
                      <w:b/>
                      <w:bCs/>
                      <w:color w:val="000000" w:themeColor="text1"/>
                      <w:kern w:val="2"/>
                      <w:sz w:val="21"/>
                      <w:szCs w:val="21"/>
                      <w:u w:val="single"/>
                      <w:lang w:val="en-US" w:eastAsia="zh-CN"/>
                      <w14:textFill>
                        <w14:solidFill>
                          <w14:schemeClr w14:val="tx1"/>
                        </w14:solidFill>
                      </w14:textFill>
                    </w:rPr>
                    <w:t>二级</w:t>
                  </w:r>
                  <w:r>
                    <w:rPr>
                      <w:rFonts w:hint="default" w:ascii="Times New Roman" w:hAnsi="Times New Roman" w:eastAsia="宋体" w:cs="Times New Roman"/>
                      <w:b/>
                      <w:bCs/>
                      <w:color w:val="000000" w:themeColor="text1"/>
                      <w:kern w:val="2"/>
                      <w:sz w:val="21"/>
                      <w:szCs w:val="21"/>
                      <w:u w:val="single"/>
                      <w:lang w:eastAsia="zh-CN"/>
                      <w14:textFill>
                        <w14:solidFill>
                          <w14:schemeClr w14:val="tx1"/>
                        </w14:solidFill>
                      </w14:textFill>
                    </w:rPr>
                    <w:t>标准、</w:t>
                  </w:r>
                  <w:bookmarkStart w:id="4" w:name="OLE_LINK4"/>
                  <w:r>
                    <w:rPr>
                      <w:rFonts w:hint="default" w:ascii="Times New Roman" w:hAnsi="Times New Roman" w:eastAsia="宋体" w:cs="Times New Roman"/>
                      <w:b/>
                      <w:bCs/>
                      <w:color w:val="000000" w:themeColor="text1"/>
                      <w:kern w:val="2"/>
                      <w:sz w:val="21"/>
                      <w:szCs w:val="21"/>
                      <w:u w:val="single"/>
                      <w:lang w:eastAsia="zh-CN"/>
                      <w14:textFill>
                        <w14:solidFill>
                          <w14:schemeClr w14:val="tx1"/>
                        </w14:solidFill>
                      </w14:textFill>
                    </w:rPr>
                    <w:t>《关于全省开展工业企业挥发性有机物专项治理工作中排放建议值的通知》（豫环攻坚办〔2017〕162号）“其他行业”要求</w:t>
                  </w:r>
                  <w:bookmarkEnd w:id="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0" w:type="dxa"/>
                  <w:vMerge w:val="restart"/>
                  <w:vAlign w:val="center"/>
                </w:tcPr>
                <w:p>
                  <w:pPr>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kern w:val="0"/>
                      <w:szCs w:val="21"/>
                      <w:u w:val="single"/>
                      <w14:textFill>
                        <w14:solidFill>
                          <w14:schemeClr w14:val="tx1"/>
                        </w14:solidFill>
                      </w14:textFill>
                    </w:rPr>
                    <w:t>无组织排放厂界监控点</w:t>
                  </w:r>
                </w:p>
              </w:tc>
              <w:tc>
                <w:tcPr>
                  <w:tcW w:w="896" w:type="dxa"/>
                  <w:vAlign w:val="center"/>
                </w:tcPr>
                <w:p>
                  <w:pPr>
                    <w:adjustRightInd w:val="0"/>
                    <w:snapToGrid w:val="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颗粒物</w:t>
                  </w:r>
                </w:p>
              </w:tc>
              <w:tc>
                <w:tcPr>
                  <w:tcW w:w="713" w:type="dxa"/>
                  <w:vAlign w:val="center"/>
                </w:tcPr>
                <w:p>
                  <w:pPr>
                    <w:ind w:left="-105" w:leftChars="-50" w:right="-105" w:rightChars="-5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1次/年</w:t>
                  </w:r>
                </w:p>
              </w:tc>
              <w:tc>
                <w:tcPr>
                  <w:tcW w:w="4985" w:type="dxa"/>
                  <w:vAlign w:val="center"/>
                </w:tcPr>
                <w:p>
                  <w:pPr>
                    <w:adjustRightInd w:val="0"/>
                    <w:snapToGrid w:val="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《大气污染物综合排放标准》（GB16297-1996）表2标准排放限值要求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0" w:type="dxa"/>
                  <w:vMerge w:val="continue"/>
                  <w:vAlign w:val="center"/>
                </w:tcPr>
                <w:p>
                  <w:pPr>
                    <w:jc w:val="center"/>
                    <w:rPr>
                      <w:rFonts w:hint="default" w:ascii="Times New Roman" w:hAnsi="Times New Roman" w:eastAsia="宋体" w:cs="Times New Roman"/>
                      <w:b/>
                      <w:bCs/>
                      <w:color w:val="000000" w:themeColor="text1"/>
                      <w:kern w:val="0"/>
                      <w:szCs w:val="21"/>
                      <w:u w:val="single"/>
                      <w14:textFill>
                        <w14:solidFill>
                          <w14:schemeClr w14:val="tx1"/>
                        </w14:solidFill>
                      </w14:textFill>
                    </w:rPr>
                  </w:pPr>
                </w:p>
              </w:tc>
              <w:tc>
                <w:tcPr>
                  <w:tcW w:w="896" w:type="dxa"/>
                  <w:vAlign w:val="center"/>
                </w:tcPr>
                <w:p>
                  <w:pPr>
                    <w:adjustRightInd w:val="0"/>
                    <w:snapToGrid w:val="0"/>
                    <w:jc w:val="center"/>
                    <w:rPr>
                      <w:rFonts w:hint="default" w:ascii="Times New Roman" w:hAnsi="Times New Roman" w:eastAsia="宋体" w:cs="Times New Roman"/>
                      <w:b/>
                      <w:bCs/>
                      <w:color w:val="000000" w:themeColor="text1"/>
                      <w:szCs w:val="21"/>
                      <w:u w:val="single"/>
                      <w:lang w:val="en-US"/>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非甲烷总烃</w:t>
                  </w:r>
                  <w:r>
                    <w:rPr>
                      <w:rFonts w:hint="default" w:ascii="Times New Roman" w:hAnsi="Times New Roman" w:eastAsia="宋体" w:cs="Times New Roman"/>
                      <w:b/>
                      <w:bCs/>
                      <w:color w:val="000000" w:themeColor="text1"/>
                      <w:szCs w:val="21"/>
                      <w:u w:val="single"/>
                      <w:lang w:eastAsia="zh-CN"/>
                      <w14:textFill>
                        <w14:solidFill>
                          <w14:schemeClr w14:val="tx1"/>
                        </w14:solidFill>
                      </w14:textFill>
                    </w:rPr>
                    <w:t>、</w:t>
                  </w: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甲醇、CO</w:t>
                  </w:r>
                </w:p>
              </w:tc>
              <w:tc>
                <w:tcPr>
                  <w:tcW w:w="713" w:type="dxa"/>
                  <w:vAlign w:val="center"/>
                </w:tcPr>
                <w:p>
                  <w:pPr>
                    <w:ind w:left="-105" w:leftChars="-50" w:right="-105" w:rightChars="-5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1次/年</w:t>
                  </w:r>
                </w:p>
              </w:tc>
              <w:tc>
                <w:tcPr>
                  <w:tcW w:w="4985" w:type="dxa"/>
                  <w:vAlign w:val="center"/>
                </w:tcPr>
                <w:p>
                  <w:pPr>
                    <w:adjustRightInd w:val="0"/>
                    <w:snapToGrid w:val="0"/>
                    <w:jc w:val="center"/>
                    <w:rPr>
                      <w:rFonts w:hint="default" w:ascii="Times New Roman" w:hAnsi="Times New Roman" w:eastAsia="宋体" w:cs="Times New Roman"/>
                      <w:b/>
                      <w:bCs/>
                      <w:color w:val="000000" w:themeColor="text1"/>
                      <w:szCs w:val="21"/>
                      <w:u w:val="single"/>
                      <w14:textFill>
                        <w14:solidFill>
                          <w14:schemeClr w14:val="tx1"/>
                        </w14:solidFill>
                      </w14:textFill>
                    </w:rPr>
                  </w:pPr>
                  <w:r>
                    <w:rPr>
                      <w:rFonts w:hint="default" w:ascii="Times New Roman" w:hAnsi="Times New Roman" w:eastAsia="宋体" w:cs="Times New Roman"/>
                      <w:b/>
                      <w:bCs/>
                      <w:color w:val="000000" w:themeColor="text1"/>
                      <w:szCs w:val="21"/>
                      <w:u w:val="single"/>
                      <w14:textFill>
                        <w14:solidFill>
                          <w14:schemeClr w14:val="tx1"/>
                        </w14:solidFill>
                      </w14:textFill>
                    </w:rPr>
                    <w:t>《大气污染物综合排放标准》（GB16297-1996）</w:t>
                  </w:r>
                  <w:r>
                    <w:rPr>
                      <w:rFonts w:hint="default" w:ascii="Times New Roman" w:hAnsi="Times New Roman" w:eastAsia="宋体" w:cs="Times New Roman"/>
                      <w:b/>
                      <w:bCs/>
                      <w:color w:val="000000" w:themeColor="text1"/>
                      <w:szCs w:val="21"/>
                      <w:u w:val="single"/>
                      <w:lang w:val="en-US" w:eastAsia="zh-CN"/>
                      <w14:textFill>
                        <w14:solidFill>
                          <w14:schemeClr w14:val="tx1"/>
                        </w14:solidFill>
                      </w14:textFill>
                    </w:rPr>
                    <w:t>及</w:t>
                  </w:r>
                  <w:r>
                    <w:rPr>
                      <w:rFonts w:hint="default" w:ascii="Times New Roman" w:hAnsi="Times New Roman" w:eastAsia="宋体" w:cs="Times New Roman"/>
                      <w:b/>
                      <w:bCs/>
                      <w:color w:val="000000" w:themeColor="text1"/>
                      <w:szCs w:val="21"/>
                      <w:u w:val="single"/>
                      <w14:textFill>
                        <w14:solidFill>
                          <w14:schemeClr w14:val="tx1"/>
                        </w14:solidFill>
                      </w14:textFill>
                    </w:rPr>
                    <w:t>《关于全省开展工业企业挥发性有机物专项治理工作中排放建议值的通知》（豫环攻坚办〔2017〕162号）</w:t>
                  </w:r>
                </w:p>
              </w:tc>
            </w:tr>
          </w:tbl>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1.3非正常工况环境影响分析</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由于设备开停机或者治理措施故障会导致废气非正常排放，本项目非正常工况设定为环保设备活性炭吸附接近饱和未及时更换，去除效率降低至20%。非正常工况下排放的污染浓度较高，因此，本评价要求一旦出现非正常工况，企业应立即停产检修，待故障修复后方可继续生产，本项目非正常工况污染源排放情况见下表。</w:t>
            </w: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非正常工况排放信息表</w:t>
            </w:r>
          </w:p>
          <w:tbl>
            <w:tblPr>
              <w:tblStyle w:val="16"/>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8"/>
              <w:gridCol w:w="1130"/>
              <w:gridCol w:w="733"/>
              <w:gridCol w:w="989"/>
              <w:gridCol w:w="1035"/>
              <w:gridCol w:w="1219"/>
              <w:gridCol w:w="806"/>
              <w:gridCol w:w="7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664" w:type="pct"/>
                  <w:vAlign w:val="center"/>
                </w:tcPr>
                <w:p>
                  <w:pPr>
                    <w:jc w:val="center"/>
                    <w:rPr>
                      <w:rFonts w:hint="default" w:ascii="Times New Roman" w:hAnsi="Times New Roman" w:eastAsia="宋体" w:cs="Times New Roman"/>
                      <w:b/>
                      <w:color w:val="000000" w:themeColor="text1"/>
                      <w:szCs w:val="21"/>
                      <w:lang w:bidi="ar"/>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非正常排放源</w:t>
                  </w:r>
                </w:p>
              </w:tc>
              <w:tc>
                <w:tcPr>
                  <w:tcW w:w="737" w:type="pct"/>
                  <w:vAlign w:val="center"/>
                </w:tcPr>
                <w:p>
                  <w:pPr>
                    <w:jc w:val="center"/>
                    <w:rPr>
                      <w:rFonts w:hint="default" w:ascii="Times New Roman" w:hAnsi="Times New Roman" w:eastAsia="宋体" w:cs="Times New Roman"/>
                      <w:b/>
                      <w:color w:val="000000" w:themeColor="text1"/>
                      <w:szCs w:val="21"/>
                      <w:lang w:bidi="ar"/>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非正常排放原因</w:t>
                  </w:r>
                </w:p>
              </w:tc>
              <w:tc>
                <w:tcPr>
                  <w:tcW w:w="478" w:type="pct"/>
                  <w:vAlign w:val="center"/>
                </w:tcPr>
                <w:p>
                  <w:pPr>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去除效率</w:t>
                  </w:r>
                </w:p>
              </w:tc>
              <w:tc>
                <w:tcPr>
                  <w:tcW w:w="645" w:type="pct"/>
                  <w:vAlign w:val="center"/>
                </w:tcPr>
                <w:p>
                  <w:pPr>
                    <w:jc w:val="center"/>
                    <w:rPr>
                      <w:rFonts w:hint="default" w:ascii="Times New Roman" w:hAnsi="Times New Roman" w:eastAsia="宋体" w:cs="Times New Roman"/>
                      <w:b/>
                      <w:color w:val="000000" w:themeColor="text1"/>
                      <w:szCs w:val="21"/>
                      <w:lang w:bidi="ar"/>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污染物</w:t>
                  </w:r>
                </w:p>
              </w:tc>
              <w:tc>
                <w:tcPr>
                  <w:tcW w:w="675" w:type="pct"/>
                  <w:vAlign w:val="center"/>
                </w:tcPr>
                <w:p>
                  <w:pPr>
                    <w:jc w:val="center"/>
                    <w:rPr>
                      <w:rFonts w:hint="default" w:ascii="Times New Roman" w:hAnsi="Times New Roman" w:eastAsia="宋体" w:cs="Times New Roman"/>
                      <w:b/>
                      <w:color w:val="000000" w:themeColor="text1"/>
                      <w:szCs w:val="21"/>
                      <w:lang w:bidi="ar"/>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排放速率（kg/h）</w:t>
                  </w:r>
                </w:p>
              </w:tc>
              <w:tc>
                <w:tcPr>
                  <w:tcW w:w="795" w:type="pct"/>
                  <w:vAlign w:val="center"/>
                </w:tcPr>
                <w:p>
                  <w:pPr>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排放浓度（mg/m</w:t>
                  </w:r>
                  <w:r>
                    <w:rPr>
                      <w:rFonts w:hint="default" w:ascii="Times New Roman" w:hAnsi="Times New Roman" w:eastAsia="宋体" w:cs="Times New Roman"/>
                      <w:b/>
                      <w:color w:val="000000" w:themeColor="text1"/>
                      <w:szCs w:val="21"/>
                      <w:vertAlign w:val="superscript"/>
                      <w14:textFill>
                        <w14:solidFill>
                          <w14:schemeClr w14:val="tx1"/>
                        </w14:solidFill>
                      </w14:textFill>
                    </w:rPr>
                    <w:t>3</w:t>
                  </w:r>
                  <w:r>
                    <w:rPr>
                      <w:rFonts w:hint="default" w:ascii="Times New Roman" w:hAnsi="Times New Roman" w:eastAsia="宋体" w:cs="Times New Roman"/>
                      <w:b/>
                      <w:color w:val="000000" w:themeColor="text1"/>
                      <w:szCs w:val="21"/>
                      <w14:textFill>
                        <w14:solidFill>
                          <w14:schemeClr w14:val="tx1"/>
                        </w14:solidFill>
                      </w14:textFill>
                    </w:rPr>
                    <w:t>）</w:t>
                  </w:r>
                </w:p>
              </w:tc>
              <w:tc>
                <w:tcPr>
                  <w:tcW w:w="526" w:type="pct"/>
                  <w:vAlign w:val="center"/>
                </w:tcPr>
                <w:p>
                  <w:pPr>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持续</w:t>
                  </w:r>
                </w:p>
                <w:p>
                  <w:pPr>
                    <w:jc w:val="center"/>
                    <w:rPr>
                      <w:rFonts w:hint="default" w:ascii="Times New Roman" w:hAnsi="Times New Roman" w:eastAsia="宋体" w:cs="Times New Roman"/>
                      <w:b/>
                      <w:color w:val="000000" w:themeColor="text1"/>
                      <w:szCs w:val="21"/>
                      <w:lang w:bidi="ar"/>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时间</w:t>
                  </w:r>
                </w:p>
              </w:tc>
              <w:tc>
                <w:tcPr>
                  <w:tcW w:w="475" w:type="pct"/>
                  <w:vAlign w:val="center"/>
                </w:tcPr>
                <w:p>
                  <w:pPr>
                    <w:jc w:val="center"/>
                    <w:rPr>
                      <w:rFonts w:hint="default" w:ascii="Times New Roman" w:hAnsi="Times New Roman" w:eastAsia="宋体" w:cs="Times New Roman"/>
                      <w:b/>
                      <w:color w:val="000000" w:themeColor="text1"/>
                      <w:szCs w:val="21"/>
                      <w:lang w:bidi="ar"/>
                      <w14:textFill>
                        <w14:solidFill>
                          <w14:schemeClr w14:val="tx1"/>
                        </w14:solidFill>
                      </w14:textFill>
                    </w:rPr>
                  </w:pPr>
                  <w:r>
                    <w:rPr>
                      <w:rFonts w:hint="default" w:ascii="Times New Roman" w:hAnsi="Times New Roman" w:eastAsia="宋体" w:cs="Times New Roman"/>
                      <w:b/>
                      <w:color w:val="000000" w:themeColor="text1"/>
                      <w:szCs w:val="21"/>
                      <w14:textFill>
                        <w14:solidFill>
                          <w14:schemeClr w14:val="tx1"/>
                        </w14:solidFill>
                      </w14:textFill>
                    </w:rPr>
                    <w:t>年发生频次/次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vMerge w:val="restart"/>
                  <w:vAlign w:val="center"/>
                </w:tcPr>
                <w:p>
                  <w:pPr>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DA002</w:t>
                  </w:r>
                </w:p>
              </w:tc>
              <w:tc>
                <w:tcPr>
                  <w:tcW w:w="737" w:type="pct"/>
                  <w:vMerge w:val="restart"/>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设备运转异常，去除效率降低</w:t>
                  </w:r>
                </w:p>
              </w:tc>
              <w:tc>
                <w:tcPr>
                  <w:tcW w:w="478" w:type="pct"/>
                  <w:vMerge w:val="restart"/>
                  <w:vAlign w:val="center"/>
                </w:tcPr>
                <w:p>
                  <w:pPr>
                    <w:jc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bCs/>
                      <w:color w:val="000000" w:themeColor="text1"/>
                      <w:szCs w:val="21"/>
                      <w14:textFill>
                        <w14:solidFill>
                          <w14:schemeClr w14:val="tx1"/>
                        </w14:solidFill>
                      </w14:textFill>
                    </w:rPr>
                    <w:t>20%</w:t>
                  </w:r>
                </w:p>
              </w:tc>
              <w:tc>
                <w:tcPr>
                  <w:tcW w:w="645" w:type="pc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color w:val="000000" w:themeColor="text1"/>
                      <w:szCs w:val="21"/>
                      <w:lang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非甲烷总烃（含甲醇）</w:t>
                  </w:r>
                </w:p>
              </w:tc>
              <w:tc>
                <w:tcPr>
                  <w:tcW w:w="675" w:type="pct"/>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0.0142</w:t>
                  </w:r>
                </w:p>
              </w:tc>
              <w:tc>
                <w:tcPr>
                  <w:tcW w:w="795" w:type="pct"/>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1.89</w:t>
                  </w:r>
                </w:p>
              </w:tc>
              <w:tc>
                <w:tcPr>
                  <w:tcW w:w="526" w:type="pct"/>
                  <w:vMerge w:val="restart"/>
                  <w:vAlign w:val="center"/>
                </w:tcPr>
                <w:p>
                  <w:pPr>
                    <w:widowControl/>
                    <w:jc w:val="center"/>
                    <w:textAlignment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1h</w:t>
                  </w:r>
                </w:p>
              </w:tc>
              <w:tc>
                <w:tcPr>
                  <w:tcW w:w="475" w:type="pct"/>
                  <w:vMerge w:val="restart"/>
                  <w:vAlign w:val="center"/>
                </w:tcPr>
                <w:p>
                  <w:pPr>
                    <w:widowControl/>
                    <w:jc w:val="center"/>
                    <w:textAlignment w:val="center"/>
                    <w:rPr>
                      <w:rFonts w:hint="default" w:ascii="Times New Roman" w:hAnsi="Times New Roman" w:eastAsia="宋体" w:cs="Times New Roman"/>
                      <w:b/>
                      <w:color w:val="000000" w:themeColor="text1"/>
                      <w:szCs w:val="21"/>
                      <w14:textFill>
                        <w14:solidFill>
                          <w14:schemeClr w14:val="tx1"/>
                        </w14:solidFill>
                      </w14:textFill>
                    </w:rPr>
                  </w:pPr>
                  <w:r>
                    <w:rPr>
                      <w:rFonts w:hint="default" w:ascii="Times New Roman" w:hAnsi="Times New Roman" w:eastAsia="宋体" w:cs="Times New Roman"/>
                      <w:color w:val="000000" w:themeColor="text1"/>
                      <w:kern w:val="0"/>
                      <w:szCs w:val="21"/>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737" w:type="pct"/>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478" w:type="pct"/>
                  <w:vMerge w:val="continue"/>
                  <w:vAlign w:val="center"/>
                </w:tcPr>
                <w:p>
                  <w:pPr>
                    <w:jc w:val="center"/>
                    <w:rPr>
                      <w:rFonts w:hint="default" w:ascii="Times New Roman" w:hAnsi="Times New Roman" w:eastAsia="宋体" w:cs="Times New Roman"/>
                      <w:bCs/>
                      <w:color w:val="000000" w:themeColor="text1"/>
                      <w:szCs w:val="21"/>
                      <w14:textFill>
                        <w14:solidFill>
                          <w14:schemeClr w14:val="tx1"/>
                        </w14:solidFill>
                      </w14:textFill>
                    </w:rPr>
                  </w:pPr>
                </w:p>
              </w:tc>
              <w:tc>
                <w:tcPr>
                  <w:tcW w:w="645" w:type="pc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snapToGrid w:val="0"/>
                      <w:color w:val="000000" w:themeColor="text1"/>
                      <w14:textFill>
                        <w14:solidFill>
                          <w14:schemeClr w14:val="tx1"/>
                        </w14:solidFill>
                      </w14:textFill>
                    </w:rPr>
                  </w:pPr>
                  <w:r>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t>甲醇</w:t>
                  </w:r>
                </w:p>
              </w:tc>
              <w:tc>
                <w:tcPr>
                  <w:tcW w:w="675" w:type="pct"/>
                  <w:vAlign w:val="center"/>
                </w:tcPr>
                <w:p>
                  <w:pPr>
                    <w:jc w:val="center"/>
                    <w:rPr>
                      <w:rFonts w:hint="default" w:ascii="Times New Roman" w:hAnsi="Times New Roman" w:eastAsia="宋体" w:cs="Times New Roman"/>
                      <w:color w:val="000000" w:themeColor="text1"/>
                      <w:szCs w:val="21"/>
                      <w:lang w:val="en-US"/>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0.0072</w:t>
                  </w:r>
                </w:p>
              </w:tc>
              <w:tc>
                <w:tcPr>
                  <w:tcW w:w="795" w:type="pct"/>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0.96</w:t>
                  </w:r>
                </w:p>
              </w:tc>
              <w:tc>
                <w:tcPr>
                  <w:tcW w:w="526" w:type="pct"/>
                  <w:vMerge w:val="continue"/>
                  <w:vAlign w:val="center"/>
                </w:tcPr>
                <w:p>
                  <w:pPr>
                    <w:widowControl/>
                    <w:jc w:val="center"/>
                    <w:textAlignment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475" w:type="pct"/>
                  <w:vMerge w:val="continue"/>
                  <w:vAlign w:val="center"/>
                </w:tcPr>
                <w:p>
                  <w:pPr>
                    <w:widowControl/>
                    <w:jc w:val="center"/>
                    <w:textAlignment w:val="center"/>
                    <w:rPr>
                      <w:rFonts w:hint="default" w:ascii="Times New Roman" w:hAnsi="Times New Roman" w:eastAsia="宋体" w:cs="Times New Roman"/>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737" w:type="pct"/>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478" w:type="pct"/>
                  <w:vMerge w:val="continue"/>
                  <w:vAlign w:val="center"/>
                </w:tcPr>
                <w:p>
                  <w:pPr>
                    <w:jc w:val="center"/>
                    <w:rPr>
                      <w:rFonts w:hint="default" w:ascii="Times New Roman" w:hAnsi="Times New Roman" w:eastAsia="宋体" w:cs="Times New Roman"/>
                      <w:bCs/>
                      <w:color w:val="000000" w:themeColor="text1"/>
                      <w:szCs w:val="21"/>
                      <w14:textFill>
                        <w14:solidFill>
                          <w14:schemeClr w14:val="tx1"/>
                        </w14:solidFill>
                      </w14:textFill>
                    </w:rPr>
                  </w:pPr>
                </w:p>
              </w:tc>
              <w:tc>
                <w:tcPr>
                  <w:tcW w:w="645" w:type="pc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油雾（颗粒物）</w:t>
                  </w:r>
                </w:p>
              </w:tc>
              <w:tc>
                <w:tcPr>
                  <w:tcW w:w="675" w:type="pct"/>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0.12</w:t>
                  </w:r>
                </w:p>
              </w:tc>
              <w:tc>
                <w:tcPr>
                  <w:tcW w:w="795" w:type="pct"/>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16</w:t>
                  </w:r>
                </w:p>
              </w:tc>
              <w:tc>
                <w:tcPr>
                  <w:tcW w:w="526" w:type="pct"/>
                  <w:vMerge w:val="continue"/>
                  <w:vAlign w:val="center"/>
                </w:tcPr>
                <w:p>
                  <w:pPr>
                    <w:widowControl/>
                    <w:jc w:val="center"/>
                    <w:textAlignment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475" w:type="pct"/>
                  <w:vMerge w:val="continue"/>
                  <w:vAlign w:val="center"/>
                </w:tcPr>
                <w:p>
                  <w:pPr>
                    <w:widowControl/>
                    <w:jc w:val="center"/>
                    <w:textAlignment w:val="center"/>
                    <w:rPr>
                      <w:rFonts w:hint="default" w:ascii="Times New Roman" w:hAnsi="Times New Roman" w:eastAsia="宋体" w:cs="Times New Roman"/>
                      <w:color w:val="000000" w:themeColor="text1"/>
                      <w:kern w:val="0"/>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64" w:type="pct"/>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737" w:type="pct"/>
                  <w:vMerge w:val="continue"/>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478" w:type="pct"/>
                  <w:vMerge w:val="continue"/>
                  <w:vAlign w:val="center"/>
                </w:tcPr>
                <w:p>
                  <w:pPr>
                    <w:jc w:val="center"/>
                    <w:rPr>
                      <w:rFonts w:hint="default" w:ascii="Times New Roman" w:hAnsi="Times New Roman" w:eastAsia="宋体" w:cs="Times New Roman"/>
                      <w:bCs/>
                      <w:color w:val="000000" w:themeColor="text1"/>
                      <w:szCs w:val="21"/>
                      <w14:textFill>
                        <w14:solidFill>
                          <w14:schemeClr w14:val="tx1"/>
                        </w14:solidFill>
                      </w14:textFill>
                    </w:rPr>
                  </w:pPr>
                </w:p>
              </w:tc>
              <w:tc>
                <w:tcPr>
                  <w:tcW w:w="645" w:type="pct"/>
                  <w:vAlign w:val="center"/>
                </w:tcPr>
                <w:p>
                  <w:pPr>
                    <w:pStyle w:val="7"/>
                    <w:keepNext w:val="0"/>
                    <w:keepLines w:val="0"/>
                    <w:pageBreakBefore w:val="0"/>
                    <w:widowControl w:val="0"/>
                    <w:kinsoku/>
                    <w:wordWrap/>
                    <w:overflowPunct/>
                    <w:topLinePunct w:val="0"/>
                    <w:autoSpaceDE/>
                    <w:autoSpaceDN/>
                    <w:bidi w:val="0"/>
                    <w:adjustRightInd/>
                    <w:snapToGrid/>
                    <w:spacing w:before="0" w:after="0" w:line="240" w:lineRule="auto"/>
                    <w:ind w:right="0" w:rightChars="0"/>
                    <w:jc w:val="center"/>
                    <w:textAlignment w:val="auto"/>
                    <w:rPr>
                      <w:rFonts w:hint="default" w:ascii="Times New Roman" w:hAnsi="Times New Roman" w:eastAsia="宋体" w:cs="Times New Roman"/>
                      <w:b/>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CO</w:t>
                  </w:r>
                </w:p>
              </w:tc>
              <w:tc>
                <w:tcPr>
                  <w:tcW w:w="675" w:type="pct"/>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0.0042</w:t>
                  </w:r>
                </w:p>
              </w:tc>
              <w:tc>
                <w:tcPr>
                  <w:tcW w:w="795" w:type="pct"/>
                  <w:vAlign w:val="center"/>
                </w:tcPr>
                <w:p>
                  <w:pPr>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0.56</w:t>
                  </w:r>
                </w:p>
              </w:tc>
              <w:tc>
                <w:tcPr>
                  <w:tcW w:w="526" w:type="pct"/>
                  <w:vMerge w:val="continue"/>
                  <w:vAlign w:val="center"/>
                </w:tcPr>
                <w:p>
                  <w:pPr>
                    <w:widowControl/>
                    <w:jc w:val="center"/>
                    <w:textAlignment w:val="center"/>
                    <w:rPr>
                      <w:rFonts w:hint="default" w:ascii="Times New Roman" w:hAnsi="Times New Roman" w:eastAsia="宋体" w:cs="Times New Roman"/>
                      <w:color w:val="000000" w:themeColor="text1"/>
                      <w:kern w:val="0"/>
                      <w:szCs w:val="21"/>
                      <w14:textFill>
                        <w14:solidFill>
                          <w14:schemeClr w14:val="tx1"/>
                        </w14:solidFill>
                      </w14:textFill>
                    </w:rPr>
                  </w:pPr>
                </w:p>
              </w:tc>
              <w:tc>
                <w:tcPr>
                  <w:tcW w:w="475" w:type="pct"/>
                  <w:vMerge w:val="continue"/>
                  <w:vAlign w:val="center"/>
                </w:tcPr>
                <w:p>
                  <w:pPr>
                    <w:widowControl/>
                    <w:jc w:val="center"/>
                    <w:textAlignment w:val="center"/>
                    <w:rPr>
                      <w:rFonts w:hint="default" w:ascii="Times New Roman" w:hAnsi="Times New Roman" w:eastAsia="宋体" w:cs="Times New Roman"/>
                      <w:color w:val="000000" w:themeColor="text1"/>
                      <w:kern w:val="0"/>
                      <w:szCs w:val="21"/>
                      <w14:textFill>
                        <w14:solidFill>
                          <w14:schemeClr w14:val="tx1"/>
                        </w14:solidFill>
                      </w14:textFill>
                    </w:rPr>
                  </w:pPr>
                </w:p>
              </w:tc>
            </w:tr>
          </w:tbl>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为确保项目废气处理装置正常运行，建设单位应在日常运行过程中，拟采取如下措施：（1）由专人负责每日巡检，做好巡检记录，（2）当发现废气处理设施故障并导致废气非正常排放时，应立即停止使用，并立即检修，待故障排除后方可恢复使用，（3）做好废气处理设施装置运行管理台账。</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1.4废气排放影响分析</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本项目颗粒物及非甲烷总烃、甲醇经处理后，废气均可以实现达标排放，不会对所在区域大气环境质量造成影响，因此本项目对大气环境影响较小，环境影响可接受。</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32"/>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szCs w:val="32"/>
                <w:vertAlign w:val="baseline"/>
                <w:lang w:eastAsia="zh-CN"/>
                <w14:textFill>
                  <w14:solidFill>
                    <w14:schemeClr w14:val="tx1"/>
                  </w14:solidFill>
                </w14:textFill>
              </w:rPr>
              <w:t>废水</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textAlignment w:val="auto"/>
              <w:outlineLvl w:val="9"/>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2.1源强分析</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outlineLvl w:val="9"/>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本项目劳动定员25人，年工作日300天，参照河南省地方标准《工业与城镇生活用水定额》（DB41/T385-2020）：“机关单位（无食堂）生活用水定额通用值为22m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/（人·a）”，用水量约为1.833m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/d（550m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/a）；废水排放量按用水量的80%计，则废水排放量约为1.467m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/d（440m</w:t>
            </w:r>
            <w:r>
              <w:rPr>
                <w:rFonts w:hint="default" w:ascii="Times New Roman" w:hAnsi="Times New Roman" w:eastAsia="宋体" w:cs="Times New Roman"/>
                <w:color w:val="000000" w:themeColor="text1"/>
                <w:sz w:val="24"/>
                <w:szCs w:val="32"/>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/a）。</w:t>
            </w:r>
            <w:r>
              <w:rPr>
                <w:rFonts w:hint="default" w:ascii="Times New Roman" w:hAnsi="Times New Roman" w:eastAsia="宋体" w:cs="Times New Roman"/>
                <w:b w:val="0"/>
                <w:bCs w:val="0"/>
                <w:color w:val="000000" w:themeColor="text1"/>
                <w:sz w:val="24"/>
                <w:szCs w:val="32"/>
                <w:u w:val="none"/>
                <w:vertAlign w:val="baseline"/>
                <w:lang w:val="en-US" w:eastAsia="zh-CN"/>
                <w14:textFill>
                  <w14:solidFill>
                    <w14:schemeClr w14:val="tx1"/>
                  </w14:solidFill>
                </w14:textFill>
              </w:rPr>
              <w:t>经查阅《产排污系数手册》及结合本项目具体情况，确定本项目营运期废水主要污染因子及其浓度分别为COD300mg/L、BOD</w:t>
            </w:r>
            <w:r>
              <w:rPr>
                <w:rFonts w:hint="default" w:ascii="Times New Roman" w:hAnsi="Times New Roman" w:eastAsia="宋体" w:cs="Times New Roman"/>
                <w:b w:val="0"/>
                <w:bCs w:val="0"/>
                <w:color w:val="000000" w:themeColor="text1"/>
                <w:sz w:val="24"/>
                <w:szCs w:val="32"/>
                <w:u w:val="none"/>
                <w:vertAlign w:val="subscript"/>
                <w:lang w:val="en-US" w:eastAsia="zh-CN"/>
                <w14:textFill>
                  <w14:solidFill>
                    <w14:schemeClr w14:val="tx1"/>
                  </w14:solidFill>
                </w14:textFill>
              </w:rPr>
              <w:t>5</w:t>
            </w:r>
            <w:r>
              <w:rPr>
                <w:rFonts w:hint="default" w:ascii="Times New Roman" w:hAnsi="Times New Roman" w:eastAsia="宋体" w:cs="Times New Roman"/>
                <w:b w:val="0"/>
                <w:bCs w:val="0"/>
                <w:color w:val="000000" w:themeColor="text1"/>
                <w:sz w:val="24"/>
                <w:szCs w:val="32"/>
                <w:u w:val="none"/>
                <w:vertAlign w:val="baseline"/>
                <w:lang w:val="en-US" w:eastAsia="zh-CN"/>
                <w14:textFill>
                  <w14:solidFill>
                    <w14:schemeClr w14:val="tx1"/>
                  </w14:solidFill>
                </w14:textFill>
              </w:rPr>
              <w:t>150mg/L、SS280mg/L、氨氮25mg/L。</w:t>
            </w:r>
            <w:r>
              <w:rPr>
                <w:rFonts w:hint="default" w:ascii="Times New Roman" w:hAnsi="Times New Roman" w:eastAsia="宋体" w:cs="Times New Roman"/>
                <w:color w:val="000000" w:themeColor="text1"/>
                <w:sz w:val="24"/>
                <w:szCs w:val="32"/>
                <w:vertAlign w:val="baseline"/>
                <w:lang w:val="en-US" w:eastAsia="zh-CN"/>
                <w14:textFill>
                  <w14:solidFill>
                    <w14:schemeClr w14:val="tx1"/>
                  </w14:solidFill>
                </w14:textFill>
              </w:rPr>
              <w:t>生活污水经化粪池预处理后进入濮阳市第三污水处理厂处理达标后，排入金堤河。</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textAlignment w:val="auto"/>
              <w:outlineLvl w:val="9"/>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2.2废水产排情况</w:t>
            </w: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废水产生及排放情况一览表</w:t>
            </w:r>
          </w:p>
          <w:tbl>
            <w:tblPr>
              <w:tblStyle w:val="16"/>
              <w:tblW w:w="76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1" w:type="dxa"/>
                <w:bottom w:w="0" w:type="dxa"/>
                <w:right w:w="51" w:type="dxa"/>
              </w:tblCellMar>
            </w:tblPr>
            <w:tblGrid>
              <w:gridCol w:w="557"/>
              <w:gridCol w:w="791"/>
              <w:gridCol w:w="603"/>
              <w:gridCol w:w="885"/>
              <w:gridCol w:w="640"/>
              <w:gridCol w:w="510"/>
              <w:gridCol w:w="220"/>
              <w:gridCol w:w="395"/>
              <w:gridCol w:w="885"/>
              <w:gridCol w:w="640"/>
              <w:gridCol w:w="894"/>
              <w:gridCol w:w="6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07" w:hRule="atLeast"/>
                <w:jc w:val="center"/>
              </w:trPr>
              <w:tc>
                <w:tcPr>
                  <w:tcW w:w="557" w:type="dxa"/>
                  <w:vMerge w:val="restart"/>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t>产排污环节</w:t>
                  </w:r>
                </w:p>
              </w:tc>
              <w:tc>
                <w:tcPr>
                  <w:tcW w:w="791" w:type="dxa"/>
                  <w:vMerge w:val="restart"/>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lang w:eastAsia="zh-CN"/>
                      <w14:textFill>
                        <w14:solidFill>
                          <w14:schemeClr w14:val="tx1"/>
                        </w14:solidFill>
                      </w14:textFill>
                    </w:rPr>
                    <w:t>类别</w:t>
                  </w:r>
                </w:p>
              </w:tc>
              <w:tc>
                <w:tcPr>
                  <w:tcW w:w="603" w:type="dxa"/>
                  <w:vMerge w:val="restart"/>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14:textFill>
                        <w14:solidFill>
                          <w14:schemeClr w14:val="tx1"/>
                        </w14:solidFill>
                      </w14:textFill>
                    </w:rPr>
                  </w:pPr>
                  <w:r>
                    <w:rPr>
                      <w:rFonts w:hint="default" w:ascii="Times New Roman" w:hAnsi="Times New Roman" w:eastAsia="宋体" w:cs="Times New Roman"/>
                      <w:b w:val="0"/>
                      <w:bCs/>
                      <w:color w:val="000000" w:themeColor="text1"/>
                      <w:sz w:val="21"/>
                      <w:szCs w:val="21"/>
                      <w:u w:val="none"/>
                      <w14:textFill>
                        <w14:solidFill>
                          <w14:schemeClr w14:val="tx1"/>
                        </w14:solidFill>
                      </w14:textFill>
                    </w:rPr>
                    <w:t>污染物</w:t>
                  </w:r>
                </w:p>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14:textFill>
                        <w14:solidFill>
                          <w14:schemeClr w14:val="tx1"/>
                        </w14:solidFill>
                      </w14:textFill>
                    </w:rPr>
                  </w:pPr>
                  <w:r>
                    <w:rPr>
                      <w:rFonts w:hint="default" w:ascii="Times New Roman" w:hAnsi="Times New Roman" w:eastAsia="宋体" w:cs="Times New Roman"/>
                      <w:b w:val="0"/>
                      <w:bCs/>
                      <w:color w:val="000000" w:themeColor="text1"/>
                      <w:sz w:val="21"/>
                      <w:szCs w:val="21"/>
                      <w:u w:val="none"/>
                      <w14:textFill>
                        <w14:solidFill>
                          <w14:schemeClr w14:val="tx1"/>
                        </w14:solidFill>
                      </w14:textFill>
                    </w:rPr>
                    <w:t>种类</w:t>
                  </w:r>
                </w:p>
              </w:tc>
              <w:tc>
                <w:tcPr>
                  <w:tcW w:w="885" w:type="dxa"/>
                  <w:vMerge w:val="restar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color w:val="000000" w:themeColor="text1"/>
                      <w:sz w:val="21"/>
                      <w:szCs w:val="21"/>
                      <w:u w:val="none"/>
                      <w14:textFill>
                        <w14:solidFill>
                          <w14:schemeClr w14:val="tx1"/>
                        </w14:solidFill>
                      </w14:textFill>
                    </w:rPr>
                  </w:pPr>
                  <w: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t>产生浓度（</w:t>
                  </w:r>
                  <w:r>
                    <w:rPr>
                      <w:rFonts w:hint="default" w:ascii="Times New Roman" w:hAnsi="Times New Roman" w:eastAsia="宋体" w:cs="Times New Roman"/>
                      <w:i w:val="0"/>
                      <w:iCs w:val="0"/>
                      <w:color w:val="000000" w:themeColor="text1"/>
                      <w:kern w:val="2"/>
                      <w:sz w:val="21"/>
                      <w:szCs w:val="21"/>
                      <w:u w:val="none"/>
                      <w:lang w:val="en-US" w:eastAsia="zh-CN" w:bidi="ar"/>
                      <w14:textFill>
                        <w14:solidFill>
                          <w14:schemeClr w14:val="tx1"/>
                        </w14:solidFill>
                      </w14:textFill>
                    </w:rPr>
                    <w:t>mg/L</w:t>
                  </w:r>
                  <w: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t>）</w:t>
                  </w:r>
                </w:p>
              </w:tc>
              <w:tc>
                <w:tcPr>
                  <w:tcW w:w="640" w:type="dxa"/>
                  <w:vMerge w:val="restar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t>产生量（t/a）</w:t>
                  </w:r>
                </w:p>
              </w:tc>
              <w:tc>
                <w:tcPr>
                  <w:tcW w:w="1125" w:type="dxa"/>
                  <w:gridSpan w:val="3"/>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t>治理措施</w:t>
                  </w:r>
                </w:p>
              </w:tc>
              <w:tc>
                <w:tcPr>
                  <w:tcW w:w="885" w:type="dxa"/>
                  <w:vMerge w:val="restar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t>排放浓度（</w:t>
                  </w:r>
                  <w:r>
                    <w:rPr>
                      <w:rFonts w:hint="default" w:ascii="Times New Roman" w:hAnsi="Times New Roman" w:eastAsia="宋体" w:cs="Times New Roman"/>
                      <w:i w:val="0"/>
                      <w:iCs w:val="0"/>
                      <w:color w:val="000000" w:themeColor="text1"/>
                      <w:kern w:val="2"/>
                      <w:sz w:val="21"/>
                      <w:szCs w:val="21"/>
                      <w:u w:val="none"/>
                      <w:lang w:val="en-US" w:eastAsia="zh-CN" w:bidi="ar"/>
                      <w14:textFill>
                        <w14:solidFill>
                          <w14:schemeClr w14:val="tx1"/>
                        </w14:solidFill>
                      </w14:textFill>
                    </w:rPr>
                    <w:t>mg/L</w:t>
                  </w:r>
                  <w: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t>）</w:t>
                  </w:r>
                </w:p>
              </w:tc>
              <w:tc>
                <w:tcPr>
                  <w:tcW w:w="640" w:type="dxa"/>
                  <w:vMerge w:val="restar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t>排放量（t/a）</w:t>
                  </w:r>
                </w:p>
              </w:tc>
              <w:tc>
                <w:tcPr>
                  <w:tcW w:w="894" w:type="dxa"/>
                  <w:vMerge w:val="restar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szCs w:val="21"/>
                      <w14:textFill>
                        <w14:solidFill>
                          <w14:schemeClr w14:val="tx1"/>
                        </w14:solidFill>
                      </w14:textFill>
                    </w:rPr>
                    <w:t>GB8978-1996</w:t>
                  </w:r>
                </w:p>
              </w:tc>
              <w:tc>
                <w:tcPr>
                  <w:tcW w:w="643" w:type="dxa"/>
                  <w:vMerge w:val="restar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color w:val="000000" w:themeColor="text1"/>
                      <w:szCs w:val="21"/>
                      <w14:textFill>
                        <w14:solidFill>
                          <w14:schemeClr w14:val="tx1"/>
                        </w14:solidFill>
                      </w14:textFill>
                    </w:rPr>
                    <w:t>濮阳市第三污水处理厂收水质标准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71" w:hRule="atLeast"/>
                <w:jc w:val="center"/>
              </w:trPr>
              <w:tc>
                <w:tcPr>
                  <w:tcW w:w="557" w:type="dxa"/>
                  <w:vMerge w:val="continue"/>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pPr>
                </w:p>
              </w:tc>
              <w:tc>
                <w:tcPr>
                  <w:tcW w:w="791" w:type="dxa"/>
                  <w:vMerge w:val="continue"/>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14:textFill>
                        <w14:solidFill>
                          <w14:schemeClr w14:val="tx1"/>
                        </w14:solidFill>
                      </w14:textFill>
                    </w:rPr>
                  </w:pPr>
                </w:p>
              </w:tc>
              <w:tc>
                <w:tcPr>
                  <w:tcW w:w="603" w:type="dxa"/>
                  <w:vMerge w:val="continue"/>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14:textFill>
                        <w14:solidFill>
                          <w14:schemeClr w14:val="tx1"/>
                        </w14:solidFill>
                      </w14:textFill>
                    </w:rPr>
                  </w:pPr>
                </w:p>
              </w:tc>
              <w:tc>
                <w:tcPr>
                  <w:tcW w:w="885" w:type="dxa"/>
                  <w:vMerge w:val="continue"/>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pPr>
                </w:p>
              </w:tc>
              <w:tc>
                <w:tcPr>
                  <w:tcW w:w="640" w:type="dxa"/>
                  <w:vMerge w:val="continue"/>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p>
              </w:tc>
              <w:tc>
                <w:tcPr>
                  <w:tcW w:w="510" w:type="dxa"/>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t>处理能力</w:t>
                  </w:r>
                </w:p>
              </w:tc>
              <w:tc>
                <w:tcPr>
                  <w:tcW w:w="220" w:type="dxa"/>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t>治理工艺</w:t>
                  </w:r>
                </w:p>
              </w:tc>
              <w:tc>
                <w:tcPr>
                  <w:tcW w:w="395" w:type="dxa"/>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t>治理效率</w:t>
                  </w:r>
                </w:p>
              </w:tc>
              <w:tc>
                <w:tcPr>
                  <w:tcW w:w="885" w:type="dxa"/>
                  <w:vMerge w:val="continue"/>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p>
              </w:tc>
              <w:tc>
                <w:tcPr>
                  <w:tcW w:w="640" w:type="dxa"/>
                  <w:vMerge w:val="continue"/>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p>
              </w:tc>
              <w:tc>
                <w:tcPr>
                  <w:tcW w:w="894" w:type="dxa"/>
                  <w:vMerge w:val="continue"/>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p>
              </w:tc>
              <w:tc>
                <w:tcPr>
                  <w:tcW w:w="643" w:type="dxa"/>
                  <w:vMerge w:val="continue"/>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color w:val="000000" w:themeColor="text1"/>
                      <w:sz w:val="21"/>
                      <w:szCs w:val="21"/>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84" w:hRule="atLeast"/>
                <w:jc w:val="center"/>
              </w:trPr>
              <w:tc>
                <w:tcPr>
                  <w:tcW w:w="557" w:type="dxa"/>
                  <w:vMerge w:val="restart"/>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lang w:eastAsia="zh-CN"/>
                      <w14:textFill>
                        <w14:solidFill>
                          <w14:schemeClr w14:val="tx1"/>
                        </w14:solidFill>
                      </w14:textFill>
                    </w:rPr>
                    <w:t>员工日常生活办公</w:t>
                  </w:r>
                </w:p>
              </w:tc>
              <w:tc>
                <w:tcPr>
                  <w:tcW w:w="791" w:type="dxa"/>
                  <w:vMerge w:val="restart"/>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t>生活污水（440</w:t>
                  </w:r>
                  <w:r>
                    <w:rPr>
                      <w:rFonts w:hint="default" w:ascii="Times New Roman" w:hAnsi="Times New Roman" w:eastAsia="宋体" w:cs="Times New Roman"/>
                      <w:b w:val="0"/>
                      <w:bCs w:val="0"/>
                      <w:color w:val="000000" w:themeColor="text1"/>
                      <w:sz w:val="21"/>
                      <w:szCs w:val="21"/>
                      <w14:textFill>
                        <w14:solidFill>
                          <w14:schemeClr w14:val="tx1"/>
                        </w14:solidFill>
                      </w14:textFill>
                    </w:rPr>
                    <w:t>m</w:t>
                  </w:r>
                  <w:r>
                    <w:rPr>
                      <w:rFonts w:hint="default" w:ascii="Times New Roman" w:hAnsi="Times New Roman" w:eastAsia="宋体" w:cs="Times New Roman"/>
                      <w:b w:val="0"/>
                      <w:bCs w:val="0"/>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1"/>
                      <w:szCs w:val="21"/>
                      <w14:textFill>
                        <w14:solidFill>
                          <w14:schemeClr w14:val="tx1"/>
                        </w14:solidFill>
                      </w14:textFill>
                    </w:rPr>
                    <w:t>/a</w:t>
                  </w:r>
                  <w:r>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t>）</w:t>
                  </w:r>
                </w:p>
              </w:tc>
              <w:tc>
                <w:tcPr>
                  <w:tcW w:w="603" w:type="dxa"/>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14:textFill>
                        <w14:solidFill>
                          <w14:schemeClr w14:val="tx1"/>
                        </w14:solidFill>
                      </w14:textFill>
                    </w:rPr>
                    <w:t>COD</w:t>
                  </w:r>
                </w:p>
              </w:tc>
              <w:tc>
                <w:tcPr>
                  <w:tcW w:w="885" w:type="dxa"/>
                  <w:tcBorders>
                    <w:tl2br w:val="nil"/>
                    <w:tr2bl w:val="nil"/>
                  </w:tcBorders>
                  <w:tcMar>
                    <w:top w:w="0" w:type="dxa"/>
                    <w:left w:w="0" w:type="dxa"/>
                    <w:bottom w:w="0" w:type="dxa"/>
                    <w:right w:w="0" w:type="dxa"/>
                  </w:tcMar>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b w:val="0"/>
                      <w:bCs/>
                      <w:color w:val="000000" w:themeColor="text1"/>
                      <w:sz w:val="21"/>
                      <w:szCs w:val="21"/>
                      <w:u w:val="none"/>
                      <w:lang w:val="en-US"/>
                      <w14:textFill>
                        <w14:solidFill>
                          <w14:schemeClr w14:val="tx1"/>
                        </w14:solidFill>
                      </w14:textFill>
                    </w:rPr>
                  </w:pPr>
                  <w:r>
                    <w:rPr>
                      <w:rFonts w:hint="default" w:ascii="Times New Roman" w:hAnsi="Times New Roman" w:eastAsia="宋体" w:cs="Times New Roman"/>
                      <w:i w:val="0"/>
                      <w:iCs w:val="0"/>
                      <w:color w:val="000000" w:themeColor="text1"/>
                      <w:kern w:val="2"/>
                      <w:sz w:val="21"/>
                      <w:szCs w:val="21"/>
                      <w:u w:val="none"/>
                      <w:lang w:val="en-US" w:eastAsia="zh-CN" w:bidi="ar"/>
                      <w14:textFill>
                        <w14:solidFill>
                          <w14:schemeClr w14:val="tx1"/>
                        </w14:solidFill>
                      </w14:textFill>
                    </w:rPr>
                    <w:t>300</w:t>
                  </w:r>
                </w:p>
              </w:tc>
              <w:tc>
                <w:tcPr>
                  <w:tcW w:w="640" w:type="dxa"/>
                  <w:tcBorders>
                    <w:tl2br w:val="nil"/>
                    <w:tr2bl w:val="nil"/>
                  </w:tcBorders>
                  <w:tcMar>
                    <w:top w:w="0" w:type="dxa"/>
                    <w:left w:w="0" w:type="dxa"/>
                    <w:bottom w:w="0" w:type="dxa"/>
                    <w:right w:w="0" w:type="dxa"/>
                  </w:tcMar>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0.132</w:t>
                  </w:r>
                </w:p>
              </w:tc>
              <w:tc>
                <w:tcPr>
                  <w:tcW w:w="510" w:type="dxa"/>
                  <w:vMerge w:val="restart"/>
                  <w:tcBorders>
                    <w:tl2br w:val="nil"/>
                    <w:tr2bl w:val="nil"/>
                  </w:tcBorders>
                  <w:tcMar>
                    <w:top w:w="0" w:type="dxa"/>
                    <w:left w:w="0" w:type="dxa"/>
                    <w:bottom w:w="0" w:type="dxa"/>
                    <w:right w:w="0" w:type="dxa"/>
                  </w:tcMar>
                  <w:vAlign w:val="center"/>
                </w:tcPr>
                <w:p>
                  <w:pPr>
                    <w:bidi w:val="0"/>
                    <w:jc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3</w:t>
                  </w:r>
                  <w:r>
                    <w:rPr>
                      <w:rFonts w:hint="default" w:ascii="Times New Roman" w:hAnsi="Times New Roman" w:eastAsia="宋体" w:cs="Times New Roman"/>
                      <w:b w:val="0"/>
                      <w:bCs w:val="0"/>
                      <w:color w:val="000000" w:themeColor="text1"/>
                      <w:sz w:val="21"/>
                      <w:szCs w:val="21"/>
                      <w14:textFill>
                        <w14:solidFill>
                          <w14:schemeClr w14:val="tx1"/>
                        </w14:solidFill>
                      </w14:textFill>
                    </w:rPr>
                    <w:t>m</w:t>
                  </w:r>
                  <w:r>
                    <w:rPr>
                      <w:rFonts w:hint="default" w:ascii="Times New Roman" w:hAnsi="Times New Roman" w:eastAsia="宋体" w:cs="Times New Roman"/>
                      <w:b w:val="0"/>
                      <w:bCs w:val="0"/>
                      <w:color w:val="000000" w:themeColor="text1"/>
                      <w:sz w:val="21"/>
                      <w:szCs w:val="21"/>
                      <w:vertAlign w:val="superscript"/>
                      <w14:textFill>
                        <w14:solidFill>
                          <w14:schemeClr w14:val="tx1"/>
                        </w14:solidFill>
                      </w14:textFill>
                    </w:rPr>
                    <w:t>3</w:t>
                  </w:r>
                  <w:r>
                    <w:rPr>
                      <w:rFonts w:hint="default" w:ascii="Times New Roman" w:hAnsi="Times New Roman" w:eastAsia="宋体" w:cs="Times New Roman"/>
                      <w:b w:val="0"/>
                      <w:bCs w:val="0"/>
                      <w:color w:val="000000" w:themeColor="text1"/>
                      <w:sz w:val="21"/>
                      <w:szCs w:val="21"/>
                      <w14:textFill>
                        <w14:solidFill>
                          <w14:schemeClr w14:val="tx1"/>
                        </w14:solidFill>
                      </w14:textFill>
                    </w:rPr>
                    <w:t>/</w:t>
                  </w: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d</w:t>
                  </w:r>
                </w:p>
              </w:tc>
              <w:tc>
                <w:tcPr>
                  <w:tcW w:w="220" w:type="dxa"/>
                  <w:vMerge w:val="restart"/>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化粪池</w:t>
                  </w:r>
                </w:p>
              </w:tc>
              <w:tc>
                <w:tcPr>
                  <w:tcW w:w="395" w:type="dxa"/>
                  <w:tcBorders>
                    <w:tl2br w:val="nil"/>
                    <w:tr2bl w:val="nil"/>
                  </w:tcBorders>
                  <w:tcMar>
                    <w:top w:w="0" w:type="dxa"/>
                    <w:left w:w="0" w:type="dxa"/>
                    <w:bottom w:w="0" w:type="dxa"/>
                    <w:right w:w="0" w:type="dxa"/>
                  </w:tcMar>
                  <w:vAlign w:val="center"/>
                </w:tcPr>
                <w:p>
                  <w:pPr>
                    <w:bidi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Cs w:val="21"/>
                      <w:lang w:val="en-US" w:eastAsia="zh-CN"/>
                      <w14:textFill>
                        <w14:solidFill>
                          <w14:schemeClr w14:val="tx1"/>
                        </w14:solidFill>
                      </w14:textFill>
                    </w:rPr>
                    <w:t>15%</w:t>
                  </w:r>
                </w:p>
              </w:tc>
              <w:tc>
                <w:tcPr>
                  <w:tcW w:w="885" w:type="dxa"/>
                  <w:tcBorders>
                    <w:tl2br w:val="nil"/>
                    <w:tr2bl w:val="nil"/>
                  </w:tcBorders>
                  <w:tcMar>
                    <w:top w:w="0" w:type="dxa"/>
                    <w:left w:w="0" w:type="dxa"/>
                    <w:bottom w:w="0" w:type="dxa"/>
                    <w:right w:w="0" w:type="dxa"/>
                  </w:tcMar>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255</w:t>
                  </w:r>
                </w:p>
              </w:tc>
              <w:tc>
                <w:tcPr>
                  <w:tcW w:w="640" w:type="dxa"/>
                  <w:tcBorders>
                    <w:tl2br w:val="nil"/>
                    <w:tr2bl w:val="nil"/>
                  </w:tcBorders>
                  <w:tcMar>
                    <w:top w:w="0" w:type="dxa"/>
                    <w:left w:w="0" w:type="dxa"/>
                    <w:bottom w:w="0" w:type="dxa"/>
                    <w:right w:w="0" w:type="dxa"/>
                  </w:tcMar>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0.1122</w:t>
                  </w:r>
                </w:p>
              </w:tc>
              <w:tc>
                <w:tcPr>
                  <w:tcW w:w="894" w:type="dxa"/>
                  <w:tcBorders>
                    <w:tl2br w:val="nil"/>
                    <w:tr2bl w:val="nil"/>
                  </w:tcBorders>
                  <w:tcMar>
                    <w:top w:w="0" w:type="dxa"/>
                    <w:left w:w="0" w:type="dxa"/>
                    <w:bottom w:w="0" w:type="dxa"/>
                    <w:right w:w="0"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t>500</w:t>
                  </w:r>
                </w:p>
              </w:tc>
              <w:tc>
                <w:tcPr>
                  <w:tcW w:w="643" w:type="dxa"/>
                  <w:tcBorders>
                    <w:tl2br w:val="nil"/>
                    <w:tr2bl w:val="nil"/>
                  </w:tcBorders>
                  <w:tcMar>
                    <w:top w:w="0" w:type="dxa"/>
                    <w:left w:w="0" w:type="dxa"/>
                    <w:bottom w:w="0" w:type="dxa"/>
                    <w:right w:w="0"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38" w:hRule="atLeast"/>
                <w:jc w:val="center"/>
              </w:trPr>
              <w:tc>
                <w:tcPr>
                  <w:tcW w:w="557" w:type="dxa"/>
                  <w:vMerge w:val="continue"/>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lang w:eastAsia="zh-CN"/>
                      <w14:textFill>
                        <w14:solidFill>
                          <w14:schemeClr w14:val="tx1"/>
                        </w14:solidFill>
                      </w14:textFill>
                    </w:rPr>
                  </w:pPr>
                </w:p>
              </w:tc>
              <w:tc>
                <w:tcPr>
                  <w:tcW w:w="791" w:type="dxa"/>
                  <w:vMerge w:val="continue"/>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14:textFill>
                        <w14:solidFill>
                          <w14:schemeClr w14:val="tx1"/>
                        </w14:solidFill>
                      </w14:textFill>
                    </w:rPr>
                  </w:pPr>
                </w:p>
              </w:tc>
              <w:tc>
                <w:tcPr>
                  <w:tcW w:w="603" w:type="dxa"/>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14:textFill>
                        <w14:solidFill>
                          <w14:schemeClr w14:val="tx1"/>
                        </w14:solidFill>
                      </w14:textFill>
                    </w:rPr>
                    <w:t>BOD</w:t>
                  </w:r>
                  <w:r>
                    <w:rPr>
                      <w:rFonts w:hint="default" w:ascii="Times New Roman" w:hAnsi="Times New Roman" w:eastAsia="宋体" w:cs="Times New Roman"/>
                      <w:b w:val="0"/>
                      <w:bCs/>
                      <w:color w:val="000000" w:themeColor="text1"/>
                      <w:sz w:val="21"/>
                      <w:szCs w:val="21"/>
                      <w:u w:val="none"/>
                      <w:vertAlign w:val="subscript"/>
                      <w:lang w:val="en-US" w:eastAsia="zh-CN"/>
                      <w14:textFill>
                        <w14:solidFill>
                          <w14:schemeClr w14:val="tx1"/>
                        </w14:solidFill>
                      </w14:textFill>
                    </w:rPr>
                    <w:t>5</w:t>
                  </w:r>
                </w:p>
              </w:tc>
              <w:tc>
                <w:tcPr>
                  <w:tcW w:w="885" w:type="dxa"/>
                  <w:tcBorders>
                    <w:tl2br w:val="nil"/>
                    <w:tr2bl w:val="nil"/>
                  </w:tcBorders>
                  <w:tcMar>
                    <w:top w:w="0" w:type="dxa"/>
                    <w:left w:w="0" w:type="dxa"/>
                    <w:bottom w:w="0" w:type="dxa"/>
                    <w:right w:w="0" w:type="dxa"/>
                  </w:tcMar>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themeColor="text1"/>
                      <w:kern w:val="2"/>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2"/>
                      <w:sz w:val="21"/>
                      <w:szCs w:val="21"/>
                      <w:u w:val="none"/>
                      <w:lang w:val="en-US" w:eastAsia="zh-CN" w:bidi="ar"/>
                      <w14:textFill>
                        <w14:solidFill>
                          <w14:schemeClr w14:val="tx1"/>
                        </w14:solidFill>
                      </w14:textFill>
                    </w:rPr>
                    <w:t>150</w:t>
                  </w:r>
                </w:p>
              </w:tc>
              <w:tc>
                <w:tcPr>
                  <w:tcW w:w="640" w:type="dxa"/>
                  <w:tcBorders>
                    <w:tl2br w:val="nil"/>
                    <w:tr2bl w:val="nil"/>
                  </w:tcBorders>
                  <w:tcMar>
                    <w:top w:w="0" w:type="dxa"/>
                    <w:left w:w="0" w:type="dxa"/>
                    <w:bottom w:w="0" w:type="dxa"/>
                    <w:right w:w="0" w:type="dxa"/>
                  </w:tcMar>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0.066</w:t>
                  </w:r>
                </w:p>
              </w:tc>
              <w:tc>
                <w:tcPr>
                  <w:tcW w:w="510" w:type="dxa"/>
                  <w:vMerge w:val="continue"/>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220" w:type="dxa"/>
                  <w:vMerge w:val="continue"/>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395" w:type="dxa"/>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9%</w:t>
                  </w:r>
                </w:p>
              </w:tc>
              <w:tc>
                <w:tcPr>
                  <w:tcW w:w="885" w:type="dxa"/>
                  <w:tcBorders>
                    <w:tl2br w:val="nil"/>
                    <w:tr2bl w:val="nil"/>
                  </w:tcBorders>
                  <w:tcMar>
                    <w:top w:w="0" w:type="dxa"/>
                    <w:left w:w="0" w:type="dxa"/>
                    <w:bottom w:w="0" w:type="dxa"/>
                    <w:right w:w="0" w:type="dxa"/>
                  </w:tcMar>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136.5</w:t>
                  </w:r>
                </w:p>
              </w:tc>
              <w:tc>
                <w:tcPr>
                  <w:tcW w:w="640" w:type="dxa"/>
                  <w:tcBorders>
                    <w:tl2br w:val="nil"/>
                    <w:tr2bl w:val="nil"/>
                  </w:tcBorders>
                  <w:tcMar>
                    <w:top w:w="0" w:type="dxa"/>
                    <w:left w:w="0" w:type="dxa"/>
                    <w:bottom w:w="0" w:type="dxa"/>
                    <w:right w:w="0" w:type="dxa"/>
                  </w:tcMar>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0.0601</w:t>
                  </w:r>
                </w:p>
              </w:tc>
              <w:tc>
                <w:tcPr>
                  <w:tcW w:w="894" w:type="dxa"/>
                  <w:tcBorders>
                    <w:tl2br w:val="nil"/>
                    <w:tr2bl w:val="nil"/>
                  </w:tcBorders>
                  <w:tcMar>
                    <w:top w:w="0" w:type="dxa"/>
                    <w:left w:w="0" w:type="dxa"/>
                    <w:bottom w:w="0" w:type="dxa"/>
                    <w:right w:w="0"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t>300</w:t>
                  </w:r>
                </w:p>
              </w:tc>
              <w:tc>
                <w:tcPr>
                  <w:tcW w:w="643" w:type="dxa"/>
                  <w:tcBorders>
                    <w:tl2br w:val="nil"/>
                    <w:tr2bl w:val="nil"/>
                  </w:tcBorders>
                  <w:tcMar>
                    <w:top w:w="0" w:type="dxa"/>
                    <w:left w:w="0" w:type="dxa"/>
                    <w:bottom w:w="0" w:type="dxa"/>
                    <w:right w:w="0"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t>230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297" w:hRule="atLeast"/>
                <w:jc w:val="center"/>
              </w:trPr>
              <w:tc>
                <w:tcPr>
                  <w:tcW w:w="557" w:type="dxa"/>
                  <w:vMerge w:val="continue"/>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lang w:eastAsia="zh-CN"/>
                      <w14:textFill>
                        <w14:solidFill>
                          <w14:schemeClr w14:val="tx1"/>
                        </w14:solidFill>
                      </w14:textFill>
                    </w:rPr>
                  </w:pPr>
                </w:p>
              </w:tc>
              <w:tc>
                <w:tcPr>
                  <w:tcW w:w="791" w:type="dxa"/>
                  <w:vMerge w:val="continue"/>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14:textFill>
                        <w14:solidFill>
                          <w14:schemeClr w14:val="tx1"/>
                        </w14:solidFill>
                      </w14:textFill>
                    </w:rPr>
                  </w:pPr>
                </w:p>
              </w:tc>
              <w:tc>
                <w:tcPr>
                  <w:tcW w:w="603" w:type="dxa"/>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14:textFill>
                        <w14:solidFill>
                          <w14:schemeClr w14:val="tx1"/>
                        </w14:solidFill>
                      </w14:textFill>
                    </w:rPr>
                    <w:t>SS</w:t>
                  </w:r>
                </w:p>
              </w:tc>
              <w:tc>
                <w:tcPr>
                  <w:tcW w:w="885" w:type="dxa"/>
                  <w:tcBorders>
                    <w:tl2br w:val="nil"/>
                    <w:tr2bl w:val="nil"/>
                  </w:tcBorders>
                  <w:tcMar>
                    <w:top w:w="0" w:type="dxa"/>
                    <w:left w:w="0" w:type="dxa"/>
                    <w:bottom w:w="0" w:type="dxa"/>
                    <w:right w:w="0" w:type="dxa"/>
                  </w:tcMar>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i w:val="0"/>
                      <w:iCs w:val="0"/>
                      <w:color w:val="000000" w:themeColor="text1"/>
                      <w:kern w:val="2"/>
                      <w:sz w:val="21"/>
                      <w:szCs w:val="21"/>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2"/>
                      <w:sz w:val="21"/>
                      <w:szCs w:val="21"/>
                      <w:u w:val="none"/>
                      <w:lang w:val="en-US" w:eastAsia="zh-CN" w:bidi="ar"/>
                      <w14:textFill>
                        <w14:solidFill>
                          <w14:schemeClr w14:val="tx1"/>
                        </w14:solidFill>
                      </w14:textFill>
                    </w:rPr>
                    <w:t>280</w:t>
                  </w:r>
                </w:p>
              </w:tc>
              <w:tc>
                <w:tcPr>
                  <w:tcW w:w="640" w:type="dxa"/>
                  <w:tcBorders>
                    <w:tl2br w:val="nil"/>
                    <w:tr2bl w:val="nil"/>
                  </w:tcBorders>
                  <w:tcMar>
                    <w:top w:w="0" w:type="dxa"/>
                    <w:left w:w="0" w:type="dxa"/>
                    <w:bottom w:w="0" w:type="dxa"/>
                    <w:right w:w="0" w:type="dxa"/>
                  </w:tcMar>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0.1232</w:t>
                  </w:r>
                </w:p>
              </w:tc>
              <w:tc>
                <w:tcPr>
                  <w:tcW w:w="510" w:type="dxa"/>
                  <w:vMerge w:val="continue"/>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220" w:type="dxa"/>
                  <w:vMerge w:val="continue"/>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395" w:type="dxa"/>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30%</w:t>
                  </w:r>
                </w:p>
              </w:tc>
              <w:tc>
                <w:tcPr>
                  <w:tcW w:w="885" w:type="dxa"/>
                  <w:tcBorders>
                    <w:tl2br w:val="nil"/>
                    <w:tr2bl w:val="nil"/>
                  </w:tcBorders>
                  <w:tcMar>
                    <w:top w:w="0" w:type="dxa"/>
                    <w:left w:w="0" w:type="dxa"/>
                    <w:bottom w:w="0" w:type="dxa"/>
                    <w:right w:w="0" w:type="dxa"/>
                  </w:tcMar>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196</w:t>
                  </w:r>
                </w:p>
              </w:tc>
              <w:tc>
                <w:tcPr>
                  <w:tcW w:w="640" w:type="dxa"/>
                  <w:tcBorders>
                    <w:tl2br w:val="nil"/>
                    <w:tr2bl w:val="nil"/>
                  </w:tcBorders>
                  <w:tcMar>
                    <w:top w:w="0" w:type="dxa"/>
                    <w:left w:w="0" w:type="dxa"/>
                    <w:bottom w:w="0" w:type="dxa"/>
                    <w:right w:w="0" w:type="dxa"/>
                  </w:tcMar>
                  <w:vAlign w:val="center"/>
                </w:tcPr>
                <w:p>
                  <w:pPr>
                    <w:keepNext w:val="0"/>
                    <w:keepLines w:val="0"/>
                    <w:widowControl/>
                    <w:suppressLineNumbers w:val="0"/>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0.0862</w:t>
                  </w:r>
                </w:p>
              </w:tc>
              <w:tc>
                <w:tcPr>
                  <w:tcW w:w="894" w:type="dxa"/>
                  <w:tcBorders>
                    <w:tl2br w:val="nil"/>
                    <w:tr2bl w:val="nil"/>
                  </w:tcBorders>
                  <w:tcMar>
                    <w:top w:w="0" w:type="dxa"/>
                    <w:left w:w="0" w:type="dxa"/>
                    <w:bottom w:w="0" w:type="dxa"/>
                    <w:right w:w="0"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t>400</w:t>
                  </w:r>
                </w:p>
              </w:tc>
              <w:tc>
                <w:tcPr>
                  <w:tcW w:w="643" w:type="dxa"/>
                  <w:tcBorders>
                    <w:tl2br w:val="nil"/>
                    <w:tr2bl w:val="nil"/>
                  </w:tcBorders>
                  <w:tcMar>
                    <w:top w:w="0" w:type="dxa"/>
                    <w:left w:w="0" w:type="dxa"/>
                    <w:bottom w:w="0" w:type="dxa"/>
                    <w:right w:w="0"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23" w:hRule="atLeast"/>
                <w:jc w:val="center"/>
              </w:trPr>
              <w:tc>
                <w:tcPr>
                  <w:tcW w:w="557" w:type="dxa"/>
                  <w:vMerge w:val="continue"/>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lang w:eastAsia="zh-CN"/>
                      <w14:textFill>
                        <w14:solidFill>
                          <w14:schemeClr w14:val="tx1"/>
                        </w14:solidFill>
                      </w14:textFill>
                    </w:rPr>
                  </w:pPr>
                </w:p>
              </w:tc>
              <w:tc>
                <w:tcPr>
                  <w:tcW w:w="791" w:type="dxa"/>
                  <w:vMerge w:val="continue"/>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14:textFill>
                        <w14:solidFill>
                          <w14:schemeClr w14:val="tx1"/>
                        </w14:solidFill>
                      </w14:textFill>
                    </w:rPr>
                  </w:pPr>
                </w:p>
              </w:tc>
              <w:tc>
                <w:tcPr>
                  <w:tcW w:w="603" w:type="dxa"/>
                  <w:tcBorders>
                    <w:tl2br w:val="nil"/>
                    <w:tr2bl w:val="nil"/>
                  </w:tcBorders>
                  <w:tcMar>
                    <w:top w:w="0" w:type="dxa"/>
                    <w:left w:w="0" w:type="dxa"/>
                    <w:bottom w:w="0" w:type="dxa"/>
                    <w:right w:w="0" w:type="dxa"/>
                  </w:tcMar>
                  <w:vAlign w:val="center"/>
                </w:tcPr>
                <w:p>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u w:val="none"/>
                      <w14:textFill>
                        <w14:solidFill>
                          <w14:schemeClr w14:val="tx1"/>
                        </w14:solidFill>
                      </w14:textFill>
                    </w:rPr>
                    <w:t>NH</w:t>
                  </w:r>
                  <w:r>
                    <w:rPr>
                      <w:rFonts w:hint="default" w:ascii="Times New Roman" w:hAnsi="Times New Roman" w:eastAsia="宋体" w:cs="Times New Roman"/>
                      <w:b w:val="0"/>
                      <w:bCs/>
                      <w:color w:val="000000" w:themeColor="text1"/>
                      <w:sz w:val="21"/>
                      <w:szCs w:val="21"/>
                      <w:u w:val="none"/>
                      <w:vertAlign w:val="subscript"/>
                      <w14:textFill>
                        <w14:solidFill>
                          <w14:schemeClr w14:val="tx1"/>
                        </w14:solidFill>
                      </w14:textFill>
                    </w:rPr>
                    <w:t>3</w:t>
                  </w:r>
                  <w:r>
                    <w:rPr>
                      <w:rFonts w:hint="default" w:ascii="Times New Roman" w:hAnsi="Times New Roman" w:eastAsia="宋体" w:cs="Times New Roman"/>
                      <w:b w:val="0"/>
                      <w:bCs/>
                      <w:color w:val="000000" w:themeColor="text1"/>
                      <w:sz w:val="21"/>
                      <w:szCs w:val="21"/>
                      <w:u w:val="none"/>
                      <w14:textFill>
                        <w14:solidFill>
                          <w14:schemeClr w14:val="tx1"/>
                        </w14:solidFill>
                      </w14:textFill>
                    </w:rPr>
                    <w:t>-N</w:t>
                  </w:r>
                </w:p>
              </w:tc>
              <w:tc>
                <w:tcPr>
                  <w:tcW w:w="885" w:type="dxa"/>
                  <w:tcBorders>
                    <w:tl2br w:val="nil"/>
                    <w:tr2bl w:val="nil"/>
                  </w:tcBorders>
                  <w:tcMar>
                    <w:top w:w="0" w:type="dxa"/>
                    <w:left w:w="0" w:type="dxa"/>
                    <w:bottom w:w="0" w:type="dxa"/>
                    <w:right w:w="0" w:type="dxa"/>
                  </w:tcMar>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25</w:t>
                  </w:r>
                </w:p>
              </w:tc>
              <w:tc>
                <w:tcPr>
                  <w:tcW w:w="640" w:type="dxa"/>
                  <w:tcBorders>
                    <w:tl2br w:val="nil"/>
                    <w:tr2bl w:val="nil"/>
                  </w:tcBorders>
                  <w:tcMar>
                    <w:top w:w="0" w:type="dxa"/>
                    <w:left w:w="0" w:type="dxa"/>
                    <w:bottom w:w="0" w:type="dxa"/>
                    <w:right w:w="0" w:type="dxa"/>
                  </w:tcMar>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0.011</w:t>
                  </w:r>
                </w:p>
              </w:tc>
              <w:tc>
                <w:tcPr>
                  <w:tcW w:w="510" w:type="dxa"/>
                  <w:vMerge w:val="continue"/>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pPr>
                </w:p>
              </w:tc>
              <w:tc>
                <w:tcPr>
                  <w:tcW w:w="220" w:type="dxa"/>
                  <w:vMerge w:val="continue"/>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color w:val="000000" w:themeColor="text1"/>
                      <w:sz w:val="21"/>
                      <w:szCs w:val="21"/>
                      <w:u w:val="none"/>
                      <w14:textFill>
                        <w14:solidFill>
                          <w14:schemeClr w14:val="tx1"/>
                        </w14:solidFill>
                      </w14:textFill>
                    </w:rPr>
                  </w:pPr>
                </w:p>
              </w:tc>
              <w:tc>
                <w:tcPr>
                  <w:tcW w:w="395" w:type="dxa"/>
                  <w:tcBorders>
                    <w:tl2br w:val="nil"/>
                    <w:tr2bl w:val="nil"/>
                  </w:tcBorders>
                  <w:tcMar>
                    <w:top w:w="0" w:type="dxa"/>
                    <w:left w:w="0" w:type="dxa"/>
                    <w:bottom w:w="0" w:type="dxa"/>
                    <w:right w:w="0" w:type="dxa"/>
                  </w:tcMar>
                  <w:vAlign w:val="center"/>
                </w:tcPr>
                <w:p>
                  <w:pPr>
                    <w:adjustRightInd w:val="0"/>
                    <w:snapToGrid w:val="0"/>
                    <w:jc w:val="center"/>
                    <w:rPr>
                      <w:rFonts w:hint="default" w:ascii="Times New Roman" w:hAnsi="Times New Roman" w:eastAsia="宋体" w:cs="Times New Roman"/>
                      <w:b w:val="0"/>
                      <w:bCs/>
                      <w:color w:val="000000" w:themeColor="text1"/>
                      <w:sz w:val="21"/>
                      <w:szCs w:val="21"/>
                      <w:u w:val="none"/>
                      <w14:textFill>
                        <w14:solidFill>
                          <w14:schemeClr w14:val="tx1"/>
                        </w14:solidFill>
                      </w14:textFill>
                    </w:rPr>
                  </w:pPr>
                  <w:r>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t>3%</w:t>
                  </w:r>
                </w:p>
              </w:tc>
              <w:tc>
                <w:tcPr>
                  <w:tcW w:w="885" w:type="dxa"/>
                  <w:tcBorders>
                    <w:tl2br w:val="nil"/>
                    <w:tr2bl w:val="nil"/>
                  </w:tcBorders>
                  <w:tcMar>
                    <w:top w:w="0" w:type="dxa"/>
                    <w:left w:w="0" w:type="dxa"/>
                    <w:bottom w:w="0" w:type="dxa"/>
                    <w:right w:w="0" w:type="dxa"/>
                  </w:tcMar>
                  <w:vAlign w:val="center"/>
                </w:tcPr>
                <w:p>
                  <w:pPr>
                    <w:keepNext w:val="0"/>
                    <w:keepLines w:val="0"/>
                    <w:widowControl/>
                    <w:suppressLineNumbers w:val="0"/>
                    <w:spacing w:line="240" w:lineRule="auto"/>
                    <w:jc w:val="center"/>
                    <w:textAlignment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24.25</w:t>
                  </w:r>
                </w:p>
              </w:tc>
              <w:tc>
                <w:tcPr>
                  <w:tcW w:w="640" w:type="dxa"/>
                  <w:tcBorders>
                    <w:tl2br w:val="nil"/>
                    <w:tr2bl w:val="nil"/>
                  </w:tcBorders>
                  <w:tcMar>
                    <w:top w:w="0" w:type="dxa"/>
                    <w:left w:w="0" w:type="dxa"/>
                    <w:bottom w:w="0" w:type="dxa"/>
                    <w:right w:w="0"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0.0107</w:t>
                  </w:r>
                </w:p>
              </w:tc>
              <w:tc>
                <w:tcPr>
                  <w:tcW w:w="894" w:type="dxa"/>
                  <w:tcBorders>
                    <w:tl2br w:val="nil"/>
                    <w:tr2bl w:val="nil"/>
                  </w:tcBorders>
                  <w:tcMar>
                    <w:top w:w="0" w:type="dxa"/>
                    <w:left w:w="0" w:type="dxa"/>
                    <w:bottom w:w="0" w:type="dxa"/>
                    <w:right w:w="0"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t>/</w:t>
                  </w:r>
                </w:p>
              </w:tc>
              <w:tc>
                <w:tcPr>
                  <w:tcW w:w="643" w:type="dxa"/>
                  <w:tcBorders>
                    <w:tl2br w:val="nil"/>
                    <w:tr2bl w:val="nil"/>
                  </w:tcBorders>
                  <w:tcMar>
                    <w:top w:w="0" w:type="dxa"/>
                    <w:left w:w="0" w:type="dxa"/>
                    <w:bottom w:w="0" w:type="dxa"/>
                    <w:right w:w="0" w:type="dxa"/>
                  </w:tcMar>
                  <w:vAlign w:val="center"/>
                </w:tcPr>
                <w:p>
                  <w:pPr>
                    <w:keepNext w:val="0"/>
                    <w:keepLines w:val="0"/>
                    <w:widowControl/>
                    <w:suppressLineNumbers w:val="0"/>
                    <w:jc w:val="center"/>
                    <w:textAlignment w:val="cente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pPr>
                  <w:r>
                    <w:rPr>
                      <w:rFonts w:hint="default" w:ascii="Times New Roman" w:hAnsi="Times New Roman" w:eastAsia="宋体" w:cs="Times New Roman"/>
                      <w:b w:val="0"/>
                      <w:bCs/>
                      <w:i w:val="0"/>
                      <w:color w:val="000000" w:themeColor="text1"/>
                      <w:kern w:val="0"/>
                      <w:sz w:val="21"/>
                      <w:szCs w:val="21"/>
                      <w:u w:val="none"/>
                      <w:lang w:val="en-US" w:eastAsia="zh-CN" w:bidi="ar"/>
                      <w14:textFill>
                        <w14:solidFill>
                          <w14:schemeClr w14:val="tx1"/>
                        </w14:solidFill>
                      </w14:textFill>
                    </w:rPr>
                    <w:t>30</w:t>
                  </w:r>
                </w:p>
              </w:tc>
            </w:tr>
          </w:tbl>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废水排放情况一览表</w:t>
            </w:r>
          </w:p>
          <w:tbl>
            <w:tblPr>
              <w:tblStyle w:val="16"/>
              <w:tblW w:w="76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695"/>
              <w:gridCol w:w="725"/>
              <w:gridCol w:w="851"/>
              <w:gridCol w:w="417"/>
              <w:gridCol w:w="1029"/>
              <w:gridCol w:w="1360"/>
              <w:gridCol w:w="906"/>
              <w:gridCol w:w="10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60" w:type="dxa"/>
                  <w:vMerge w:val="restart"/>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污染物种类</w:t>
                  </w:r>
                </w:p>
              </w:tc>
              <w:tc>
                <w:tcPr>
                  <w:tcW w:w="695" w:type="dxa"/>
                  <w:vMerge w:val="restart"/>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废水排放量（t/a）</w:t>
                  </w:r>
                </w:p>
              </w:tc>
              <w:tc>
                <w:tcPr>
                  <w:tcW w:w="1576" w:type="dxa"/>
                  <w:gridSpan w:val="2"/>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污染物排放情况</w:t>
                  </w:r>
                </w:p>
              </w:tc>
              <w:tc>
                <w:tcPr>
                  <w:tcW w:w="417" w:type="dxa"/>
                  <w:vMerge w:val="restart"/>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排放方式</w:t>
                  </w:r>
                </w:p>
              </w:tc>
              <w:tc>
                <w:tcPr>
                  <w:tcW w:w="1029" w:type="dxa"/>
                  <w:vMerge w:val="restart"/>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排放去向</w:t>
                  </w:r>
                </w:p>
              </w:tc>
              <w:tc>
                <w:tcPr>
                  <w:tcW w:w="1360" w:type="dxa"/>
                  <w:vMerge w:val="restart"/>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排放规律</w:t>
                  </w:r>
                </w:p>
              </w:tc>
              <w:tc>
                <w:tcPr>
                  <w:tcW w:w="906" w:type="dxa"/>
                  <w:vMerge w:val="restart"/>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污水处理厂外排标准</w:t>
                  </w:r>
                  <w:r>
                    <w:rPr>
                      <w:rFonts w:hint="default" w:ascii="Times New Roman" w:hAnsi="Times New Roman" w:eastAsia="宋体" w:cs="Times New Roman"/>
                      <w:b w:val="0"/>
                      <w:bCs w:val="0"/>
                      <w:color w:val="000000" w:themeColor="text1"/>
                      <w:sz w:val="21"/>
                      <w:szCs w:val="21"/>
                      <w:lang w:bidi="ar"/>
                      <w14:textFill>
                        <w14:solidFill>
                          <w14:schemeClr w14:val="tx1"/>
                        </w14:solidFill>
                      </w14:textFill>
                    </w:rPr>
                    <w:t>mg/L</w:t>
                  </w:r>
                </w:p>
              </w:tc>
              <w:tc>
                <w:tcPr>
                  <w:tcW w:w="1015" w:type="dxa"/>
                  <w:vMerge w:val="restart"/>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经污水处理厂外排量</w:t>
                  </w:r>
                  <w:r>
                    <w:rPr>
                      <w:rFonts w:hint="default" w:ascii="Times New Roman" w:hAnsi="Times New Roman" w:eastAsia="宋体" w:cs="Times New Roman"/>
                      <w:b w:val="0"/>
                      <w:bCs w:val="0"/>
                      <w:color w:val="000000" w:themeColor="text1"/>
                      <w:kern w:val="0"/>
                      <w:sz w:val="21"/>
                      <w:szCs w:val="21"/>
                      <w:lang w:bidi="ar"/>
                      <w14:textFill>
                        <w14:solidFill>
                          <w14:schemeClr w14:val="tx1"/>
                        </w14:solidFill>
                      </w14:textFill>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60" w:type="dxa"/>
                  <w:vMerge w:val="continue"/>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p>
              </w:tc>
              <w:tc>
                <w:tcPr>
                  <w:tcW w:w="695" w:type="dxa"/>
                  <w:vMerge w:val="continue"/>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p>
              </w:tc>
              <w:tc>
                <w:tcPr>
                  <w:tcW w:w="725" w:type="dxa"/>
                  <w:vAlign w:val="center"/>
                </w:tcPr>
                <w:p>
                  <w:pPr>
                    <w:pStyle w:val="53"/>
                    <w:adjustRightInd w:val="0"/>
                    <w:snapToGrid w:val="0"/>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排放浓度mg/L</w:t>
                  </w:r>
                </w:p>
              </w:tc>
              <w:tc>
                <w:tcPr>
                  <w:tcW w:w="851" w:type="dxa"/>
                  <w:vAlign w:val="center"/>
                </w:tcPr>
                <w:p>
                  <w:pPr>
                    <w:pStyle w:val="53"/>
                    <w:adjustRightInd w:val="0"/>
                    <w:snapToGrid w:val="0"/>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排放量（t/a）</w:t>
                  </w:r>
                </w:p>
              </w:tc>
              <w:tc>
                <w:tcPr>
                  <w:tcW w:w="417" w:type="dxa"/>
                  <w:vMerge w:val="continue"/>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p>
              </w:tc>
              <w:tc>
                <w:tcPr>
                  <w:tcW w:w="1029" w:type="dxa"/>
                  <w:vMerge w:val="continue"/>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p>
              </w:tc>
              <w:tc>
                <w:tcPr>
                  <w:tcW w:w="1360" w:type="dxa"/>
                  <w:vMerge w:val="continue"/>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p>
              </w:tc>
              <w:tc>
                <w:tcPr>
                  <w:tcW w:w="906" w:type="dxa"/>
                  <w:vMerge w:val="continue"/>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p>
              </w:tc>
              <w:tc>
                <w:tcPr>
                  <w:tcW w:w="1015" w:type="dxa"/>
                  <w:vMerge w:val="continue"/>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trPr>
              <w:tc>
                <w:tcPr>
                  <w:tcW w:w="660" w:type="dxa"/>
                  <w:vAlign w:val="center"/>
                </w:tcPr>
                <w:p>
                  <w:pPr>
                    <w:adjustRightInd w:val="0"/>
                    <w:snapToGrid w:val="0"/>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COD</w:t>
                  </w:r>
                </w:p>
              </w:tc>
              <w:tc>
                <w:tcPr>
                  <w:tcW w:w="695" w:type="dxa"/>
                  <w:vMerge w:val="restart"/>
                  <w:vAlign w:val="center"/>
                </w:tcPr>
                <w:p>
                  <w:pPr>
                    <w:jc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t>440</w:t>
                  </w:r>
                </w:p>
              </w:tc>
              <w:tc>
                <w:tcPr>
                  <w:tcW w:w="725" w:type="dxa"/>
                  <w:vAlign w:val="center"/>
                </w:tcPr>
                <w:p>
                  <w:pPr>
                    <w:widowControl/>
                    <w:jc w:val="center"/>
                    <w:textAlignment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255</w:t>
                  </w:r>
                </w:p>
              </w:tc>
              <w:tc>
                <w:tcPr>
                  <w:tcW w:w="851" w:type="dxa"/>
                  <w:vAlign w:val="center"/>
                </w:tcPr>
                <w:p>
                  <w:pPr>
                    <w:widowControl/>
                    <w:jc w:val="center"/>
                    <w:textAlignment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0.1122</w:t>
                  </w:r>
                </w:p>
              </w:tc>
              <w:tc>
                <w:tcPr>
                  <w:tcW w:w="417" w:type="dxa"/>
                  <w:vMerge w:val="restart"/>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间接排放</w:t>
                  </w:r>
                </w:p>
              </w:tc>
              <w:tc>
                <w:tcPr>
                  <w:tcW w:w="1029" w:type="dxa"/>
                  <w:vMerge w:val="restart"/>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濮阳市第三污水处理厂</w:t>
                  </w:r>
                </w:p>
              </w:tc>
              <w:tc>
                <w:tcPr>
                  <w:tcW w:w="1360" w:type="dxa"/>
                  <w:vMerge w:val="restart"/>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14:textFill>
                        <w14:solidFill>
                          <w14:schemeClr w14:val="tx1"/>
                        </w14:solidFill>
                      </w14:textFill>
                    </w:rPr>
                    <w:t>间歇排放，流量不稳定，但有规律，且不属于周期性规律</w:t>
                  </w:r>
                </w:p>
              </w:tc>
              <w:tc>
                <w:tcPr>
                  <w:tcW w:w="906" w:type="dxa"/>
                  <w:vAlign w:val="center"/>
                </w:tcPr>
                <w:p>
                  <w:pPr>
                    <w:jc w:val="center"/>
                    <w:rPr>
                      <w:rFonts w:hint="default" w:ascii="Times New Roman" w:hAnsi="Times New Roman" w:eastAsia="宋体" w:cs="Times New Roman"/>
                      <w:b w:val="0"/>
                      <w:bCs w:val="0"/>
                      <w:color w:val="000000" w:themeColor="text1"/>
                      <w:kern w:val="0"/>
                      <w:sz w:val="21"/>
                      <w:szCs w:val="21"/>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14:textFill>
                        <w14:solidFill>
                          <w14:schemeClr w14:val="tx1"/>
                        </w14:solidFill>
                      </w14:textFill>
                    </w:rPr>
                    <w:t>40</w:t>
                  </w:r>
                </w:p>
              </w:tc>
              <w:tc>
                <w:tcPr>
                  <w:tcW w:w="1015" w:type="dxa"/>
                  <w:vAlign w:val="center"/>
                </w:tcPr>
                <w:p>
                  <w:pPr>
                    <w:widowControl/>
                    <w:jc w:val="center"/>
                    <w:textAlignment w:val="center"/>
                    <w:rPr>
                      <w:rFonts w:hint="default" w:ascii="Times New Roman" w:hAnsi="Times New Roman" w:eastAsia="宋体" w:cs="Times New Roman"/>
                      <w:b w:val="0"/>
                      <w:bCs w:val="0"/>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bidi="ar"/>
                      <w14:textFill>
                        <w14:solidFill>
                          <w14:schemeClr w14:val="tx1"/>
                        </w14:solidFill>
                      </w14:textFill>
                    </w:rPr>
                    <w:t>0.0</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176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0" w:type="dxa"/>
                  <w:vAlign w:val="center"/>
                </w:tcPr>
                <w:p>
                  <w:pPr>
                    <w:adjustRightInd w:val="0"/>
                    <w:snapToGrid w:val="0"/>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pacing w:val="-6"/>
                      <w:sz w:val="21"/>
                      <w:szCs w:val="21"/>
                      <w14:textFill>
                        <w14:solidFill>
                          <w14:schemeClr w14:val="tx1"/>
                        </w14:solidFill>
                      </w14:textFill>
                    </w:rPr>
                    <w:t>NH</w:t>
                  </w:r>
                  <w:r>
                    <w:rPr>
                      <w:rFonts w:hint="default" w:ascii="Times New Roman" w:hAnsi="Times New Roman" w:eastAsia="宋体" w:cs="Times New Roman"/>
                      <w:b w:val="0"/>
                      <w:bCs w:val="0"/>
                      <w:color w:val="000000" w:themeColor="text1"/>
                      <w:spacing w:val="-6"/>
                      <w:sz w:val="21"/>
                      <w:szCs w:val="21"/>
                      <w:vertAlign w:val="subscript"/>
                      <w14:textFill>
                        <w14:solidFill>
                          <w14:schemeClr w14:val="tx1"/>
                        </w14:solidFill>
                      </w14:textFill>
                    </w:rPr>
                    <w:t>3</w:t>
                  </w:r>
                  <w:r>
                    <w:rPr>
                      <w:rFonts w:hint="default" w:ascii="Times New Roman" w:hAnsi="Times New Roman" w:eastAsia="宋体" w:cs="Times New Roman"/>
                      <w:b w:val="0"/>
                      <w:bCs w:val="0"/>
                      <w:color w:val="000000" w:themeColor="text1"/>
                      <w:spacing w:val="-6"/>
                      <w:sz w:val="21"/>
                      <w:szCs w:val="21"/>
                      <w14:textFill>
                        <w14:solidFill>
                          <w14:schemeClr w14:val="tx1"/>
                        </w14:solidFill>
                      </w14:textFill>
                    </w:rPr>
                    <w:t>-N</w:t>
                  </w:r>
                </w:p>
              </w:tc>
              <w:tc>
                <w:tcPr>
                  <w:tcW w:w="695" w:type="dxa"/>
                  <w:vMerge w:val="continue"/>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p>
              </w:tc>
              <w:tc>
                <w:tcPr>
                  <w:tcW w:w="725" w:type="dxa"/>
                  <w:vAlign w:val="center"/>
                </w:tcPr>
                <w:p>
                  <w:pPr>
                    <w:widowControl/>
                    <w:jc w:val="center"/>
                    <w:textAlignment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24.25</w:t>
                  </w:r>
                </w:p>
              </w:tc>
              <w:tc>
                <w:tcPr>
                  <w:tcW w:w="851" w:type="dxa"/>
                  <w:vAlign w:val="center"/>
                </w:tcPr>
                <w:p>
                  <w:pPr>
                    <w:widowControl/>
                    <w:jc w:val="center"/>
                    <w:textAlignment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0.0107</w:t>
                  </w:r>
                </w:p>
              </w:tc>
              <w:tc>
                <w:tcPr>
                  <w:tcW w:w="417" w:type="dxa"/>
                  <w:vMerge w:val="continue"/>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p>
              </w:tc>
              <w:tc>
                <w:tcPr>
                  <w:tcW w:w="1029" w:type="dxa"/>
                  <w:vMerge w:val="continue"/>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p>
              </w:tc>
              <w:tc>
                <w:tcPr>
                  <w:tcW w:w="1360" w:type="dxa"/>
                  <w:vMerge w:val="continue"/>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p>
              </w:tc>
              <w:tc>
                <w:tcPr>
                  <w:tcW w:w="906" w:type="dxa"/>
                  <w:vAlign w:val="center"/>
                </w:tcPr>
                <w:p>
                  <w:pPr>
                    <w:jc w:val="center"/>
                    <w:rPr>
                      <w:rFonts w:hint="default" w:ascii="Times New Roman" w:hAnsi="Times New Roman" w:eastAsia="宋体"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14:textFill>
                        <w14:solidFill>
                          <w14:schemeClr w14:val="tx1"/>
                        </w14:solidFill>
                      </w14:textFill>
                    </w:rPr>
                    <w:t>2</w:t>
                  </w:r>
                </w:p>
              </w:tc>
              <w:tc>
                <w:tcPr>
                  <w:tcW w:w="1015" w:type="dxa"/>
                  <w:vAlign w:val="center"/>
                </w:tcPr>
                <w:p>
                  <w:pPr>
                    <w:widowControl/>
                    <w:jc w:val="center"/>
                    <w:textAlignment w:val="center"/>
                    <w:rPr>
                      <w:rFonts w:hint="default" w:ascii="Times New Roman" w:hAnsi="Times New Roman" w:eastAsia="宋体" w:cs="Times New Roman"/>
                      <w:b w:val="0"/>
                      <w:bCs w:val="0"/>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bidi="ar"/>
                      <w14:textFill>
                        <w14:solidFill>
                          <w14:schemeClr w14:val="tx1"/>
                        </w14:solidFill>
                      </w14:textFill>
                    </w:rPr>
                    <w:t>0.000</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9</w:t>
                  </w:r>
                </w:p>
              </w:tc>
            </w:tr>
          </w:tbl>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废水排放口基本情况表</w:t>
            </w:r>
          </w:p>
          <w:tbl>
            <w:tblPr>
              <w:tblStyle w:val="16"/>
              <w:tblW w:w="7671"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46"/>
              <w:gridCol w:w="712"/>
              <w:gridCol w:w="664"/>
              <w:gridCol w:w="1191"/>
              <w:gridCol w:w="1311"/>
              <w:gridCol w:w="274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55" w:hRule="atLeast"/>
                <w:jc w:val="center"/>
              </w:trPr>
              <w:tc>
                <w:tcPr>
                  <w:tcW w:w="1046" w:type="dxa"/>
                  <w:vMerge w:val="restart"/>
                  <w:tcBorders>
                    <w:top w:val="single" w:color="auto" w:sz="4" w:space="0"/>
                    <w:left w:val="single" w:color="auto" w:sz="0" w:space="0"/>
                  </w:tcBorders>
                  <w:tcMar>
                    <w:top w:w="0" w:type="dxa"/>
                    <w:left w:w="0" w:type="dxa"/>
                    <w:bottom w:w="0" w:type="dxa"/>
                    <w:right w:w="0" w:type="dxa"/>
                  </w:tcMar>
                  <w:vAlign w:val="center"/>
                </w:tcPr>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排放口编号</w:t>
                  </w:r>
                </w:p>
              </w:tc>
              <w:tc>
                <w:tcPr>
                  <w:tcW w:w="712" w:type="dxa"/>
                  <w:vMerge w:val="restart"/>
                  <w:tcBorders>
                    <w:top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名称</w:t>
                  </w:r>
                </w:p>
              </w:tc>
              <w:tc>
                <w:tcPr>
                  <w:tcW w:w="664" w:type="dxa"/>
                  <w:vMerge w:val="restart"/>
                  <w:tcBorders>
                    <w:top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类型</w:t>
                  </w:r>
                </w:p>
              </w:tc>
              <w:tc>
                <w:tcPr>
                  <w:tcW w:w="2502" w:type="dxa"/>
                  <w:gridSpan w:val="2"/>
                  <w:tcBorders>
                    <w:top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排放口地理坐标</w:t>
                  </w:r>
                </w:p>
              </w:tc>
              <w:tc>
                <w:tcPr>
                  <w:tcW w:w="2747" w:type="dxa"/>
                  <w:vMerge w:val="restart"/>
                  <w:tcBorders>
                    <w:top w:val="single" w:color="auto" w:sz="4" w:space="0"/>
                    <w:right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46" w:type="dxa"/>
                  <w:vMerge w:val="continue"/>
                  <w:tcBorders>
                    <w:left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712" w:type="dxa"/>
                  <w:vMerge w:val="continue"/>
                  <w:tcMar>
                    <w:top w:w="0" w:type="dxa"/>
                    <w:left w:w="0" w:type="dxa"/>
                    <w:bottom w:w="0" w:type="dxa"/>
                    <w:right w:w="0" w:type="dxa"/>
                  </w:tcMar>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664" w:type="dxa"/>
                  <w:vMerge w:val="continue"/>
                  <w:tcMar>
                    <w:top w:w="0" w:type="dxa"/>
                    <w:left w:w="0" w:type="dxa"/>
                    <w:bottom w:w="0" w:type="dxa"/>
                    <w:right w:w="0" w:type="dxa"/>
                  </w:tcMar>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c>
                <w:tcPr>
                  <w:tcW w:w="1191" w:type="dxa"/>
                  <w:tcMar>
                    <w:top w:w="0" w:type="dxa"/>
                    <w:left w:w="0" w:type="dxa"/>
                    <w:bottom w:w="0" w:type="dxa"/>
                    <w:right w:w="0" w:type="dxa"/>
                  </w:tcMar>
                  <w:vAlign w:val="center"/>
                </w:tcPr>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经度</w:t>
                  </w:r>
                </w:p>
              </w:tc>
              <w:tc>
                <w:tcPr>
                  <w:tcW w:w="1311" w:type="dxa"/>
                  <w:tcMar>
                    <w:top w:w="0" w:type="dxa"/>
                    <w:left w:w="0" w:type="dxa"/>
                    <w:bottom w:w="0" w:type="dxa"/>
                    <w:right w:w="0" w:type="dxa"/>
                  </w:tcMar>
                  <w:vAlign w:val="center"/>
                </w:tcPr>
                <w:p>
                  <w:pPr>
                    <w:jc w:val="center"/>
                    <w:rPr>
                      <w:rFonts w:hint="default" w:ascii="Times New Roman" w:hAnsi="Times New Roman" w:eastAsia="宋体" w:cs="Times New Roman"/>
                      <w:b/>
                      <w:bCs/>
                      <w:color w:val="000000" w:themeColor="text1"/>
                      <w:szCs w:val="21"/>
                      <w14:textFill>
                        <w14:solidFill>
                          <w14:schemeClr w14:val="tx1"/>
                        </w14:solidFill>
                      </w14:textFill>
                    </w:rPr>
                  </w:pPr>
                  <w:r>
                    <w:rPr>
                      <w:rFonts w:hint="default" w:ascii="Times New Roman" w:hAnsi="Times New Roman" w:eastAsia="宋体" w:cs="Times New Roman"/>
                      <w:b/>
                      <w:bCs/>
                      <w:color w:val="000000" w:themeColor="text1"/>
                      <w:szCs w:val="21"/>
                      <w14:textFill>
                        <w14:solidFill>
                          <w14:schemeClr w14:val="tx1"/>
                        </w14:solidFill>
                      </w14:textFill>
                    </w:rPr>
                    <w:t>纬度</w:t>
                  </w:r>
                </w:p>
              </w:tc>
              <w:tc>
                <w:tcPr>
                  <w:tcW w:w="2747" w:type="dxa"/>
                  <w:vMerge w:val="continue"/>
                  <w:tcBorders>
                    <w:right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9" w:hRule="atLeast"/>
                <w:jc w:val="center"/>
              </w:trPr>
              <w:tc>
                <w:tcPr>
                  <w:tcW w:w="1046" w:type="dxa"/>
                  <w:tcBorders>
                    <w:left w:val="single" w:color="auto" w:sz="4" w:space="0"/>
                    <w:bottom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DW001</w:t>
                  </w:r>
                </w:p>
              </w:tc>
              <w:tc>
                <w:tcPr>
                  <w:tcW w:w="712" w:type="dxa"/>
                  <w:tcBorders>
                    <w:bottom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废水总排放口</w:t>
                  </w:r>
                </w:p>
              </w:tc>
              <w:tc>
                <w:tcPr>
                  <w:tcW w:w="664" w:type="dxa"/>
                  <w:tcBorders>
                    <w:bottom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一般排放口</w:t>
                  </w:r>
                </w:p>
              </w:tc>
              <w:tc>
                <w:tcPr>
                  <w:tcW w:w="1191" w:type="dxa"/>
                  <w:tcBorders>
                    <w:bottom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115.12881</w:t>
                  </w:r>
                  <w:r>
                    <w:rPr>
                      <w:rFonts w:hint="default" w:ascii="Times New Roman" w:hAnsi="Times New Roman" w:eastAsia="宋体" w:cs="Times New Roman"/>
                      <w:color w:val="000000" w:themeColor="text1"/>
                      <w:szCs w:val="21"/>
                      <w:lang w:val="en-US" w:eastAsia="zh-CN"/>
                      <w14:textFill>
                        <w14:solidFill>
                          <w14:schemeClr w14:val="tx1"/>
                        </w14:solidFill>
                      </w14:textFill>
                    </w:rPr>
                    <w:t>2</w:t>
                  </w:r>
                </w:p>
              </w:tc>
              <w:tc>
                <w:tcPr>
                  <w:tcW w:w="1311" w:type="dxa"/>
                  <w:tcBorders>
                    <w:bottom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color w:val="000000" w:themeColor="text1"/>
                      <w:szCs w:val="21"/>
                      <w:lang w:eastAsia="zh-CN"/>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35.80623</w:t>
                  </w:r>
                  <w:r>
                    <w:rPr>
                      <w:rFonts w:hint="default" w:ascii="Times New Roman" w:hAnsi="Times New Roman" w:eastAsia="宋体" w:cs="Times New Roman"/>
                      <w:color w:val="000000" w:themeColor="text1"/>
                      <w:szCs w:val="21"/>
                      <w:lang w:val="en-US" w:eastAsia="zh-CN"/>
                      <w14:textFill>
                        <w14:solidFill>
                          <w14:schemeClr w14:val="tx1"/>
                        </w14:solidFill>
                      </w14:textFill>
                    </w:rPr>
                    <w:t>7</w:t>
                  </w:r>
                </w:p>
              </w:tc>
              <w:tc>
                <w:tcPr>
                  <w:tcW w:w="2747" w:type="dxa"/>
                  <w:tcBorders>
                    <w:bottom w:val="single" w:color="auto" w:sz="4" w:space="0"/>
                    <w:right w:val="single" w:color="auto" w:sz="4" w:space="0"/>
                  </w:tcBorders>
                  <w:tcMar>
                    <w:top w:w="0" w:type="dxa"/>
                    <w:left w:w="0" w:type="dxa"/>
                    <w:bottom w:w="0" w:type="dxa"/>
                    <w:right w:w="0" w:type="dxa"/>
                  </w:tcMar>
                  <w:vAlign w:val="center"/>
                </w:tcPr>
                <w:p>
                  <w:pPr>
                    <w:jc w:val="center"/>
                    <w:rPr>
                      <w:rFonts w:hint="default" w:ascii="Times New Roman" w:hAnsi="Times New Roman" w:eastAsia="宋体" w:cs="Times New Roman"/>
                      <w:color w:val="000000" w:themeColor="text1"/>
                      <w:szCs w:val="21"/>
                      <w14:textFill>
                        <w14:solidFill>
                          <w14:schemeClr w14:val="tx1"/>
                        </w14:solidFill>
                      </w14:textFill>
                    </w:rPr>
                  </w:pPr>
                  <w:r>
                    <w:rPr>
                      <w:rFonts w:hint="default" w:ascii="Times New Roman" w:hAnsi="Times New Roman" w:eastAsia="宋体" w:cs="Times New Roman"/>
                      <w:color w:val="000000" w:themeColor="text1"/>
                      <w:szCs w:val="21"/>
                      <w14:textFill>
                        <w14:solidFill>
                          <w14:schemeClr w14:val="tx1"/>
                        </w14:solidFill>
                      </w14:textFill>
                    </w:rPr>
                    <w:t>《污水综合排放标准》（GB8978-1996）表4三级排放标准要求和濮阳市第三污水处理厂收纳水质标准</w:t>
                  </w:r>
                </w:p>
              </w:tc>
            </w:tr>
          </w:tbl>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textAlignment w:val="auto"/>
              <w:outlineLvl w:val="9"/>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2.3废水达标排放可行性分析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项目生活废水经化粪池处理后，排入濮阳市第三污水处理厂处理，处理后排入金堤河。濮阳市第三污水处理厂设计规模为（一期）5万m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已建设完成。收水范围为濮阳市产业集聚区规划范围，北起规划路，南抵濮范公路，西起东刘官寨和沙河寨一线，东至209省道，规划范围面积约35.95平方公里。濮阳市第三污水处理厂主要收集濮阳工业园区、濮东产业集聚区、濮阳县产业集聚区等3个产业集聚区的工业废水及濮阳市文明路以东部分城区生活污水，设计处理工艺为“改良型氧化沟+混凝沉淀过滤”处理工艺，设计进水水质指标为：COD≤500mg/L，NH</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-N≤30mg/L，出水水质为《地表水环境质量标准》（GB3838-2002）Ⅴ类标准（COD：40mg/L、NH</w:t>
            </w:r>
            <w:r>
              <w:rPr>
                <w:rFonts w:hint="default" w:ascii="Times New Roman" w:hAnsi="Times New Roman" w:eastAsia="宋体" w:cs="Times New Roman"/>
                <w:color w:val="000000" w:themeColor="text1"/>
                <w:sz w:val="24"/>
                <w:szCs w:val="24"/>
                <w:highlight w:val="none"/>
                <w:vertAlign w:val="sub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-N：2mg/L）。</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濮阳市第三污水处理厂收水范围为濮阳工业园区、濮东产业集聚区、濮阳县产业集聚区等3个产业集聚区的工业废水及濮阳市文明路以东部分城区生活污水。已建成处理规模5万m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/d，远期规模为15万m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/d。根据现场调查，目前濮阳市第三污水处理厂已建成的处理规模5万m</w:t>
            </w:r>
            <w:r>
              <w:rPr>
                <w:rFonts w:hint="default"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/d正常运行。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项目位于濮阳市第三污水处理厂服务范围内，项目生活污水经经厂内化粪池预处理后，厂区总排口废水水质可以满足濮阳市第三污水处理厂进水水质标准要求，且目前濮阳市第三污水处理厂有剩余余量接纳本项目废水量，因此，本项目废水进入濮阳市第三污水处理厂处理是可行的。</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综上分析，本项目废水均得到合理有效处置，处理措施合理可行。</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企业应认真做好规范化排污口工作，一个企业只允许有一个排污口，要在排污口旁设立明显标志（标志有环保部门统一制定），排污口的设置要便于采样和测流。因此，本项目在落实各项污水处理措施后，项目运营期废水可做到达标排放，对区域水环境影响较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根据《排污许可证申请与核发技术规范 总则》（HJ942—2018）要求，针对单独排入城镇集中污水处理设施的生活污水仅说明排放去向，不再列举废水污染源监测计划。</w:t>
            </w:r>
          </w:p>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32"/>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3、噪声</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textAlignment w:val="auto"/>
              <w:outlineLvl w:val="9"/>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3.1源强分析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项目运营期噪声主要为切网机、切纸机、切割机等生产设备运行噪声。噪声级约70~80dB(A)。主要噪声设备及噪声值见下表。</w:t>
            </w: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主要噪声源情况（室外声源）</w:t>
            </w:r>
          </w:p>
          <w:tbl>
            <w:tblPr>
              <w:tblStyle w:val="17"/>
              <w:tblW w:w="76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1104"/>
              <w:gridCol w:w="835"/>
              <w:gridCol w:w="970"/>
              <w:gridCol w:w="1024"/>
              <w:gridCol w:w="1395"/>
              <w:gridCol w:w="952"/>
              <w:gridCol w:w="9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序号</w:t>
                  </w:r>
                </w:p>
              </w:tc>
              <w:tc>
                <w:tcPr>
                  <w:tcW w:w="1104"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设备名称</w:t>
                  </w:r>
                </w:p>
              </w:tc>
              <w:tc>
                <w:tcPr>
                  <w:tcW w:w="2829"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空间相对位置</w:t>
                  </w:r>
                </w:p>
              </w:tc>
              <w:tc>
                <w:tcPr>
                  <w:tcW w:w="1395"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（声压级/距声源距离）/（dB(A)/m）</w:t>
                  </w:r>
                </w:p>
              </w:tc>
              <w:tc>
                <w:tcPr>
                  <w:tcW w:w="95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声源控制措施</w:t>
                  </w:r>
                </w:p>
              </w:tc>
              <w:tc>
                <w:tcPr>
                  <w:tcW w:w="95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运行时段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p>
              </w:tc>
              <w:tc>
                <w:tcPr>
                  <w:tcW w:w="1104"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p>
              </w:tc>
              <w:tc>
                <w:tcPr>
                  <w:tcW w:w="83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X</w:t>
                  </w:r>
                </w:p>
              </w:tc>
              <w:tc>
                <w:tcPr>
                  <w:tcW w:w="9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Y</w:t>
                  </w:r>
                </w:p>
              </w:tc>
              <w:tc>
                <w:tcPr>
                  <w:tcW w:w="10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Z</w:t>
                  </w:r>
                </w:p>
              </w:tc>
              <w:tc>
                <w:tcPr>
                  <w:tcW w:w="139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p>
              </w:tc>
              <w:tc>
                <w:tcPr>
                  <w:tcW w:w="952"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p>
              </w:tc>
              <w:tc>
                <w:tcPr>
                  <w:tcW w:w="952"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1</w:t>
                  </w:r>
                </w:p>
              </w:tc>
              <w:tc>
                <w:tcPr>
                  <w:tcW w:w="1104" w:type="dxa"/>
                  <w:vAlign w:val="center"/>
                </w:tcPr>
                <w:p>
                  <w:pPr>
                    <w:bidi w:val="0"/>
                    <w:jc w:val="cente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除尘器风机</w:t>
                  </w:r>
                </w:p>
              </w:tc>
              <w:tc>
                <w:tcPr>
                  <w:tcW w:w="83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-37.5</w:t>
                  </w:r>
                </w:p>
              </w:tc>
              <w:tc>
                <w:tcPr>
                  <w:tcW w:w="9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40.7</w:t>
                  </w:r>
                </w:p>
              </w:tc>
              <w:tc>
                <w:tcPr>
                  <w:tcW w:w="10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0.5</w:t>
                  </w:r>
                </w:p>
              </w:tc>
              <w:tc>
                <w:tcPr>
                  <w:tcW w:w="139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70/1</w:t>
                  </w:r>
                </w:p>
              </w:tc>
              <w:tc>
                <w:tcPr>
                  <w:tcW w:w="95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t>基础减振</w:t>
                  </w:r>
                  <w:r>
                    <w:rPr>
                      <w:rFonts w:hint="default" w:ascii="Times New Roman" w:hAnsi="Times New Roman" w:eastAsia="宋体" w:cs="Times New Roman"/>
                      <w:b w:val="0"/>
                      <w:bCs w:val="0"/>
                      <w:color w:val="000000" w:themeColor="text1"/>
                      <w:sz w:val="21"/>
                      <w:szCs w:val="21"/>
                      <w:highlight w:val="none"/>
                      <w:u w:val="none"/>
                      <w:lang w:eastAsia="zh-CN"/>
                      <w14:textFill>
                        <w14:solidFill>
                          <w14:schemeClr w14:val="tx1"/>
                        </w14:solidFill>
                      </w14:textFill>
                    </w:rPr>
                    <w:t>、隔声、距离衰减</w:t>
                  </w: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昼间/夜间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2</w:t>
                  </w:r>
                </w:p>
              </w:tc>
              <w:tc>
                <w:tcPr>
                  <w:tcW w:w="1104"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活性炭吸附</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装置</w:t>
                  </w: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风机</w:t>
                  </w:r>
                </w:p>
              </w:tc>
              <w:tc>
                <w:tcPr>
                  <w:tcW w:w="83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42.7</w:t>
                  </w:r>
                </w:p>
              </w:tc>
              <w:tc>
                <w:tcPr>
                  <w:tcW w:w="97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39.7</w:t>
                  </w:r>
                </w:p>
              </w:tc>
              <w:tc>
                <w:tcPr>
                  <w:tcW w:w="102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0.5</w:t>
                  </w:r>
                </w:p>
              </w:tc>
              <w:tc>
                <w:tcPr>
                  <w:tcW w:w="139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70/1</w:t>
                  </w:r>
                </w:p>
              </w:tc>
              <w:tc>
                <w:tcPr>
                  <w:tcW w:w="952"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jc w:val="center"/>
                    <w:textAlignment w:val="auto"/>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p>
              </w:tc>
              <w:tc>
                <w:tcPr>
                  <w:tcW w:w="9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vertAlign w:val="baseline"/>
                      <w:lang w:val="en-US" w:eastAsia="zh-CN"/>
                      <w14:textFill>
                        <w14:solidFill>
                          <w14:schemeClr w14:val="tx1"/>
                        </w14:solidFill>
                      </w14:textFill>
                    </w:rPr>
                    <w:t>昼间/夜间</w:t>
                  </w:r>
                </w:p>
              </w:tc>
            </w:tr>
          </w:tbl>
          <w:p>
            <w:pPr>
              <w:keepNext w:val="0"/>
              <w:keepLines w:val="0"/>
              <w:pageBreakBefore w:val="0"/>
              <w:widowControl w:val="0"/>
              <w:kinsoku/>
              <w:wordWrap/>
              <w:overflowPunct/>
              <w:topLinePunct w:val="0"/>
              <w:autoSpaceDE/>
              <w:autoSpaceDN/>
              <w:bidi w:val="0"/>
              <w:adjustRightInd/>
              <w:snapToGrid/>
              <w:textAlignment w:val="auto"/>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vertAlign w:val="baseline"/>
                <w:lang w:val="en-US" w:eastAsia="zh-CN"/>
                <w14:textFill>
                  <w14:solidFill>
                    <w14:schemeClr w14:val="tx1"/>
                  </w14:solidFill>
                </w14:textFill>
              </w:rPr>
              <w:t>表中坐标以厂界中心（115.123550,35.806526）为坐标原点，正东向为X轴正方向，正北向为Y轴正方向</w:t>
            </w:r>
          </w:p>
        </w:tc>
      </w:tr>
    </w:tbl>
    <w:p>
      <w:pPr>
        <w:bidi w:val="0"/>
        <w:rPr>
          <w:rFonts w:hint="default" w:ascii="Times New Roman" w:hAnsi="Times New Roman" w:eastAsia="宋体" w:cs="Times New Roman"/>
          <w:color w:val="000000" w:themeColor="text1"/>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tbl>
      <w:tblPr>
        <w:tblStyle w:val="17"/>
        <w:tblW w:w="141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6"/>
        <w:gridCol w:w="136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42" w:hRule="atLeast"/>
        </w:trPr>
        <w:tc>
          <w:tcPr>
            <w:tcW w:w="486" w:type="dxa"/>
            <w:vAlign w:val="center"/>
          </w:tcPr>
          <w:p>
            <w:pPr>
              <w:pStyle w:val="7"/>
              <w:jc w:val="center"/>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运营期环境影响和保护措施</w:t>
            </w:r>
          </w:p>
        </w:tc>
        <w:tc>
          <w:tcPr>
            <w:tcW w:w="13688" w:type="dxa"/>
          </w:tcPr>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主要噪声源情况（室内声源）</w:t>
            </w:r>
          </w:p>
          <w:tbl>
            <w:tblPr>
              <w:tblStyle w:val="17"/>
              <w:tblW w:w="1345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6"/>
              <w:gridCol w:w="557"/>
              <w:gridCol w:w="1246"/>
              <w:gridCol w:w="754"/>
              <w:gridCol w:w="700"/>
              <w:gridCol w:w="700"/>
              <w:gridCol w:w="613"/>
              <w:gridCol w:w="512"/>
              <w:gridCol w:w="613"/>
              <w:gridCol w:w="637"/>
              <w:gridCol w:w="725"/>
              <w:gridCol w:w="625"/>
              <w:gridCol w:w="613"/>
              <w:gridCol w:w="637"/>
              <w:gridCol w:w="625"/>
              <w:gridCol w:w="600"/>
              <w:gridCol w:w="1138"/>
              <w:gridCol w:w="650"/>
              <w:gridCol w:w="655"/>
              <w:gridCol w:w="4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序号</w:t>
                  </w:r>
                </w:p>
              </w:tc>
              <w:tc>
                <w:tcPr>
                  <w:tcW w:w="557"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声源位置</w:t>
                  </w:r>
                </w:p>
              </w:tc>
              <w:tc>
                <w:tcPr>
                  <w:tcW w:w="1246"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设备名称</w:t>
                  </w:r>
                </w:p>
              </w:tc>
              <w:tc>
                <w:tcPr>
                  <w:tcW w:w="754"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声功率级/dB(A)</w:t>
                  </w:r>
                </w:p>
              </w:tc>
              <w:tc>
                <w:tcPr>
                  <w:tcW w:w="70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声源控制措施</w:t>
                  </w:r>
                </w:p>
              </w:tc>
              <w:tc>
                <w:tcPr>
                  <w:tcW w:w="1825" w:type="dxa"/>
                  <w:gridSpan w:val="3"/>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空间相对位置</w:t>
                  </w:r>
                </w:p>
              </w:tc>
              <w:tc>
                <w:tcPr>
                  <w:tcW w:w="2600" w:type="dxa"/>
                  <w:gridSpan w:val="4"/>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距室内边界距离/m</w:t>
                  </w:r>
                </w:p>
              </w:tc>
              <w:tc>
                <w:tcPr>
                  <w:tcW w:w="2475" w:type="dxa"/>
                  <w:gridSpan w:val="4"/>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室内边界声级/dB（A）</w:t>
                  </w:r>
                </w:p>
              </w:tc>
              <w:tc>
                <w:tcPr>
                  <w:tcW w:w="1138"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运行时段</w:t>
                  </w:r>
                </w:p>
              </w:tc>
              <w:tc>
                <w:tcPr>
                  <w:tcW w:w="65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建筑物插入损失/dB（A）</w:t>
                  </w:r>
                </w:p>
              </w:tc>
              <w:tc>
                <w:tcPr>
                  <w:tcW w:w="1083" w:type="dxa"/>
                  <w:gridSpan w:val="2"/>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建筑物外噪声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42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557"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754"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70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X</w:t>
                  </w:r>
                </w:p>
              </w:tc>
              <w:tc>
                <w:tcPr>
                  <w:tcW w:w="613"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Y</w:t>
                  </w:r>
                </w:p>
              </w:tc>
              <w:tc>
                <w:tcPr>
                  <w:tcW w:w="512"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Z</w:t>
                  </w:r>
                </w:p>
              </w:tc>
              <w:tc>
                <w:tcPr>
                  <w:tcW w:w="2600" w:type="dxa"/>
                  <w:gridSpan w:val="4"/>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2475" w:type="dxa"/>
                  <w:gridSpan w:val="4"/>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138"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65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655"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声压级/dB（A）</w:t>
                  </w:r>
                </w:p>
              </w:tc>
              <w:tc>
                <w:tcPr>
                  <w:tcW w:w="428"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建筑物外距离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557"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754"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613"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512"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东</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西</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南</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北</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东</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西</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南</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北</w:t>
                  </w:r>
                </w:p>
              </w:tc>
              <w:tc>
                <w:tcPr>
                  <w:tcW w:w="1138"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65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655"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428"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c>
                <w:tcPr>
                  <w:tcW w:w="557"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生产车间</w:t>
                  </w: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数控外圆磨床</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75</w:t>
                  </w:r>
                </w:p>
              </w:tc>
              <w:tc>
                <w:tcPr>
                  <w:tcW w:w="700" w:type="dxa"/>
                  <w:vMerge w:val="restar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t>基础减振</w:t>
                  </w:r>
                  <w:r>
                    <w:rPr>
                      <w:rFonts w:hint="default" w:ascii="Times New Roman" w:hAnsi="Times New Roman" w:eastAsia="宋体" w:cs="Times New Roman"/>
                      <w:b/>
                      <w:bCs/>
                      <w:color w:val="000000" w:themeColor="text1"/>
                      <w:sz w:val="21"/>
                      <w:szCs w:val="21"/>
                      <w:highlight w:val="none"/>
                      <w:u w:val="single"/>
                      <w:lang w:eastAsia="zh-CN"/>
                      <w14:textFill>
                        <w14:solidFill>
                          <w14:schemeClr w14:val="tx1"/>
                        </w14:solidFill>
                      </w14:textFill>
                    </w:rPr>
                    <w:t>、隔声、距离衰减</w:t>
                  </w: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11.1</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28.6</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59.0</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45.4</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84.7</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10.1</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56.2</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30.2</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全自动焊接机</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70</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-13.1</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11.4</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83.3</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28.0</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60.8</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27.6</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50.9</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51.0</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50.9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51.0</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25.0</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台车炉</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70</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-2.7</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5.6</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73.0</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22.3</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71.2</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33.3</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50.9</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51.0</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50.9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50.9</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24.9</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数控车床</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80</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10.4</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5.8</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59.9</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22.6</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84.3</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32.9</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61.0</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34.9</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珩磨机</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75</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21.3</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5.8</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49.0</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22.7</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95.2</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32.8</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56.0</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29.9</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数控加工中心</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80</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30.3</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5.8</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40.0</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22.7</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104.2</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32.7</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61.0</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34.9</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7</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车床</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80</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44.6</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4.1</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25.7</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21.1</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118.6</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34.2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61.0</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61.0</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34.9</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8</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切纸机</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70</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49.6</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10.7</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20.6</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27.8</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123.5</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27.5</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51.0</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51.0</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50.9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51.0</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25.0</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9</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切网机</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75</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49.2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18.4</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21.0</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35.5</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122.9</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19.8</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56.0</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56.0</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30.0</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10</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切割机</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80</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1.7</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68.5</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31.7</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75.5</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23.8</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61.0</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35.0</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11</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钻床</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80</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37</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11.6</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33.2</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28.6</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110.9</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26.8</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61.0</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61.0</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35.0</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数控镗床</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80</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19.9</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18.2</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50.3</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35.1</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93.6</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20.4</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61.0</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35.0</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13</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空压机</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75</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-4.6</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30.5</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74.7</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47.2</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68.9</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8.4</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56.3</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30.3</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14</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抛丸机</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75</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-19.9</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19.4</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90.1</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36.0</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53.8</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19.7</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56.0</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30.0</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转盘式烘干机</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70</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-43.6</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11.9</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113.8</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28.3</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30.2</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27.4</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50.9</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51.0</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50.9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51.0</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25.0</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16</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试压泵</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75</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-43.1</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20.6</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113.3</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37.0</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30.6</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18.7</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56.0</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30.0</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17</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渗碳炉</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70</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-33.4</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29.3</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103.5</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45.8</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40.2</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9.9</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50.9</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50.9</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50.9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51.2</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25.2</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18</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数控锯床</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80</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33.4</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30.3</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36.7</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47.2</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107.0</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8.1</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61.3</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35.3</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19</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空气锤</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80</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44.3</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21.8</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25.8</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38.8</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118.0</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16.5</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61.0</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60.9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61.0</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35.0</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42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20</w:t>
                  </w:r>
                </w:p>
              </w:tc>
              <w:tc>
                <w:tcPr>
                  <w:tcW w:w="557" w:type="dxa"/>
                  <w:vMerge w:val="continue"/>
                  <w:vAlign w:val="center"/>
                </w:tcPr>
                <w:p>
                  <w:pPr>
                    <w:pStyle w:val="54"/>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p>
              </w:tc>
              <w:tc>
                <w:tcPr>
                  <w:tcW w:w="1246" w:type="dxa"/>
                  <w:vAlign w:val="center"/>
                </w:tcPr>
                <w:p>
                  <w:pPr>
                    <w:jc w:val="cente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0"/>
                      <w:u w:val="single"/>
                      <w14:textFill>
                        <w14:solidFill>
                          <w14:schemeClr w14:val="tx1"/>
                        </w14:solidFill>
                      </w14:textFill>
                    </w:rPr>
                    <w:t>高精度万能外圆磨床</w:t>
                  </w:r>
                </w:p>
              </w:tc>
              <w:tc>
                <w:tcPr>
                  <w:tcW w:w="754"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75</w:t>
                  </w:r>
                </w:p>
              </w:tc>
              <w:tc>
                <w:tcPr>
                  <w:tcW w:w="700" w:type="dxa"/>
                  <w:vMerge w:val="continue"/>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7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48.7</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29.5</w:t>
                  </w:r>
                </w:p>
              </w:tc>
              <w:tc>
                <w:tcPr>
                  <w:tcW w:w="51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21.4</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46.5</w:t>
                  </w:r>
                </w:p>
              </w:tc>
              <w:tc>
                <w:tcPr>
                  <w:tcW w:w="7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122.3</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8.8</w:t>
                  </w:r>
                </w:p>
              </w:tc>
              <w:tc>
                <w:tcPr>
                  <w:tcW w:w="613"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56.0</w:t>
                  </w:r>
                </w:p>
              </w:tc>
              <w:tc>
                <w:tcPr>
                  <w:tcW w:w="637"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2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55.9</w:t>
                  </w:r>
                </w:p>
              </w:tc>
              <w:tc>
                <w:tcPr>
                  <w:tcW w:w="60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56.3</w:t>
                  </w:r>
                </w:p>
              </w:tc>
              <w:tc>
                <w:tcPr>
                  <w:tcW w:w="1138"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昼间/夜间</w:t>
                  </w:r>
                </w:p>
              </w:tc>
              <w:tc>
                <w:tcPr>
                  <w:tcW w:w="65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15</w:t>
                  </w:r>
                </w:p>
              </w:tc>
              <w:tc>
                <w:tcPr>
                  <w:tcW w:w="655"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30.3</w:t>
                  </w:r>
                </w:p>
              </w:tc>
              <w:tc>
                <w:tcPr>
                  <w:tcW w:w="428" w:type="dxa"/>
                  <w:vAlign w:val="center"/>
                </w:tcPr>
                <w:p>
                  <w:pPr>
                    <w:pStyle w:val="7"/>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vertAlign w:val="baseline"/>
                      <w:lang w:val="en-US" w:eastAsia="zh-CN"/>
                      <w14:textFill>
                        <w14:solidFill>
                          <w14:schemeClr w14:val="tx1"/>
                        </w14:solidFill>
                      </w14:textFill>
                    </w:rPr>
                    <w:t>1</w:t>
                  </w:r>
                </w:p>
              </w:tc>
            </w:tr>
          </w:tbl>
          <w:p>
            <w:pPr>
              <w:pStyle w:val="7"/>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kern w:val="2"/>
                <w:sz w:val="21"/>
                <w:szCs w:val="24"/>
                <w:vertAlign w:val="baseline"/>
                <w:lang w:val="en-US" w:eastAsia="zh-CN" w:bidi="ar-SA"/>
                <w14:textFill>
                  <w14:solidFill>
                    <w14:schemeClr w14:val="tx1"/>
                  </w14:solidFill>
                </w14:textFill>
              </w:rPr>
              <w:t>表中坐标以厂界中心（115.123550,35.806526）为坐标原点，正东向为X轴正方向，正北向为Y轴正方向</w:t>
            </w:r>
          </w:p>
        </w:tc>
      </w:tr>
    </w:tbl>
    <w:p>
      <w:pPr>
        <w:pStyle w:val="7"/>
        <w:rPr>
          <w:rFonts w:hint="default" w:ascii="Times New Roman" w:hAnsi="Times New Roman" w:eastAsia="宋体" w:cs="Times New Roman"/>
          <w:color w:val="000000" w:themeColor="text1"/>
          <w:lang w:val="en-US" w:eastAsia="zh-CN"/>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tbl>
      <w:tblPr>
        <w:tblStyle w:val="17"/>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6"/>
        <w:gridCol w:w="78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30" w:hRule="atLeast"/>
        </w:trPr>
        <w:tc>
          <w:tcPr>
            <w:tcW w:w="626" w:type="dxa"/>
            <w:vAlign w:val="center"/>
          </w:tcPr>
          <w:p>
            <w:pPr>
              <w:pStyle w:val="7"/>
              <w:jc w:val="center"/>
              <w:rPr>
                <w:rFonts w:hint="default" w:ascii="Times New Roman" w:hAnsi="Times New Roman" w:eastAsia="宋体" w:cs="Times New Roman"/>
                <w:color w:val="000000" w:themeColor="text1"/>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运营期环境影响和保护措施</w:t>
            </w:r>
          </w:p>
        </w:tc>
        <w:tc>
          <w:tcPr>
            <w:tcW w:w="7896" w:type="dxa"/>
          </w:tcPr>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textAlignment w:val="auto"/>
              <w:outlineLvl w:val="9"/>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3.2声环境影响分析</w:t>
            </w:r>
          </w:p>
          <w:p>
            <w:pPr>
              <w:keepNext w:val="0"/>
              <w:keepLines w:val="0"/>
              <w:pageBreakBefore w:val="0"/>
              <w:widowControl w:val="0"/>
              <w:kinsoku/>
              <w:wordWrap/>
              <w:overflowPunct/>
              <w:topLinePunct w:val="0"/>
              <w:autoSpaceDE/>
              <w:autoSpaceDN/>
              <w:bidi w:val="0"/>
              <w:adjustRightInd/>
              <w:snapToGrid/>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根据《环境影响评价技术导则声环境》（HJ 2.4-2021）中规定，本项目选用导则中附录A、B中给定的噪声预测模型，在不能取得声源倍频带声功率级或倍频带声压级，只能获得A声功率级或某点的A声级时，可用A声功率级或某点的A声级计算。</w:t>
            </w:r>
          </w:p>
          <w:p>
            <w:pPr>
              <w:keepNext w:val="0"/>
              <w:keepLines w:val="0"/>
              <w:pageBreakBefore w:val="0"/>
              <w:widowControl w:val="0"/>
              <w:kinsoku/>
              <w:wordWrap/>
              <w:overflowPunct/>
              <w:topLinePunct w:val="0"/>
              <w:autoSpaceDE/>
              <w:autoSpaceDN/>
              <w:bidi w:val="0"/>
              <w:adjustRightInd/>
              <w:snapToGrid/>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（1）预测条件假设</w:t>
            </w:r>
          </w:p>
          <w:p>
            <w:pPr>
              <w:keepNext w:val="0"/>
              <w:keepLines w:val="0"/>
              <w:pageBreakBefore w:val="0"/>
              <w:widowControl w:val="0"/>
              <w:kinsoku/>
              <w:wordWrap/>
              <w:overflowPunct/>
              <w:topLinePunct w:val="0"/>
              <w:autoSpaceDE/>
              <w:autoSpaceDN/>
              <w:bidi w:val="0"/>
              <w:adjustRightInd/>
              <w:snapToGrid/>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①所有产噪设备均在正常工况条件下运行；</w:t>
            </w:r>
          </w:p>
          <w:p>
            <w:pPr>
              <w:keepNext w:val="0"/>
              <w:keepLines w:val="0"/>
              <w:pageBreakBefore w:val="0"/>
              <w:widowControl w:val="0"/>
              <w:kinsoku/>
              <w:wordWrap/>
              <w:overflowPunct/>
              <w:topLinePunct w:val="0"/>
              <w:autoSpaceDE/>
              <w:autoSpaceDN/>
              <w:bidi w:val="0"/>
              <w:adjustRightInd/>
              <w:snapToGrid/>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②考虑室内声源所在厂房围护结构的隔声、吸声作用；</w:t>
            </w:r>
          </w:p>
          <w:p>
            <w:pPr>
              <w:keepNext w:val="0"/>
              <w:keepLines w:val="0"/>
              <w:pageBreakBefore w:val="0"/>
              <w:widowControl w:val="0"/>
              <w:kinsoku/>
              <w:wordWrap/>
              <w:overflowPunct/>
              <w:topLinePunct w:val="0"/>
              <w:autoSpaceDE/>
              <w:autoSpaceDN/>
              <w:bidi w:val="0"/>
              <w:adjustRightInd/>
              <w:snapToGrid/>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③衰减仅考虑几何发散衰减，屏障衰减。</w:t>
            </w:r>
          </w:p>
          <w:p>
            <w:pPr>
              <w:keepNext w:val="0"/>
              <w:keepLines w:val="0"/>
              <w:pageBreakBefore w:val="0"/>
              <w:widowControl w:val="0"/>
              <w:kinsoku/>
              <w:wordWrap/>
              <w:overflowPunct/>
              <w:topLinePunct w:val="0"/>
              <w:autoSpaceDE/>
              <w:autoSpaceDN/>
              <w:bidi w:val="0"/>
              <w:adjustRightInd/>
              <w:snapToGrid/>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（2）室内声源</w:t>
            </w:r>
          </w:p>
          <w:p>
            <w:pPr>
              <w:keepNext w:val="0"/>
              <w:keepLines w:val="0"/>
              <w:pageBreakBefore w:val="0"/>
              <w:widowControl w:val="0"/>
              <w:kinsoku/>
              <w:wordWrap/>
              <w:overflowPunct/>
              <w:topLinePunct w:val="0"/>
              <w:autoSpaceDE/>
              <w:autoSpaceDN/>
              <w:bidi w:val="0"/>
              <w:adjustRightInd/>
              <w:snapToGrid/>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lang w:eastAsia="zh-CN"/>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室内声源由室内向室外传播示意图见</w:t>
            </w:r>
            <w:r>
              <w:rPr>
                <w:rFonts w:hint="default" w:ascii="Times New Roman" w:hAnsi="Times New Roman" w:eastAsia="宋体" w:cs="Times New Roman"/>
                <w:b/>
                <w:bCs/>
                <w:color w:val="000000" w:themeColor="text1"/>
                <w:kern w:val="0"/>
                <w:sz w:val="24"/>
                <w:szCs w:val="24"/>
                <w:u w:val="single"/>
                <w:lang w:eastAsia="zh-CN"/>
                <w14:textFill>
                  <w14:solidFill>
                    <w14:schemeClr w14:val="tx1"/>
                  </w14:solidFill>
                </w14:textFill>
              </w:rPr>
              <w:t>下</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图</w:t>
            </w:r>
            <w:r>
              <w:rPr>
                <w:rFonts w:hint="default" w:ascii="Times New Roman" w:hAnsi="Times New Roman" w:eastAsia="宋体" w:cs="Times New Roman"/>
                <w:b/>
                <w:bCs/>
                <w:color w:val="000000" w:themeColor="text1"/>
                <w:kern w:val="0"/>
                <w:sz w:val="24"/>
                <w:szCs w:val="24"/>
                <w:u w:val="single"/>
                <w:lang w:eastAsia="zh-CN"/>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spacing w:line="520" w:lineRule="exact"/>
              <w:ind w:left="0" w:right="0" w:firstLine="480" w:firstLineChars="200"/>
              <w:jc w:val="left"/>
              <w:textAlignment w:val="auto"/>
              <w:rPr>
                <w:rFonts w:hint="default" w:ascii="Times New Roman" w:hAnsi="Times New Roman" w:eastAsia="宋体" w:cs="Times New Roman"/>
                <w:b/>
                <w:bCs/>
                <w:color w:val="000000" w:themeColor="text1"/>
                <w:kern w:val="0"/>
                <w:sz w:val="24"/>
                <w:szCs w:val="24"/>
                <w:u w:val="single"/>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drawing>
                <wp:anchor distT="0" distB="0" distL="114300" distR="114300" simplePos="0" relativeHeight="253597696" behindDoc="0" locked="0" layoutInCell="1" allowOverlap="1">
                  <wp:simplePos x="0" y="0"/>
                  <wp:positionH relativeFrom="column">
                    <wp:posOffset>608330</wp:posOffset>
                  </wp:positionH>
                  <wp:positionV relativeFrom="paragraph">
                    <wp:posOffset>8255</wp:posOffset>
                  </wp:positionV>
                  <wp:extent cx="3806825" cy="1951990"/>
                  <wp:effectExtent l="0" t="0" r="3175" b="10160"/>
                  <wp:wrapNone/>
                  <wp:docPr id="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
                          <pic:cNvPicPr>
                            <a:picLocks noChangeAspect="1"/>
                          </pic:cNvPicPr>
                        </pic:nvPicPr>
                        <pic:blipFill>
                          <a:blip r:embed="rId28"/>
                          <a:stretch>
                            <a:fillRect/>
                          </a:stretch>
                        </pic:blipFill>
                        <pic:spPr>
                          <a:xfrm>
                            <a:off x="0" y="0"/>
                            <a:ext cx="3806825" cy="195199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lang w:eastAsia="zh-CN"/>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lang w:eastAsia="zh-CN"/>
                <w14:textFill>
                  <w14:solidFill>
                    <w14:schemeClr w14:val="tx1"/>
                  </w14:solidFill>
                </w14:textFill>
              </w:rPr>
            </w:pP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ind w:leftChars="0" w:right="0" w:rightChars="0"/>
              <w:jc w:val="center"/>
              <w:textAlignment w:val="auto"/>
              <w:rPr>
                <w:rFonts w:hint="default" w:ascii="Times New Roman" w:hAnsi="Times New Roman" w:eastAsia="宋体" w:cs="Times New Roman"/>
                <w:b/>
                <w:bCs/>
                <w:color w:val="000000" w:themeColor="text1"/>
                <w:sz w:val="24"/>
                <w:szCs w:val="24"/>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t xml:space="preserve">图4-2  </w:t>
            </w:r>
            <w:r>
              <w:rPr>
                <w:rFonts w:hint="default" w:ascii="Times New Roman" w:hAnsi="Times New Roman" w:eastAsia="宋体" w:cs="Times New Roman"/>
                <w:b/>
                <w:bCs/>
                <w:color w:val="000000" w:themeColor="text1"/>
                <w:sz w:val="24"/>
                <w:szCs w:val="24"/>
                <w14:textFill>
                  <w14:solidFill>
                    <w14:schemeClr w14:val="tx1"/>
                  </w14:solidFill>
                </w14:textFill>
              </w:rPr>
              <w:t>室内声源向室外传播示意图</w:t>
            </w:r>
          </w:p>
          <w:p>
            <w:pPr>
              <w:keepNext w:val="0"/>
              <w:keepLines w:val="0"/>
              <w:pageBreakBefore w:val="0"/>
              <w:widowControl w:val="0"/>
              <w:kinsoku/>
              <w:wordWrap/>
              <w:overflowPunct/>
              <w:topLinePunct w:val="0"/>
              <w:autoSpaceDE/>
              <w:autoSpaceDN/>
              <w:bidi w:val="0"/>
              <w:adjustRightInd/>
              <w:snapToGrid/>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①如果已知声源的声压级L(r0)，且声源位于地面上，则</w:t>
            </w:r>
          </w:p>
          <w:p>
            <w:pPr>
              <w:keepNext w:val="0"/>
              <w:keepLines w:val="0"/>
              <w:pageBreakBefore w:val="0"/>
              <w:widowControl w:val="0"/>
              <w:kinsoku/>
              <w:wordWrap/>
              <w:overflowPunct/>
              <w:topLinePunct w:val="0"/>
              <w:autoSpaceDE/>
              <w:autoSpaceDN/>
              <w:bidi w:val="0"/>
              <w:adjustRightInd/>
              <w:snapToGrid/>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sz w:val="24"/>
                <w:szCs w:val="24"/>
                <w:u w:val="single"/>
                <w14:textFill>
                  <w14:solidFill>
                    <w14:schemeClr w14:val="tx1"/>
                  </w14:solidFill>
                </w14:textFill>
              </w:rPr>
              <w:drawing>
                <wp:inline distT="0" distB="0" distL="114300" distR="114300">
                  <wp:extent cx="1495425" cy="238125"/>
                  <wp:effectExtent l="0" t="0" r="9525" b="8255"/>
                  <wp:docPr id="6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
                          <pic:cNvPicPr>
                            <a:picLocks noChangeAspect="1"/>
                          </pic:cNvPicPr>
                        </pic:nvPicPr>
                        <pic:blipFill>
                          <a:blip r:embed="rId29"/>
                          <a:stretch>
                            <a:fillRect/>
                          </a:stretch>
                        </pic:blipFill>
                        <pic:spPr>
                          <a:xfrm>
                            <a:off x="0" y="0"/>
                            <a:ext cx="1495425" cy="23812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②首先计算出某个室内声源靠近围护结构处的声压级：</w:t>
            </w: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0"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color w:val="000000" w:themeColor="text1"/>
                <w:sz w:val="24"/>
                <w:szCs w:val="24"/>
                <w:u w:val="single"/>
                <w14:textFill>
                  <w14:solidFill>
                    <w14:schemeClr w14:val="tx1"/>
                  </w14:solidFill>
                </w14:textFill>
              </w:rPr>
              <w:drawing>
                <wp:anchor distT="0" distB="0" distL="114300" distR="114300" simplePos="0" relativeHeight="253600768" behindDoc="0" locked="0" layoutInCell="1" allowOverlap="1">
                  <wp:simplePos x="0" y="0"/>
                  <wp:positionH relativeFrom="column">
                    <wp:posOffset>530860</wp:posOffset>
                  </wp:positionH>
                  <wp:positionV relativeFrom="paragraph">
                    <wp:posOffset>54610</wp:posOffset>
                  </wp:positionV>
                  <wp:extent cx="2760980" cy="671830"/>
                  <wp:effectExtent l="0" t="0" r="1270" b="13970"/>
                  <wp:wrapNone/>
                  <wp:docPr id="5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3"/>
                          <pic:cNvPicPr>
                            <a:picLocks noChangeAspect="1"/>
                          </pic:cNvPicPr>
                        </pic:nvPicPr>
                        <pic:blipFill>
                          <a:blip r:embed="rId30"/>
                          <a:stretch>
                            <a:fillRect/>
                          </a:stretch>
                        </pic:blipFill>
                        <pic:spPr>
                          <a:xfrm>
                            <a:off x="0" y="0"/>
                            <a:ext cx="2760980" cy="671830"/>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式中：</w:t>
            </w: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L</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p1</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：某个室内声源靠近围护结构处的声压级。</w:t>
            </w: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L</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w</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：某个室内声源靠近围护结构处产生的声功率级。</w:t>
            </w: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Q：指向性因数；通常对无指向性声源，当声源放在房间中心时，Q=1；当放在一面墙的中心时，Q=2；当放在两面墙夹角处时，Q=4；当放在三面墙夹角处时，Q=8。</w:t>
            </w: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R：房间常数；R=Sa/(1-a)，S为房间内表面面积，m2；a为平均吸声系数，本评价a取0.15。</w:t>
            </w: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r：声源到靠近围护结构某点处的距离，m。</w:t>
            </w: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③计算出所有室内声源在围护结构处产生的总声压级：</w:t>
            </w: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0"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color w:val="000000" w:themeColor="text1"/>
                <w:sz w:val="24"/>
                <w:szCs w:val="24"/>
                <w:u w:val="single"/>
                <w14:textFill>
                  <w14:solidFill>
                    <w14:schemeClr w14:val="tx1"/>
                  </w14:solidFill>
                </w14:textFill>
              </w:rPr>
              <w:drawing>
                <wp:anchor distT="0" distB="0" distL="114300" distR="114300" simplePos="0" relativeHeight="253601792" behindDoc="0" locked="0" layoutInCell="1" allowOverlap="1">
                  <wp:simplePos x="0" y="0"/>
                  <wp:positionH relativeFrom="column">
                    <wp:posOffset>449580</wp:posOffset>
                  </wp:positionH>
                  <wp:positionV relativeFrom="paragraph">
                    <wp:posOffset>40005</wp:posOffset>
                  </wp:positionV>
                  <wp:extent cx="1990725" cy="561975"/>
                  <wp:effectExtent l="0" t="0" r="9525" b="9525"/>
                  <wp:wrapNone/>
                  <wp:docPr id="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pic:cNvPicPr>
                            <a:picLocks noChangeAspect="1"/>
                          </pic:cNvPicPr>
                        </pic:nvPicPr>
                        <pic:blipFill>
                          <a:blip r:embed="rId31"/>
                          <a:stretch>
                            <a:fillRect/>
                          </a:stretch>
                        </pic:blipFill>
                        <pic:spPr>
                          <a:xfrm>
                            <a:off x="0" y="0"/>
                            <a:ext cx="1990725" cy="56197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L</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p1</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(T)：靠近围护结构处室内N个声源的叠加声压级，dB(A)；</w:t>
            </w: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L</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p1.j</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：j声源的声压级，dB(A)；</w:t>
            </w: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N—室内声源总数。</w:t>
            </w: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④计算出室外靠近围护结构处的声压级：</w:t>
            </w: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0"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color w:val="000000" w:themeColor="text1"/>
                <w:sz w:val="24"/>
                <w:szCs w:val="24"/>
                <w:u w:val="single"/>
                <w14:textFill>
                  <w14:solidFill>
                    <w14:schemeClr w14:val="tx1"/>
                  </w14:solidFill>
                </w14:textFill>
              </w:rPr>
              <w:drawing>
                <wp:anchor distT="0" distB="0" distL="114300" distR="114300" simplePos="0" relativeHeight="253602816" behindDoc="0" locked="0" layoutInCell="1" allowOverlap="1">
                  <wp:simplePos x="0" y="0"/>
                  <wp:positionH relativeFrom="column">
                    <wp:posOffset>295910</wp:posOffset>
                  </wp:positionH>
                  <wp:positionV relativeFrom="paragraph">
                    <wp:posOffset>114300</wp:posOffset>
                  </wp:positionV>
                  <wp:extent cx="2647950" cy="508635"/>
                  <wp:effectExtent l="0" t="0" r="0" b="5715"/>
                  <wp:wrapNone/>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32"/>
                          <a:stretch>
                            <a:fillRect/>
                          </a:stretch>
                        </pic:blipFill>
                        <pic:spPr>
                          <a:xfrm>
                            <a:off x="0" y="0"/>
                            <a:ext cx="2647950" cy="508635"/>
                          </a:xfrm>
                          <a:prstGeom prst="rect">
                            <a:avLst/>
                          </a:prstGeom>
                          <a:noFill/>
                          <a:ln>
                            <a:noFill/>
                          </a:ln>
                        </pic:spPr>
                      </pic:pic>
                    </a:graphicData>
                  </a:graphic>
                </wp:anchor>
              </w:drawing>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式中：</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L</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p1</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：靠近开口处（或窗户）室内某倍频带的声压级或A声级，dB(A)；</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L</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p2</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：靠近开口处（或窗户）室内某倍频带的声压级或A声级，dB(A)；</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TL；隔墙（或窗户）倍频带的声压级或A声级的隔声量，dB(A)；</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⑤将室外声级L</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p2(T)</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和透声面积换算成等效的室外声源，计算出等效声源的声功率级LW；</w:t>
            </w:r>
          </w:p>
          <w:p>
            <w:pPr>
              <w:pageBreakBefore w:val="0"/>
              <w:widowControl w:val="0"/>
              <w:kinsoku/>
              <w:wordWrap/>
              <w:overflowPunct/>
              <w:topLinePunct w:val="0"/>
              <w:autoSpaceDE/>
              <w:autoSpaceDN/>
              <w:bidi w:val="0"/>
              <w:adjustRightInd/>
              <w:snapToGrid w:val="0"/>
              <w:spacing w:line="520" w:lineRule="exact"/>
              <w:ind w:left="0" w:right="0" w:firstLine="480"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drawing>
                <wp:anchor distT="0" distB="0" distL="114300" distR="114300" simplePos="0" relativeHeight="253598720" behindDoc="1" locked="0" layoutInCell="1" allowOverlap="1">
                  <wp:simplePos x="0" y="0"/>
                  <wp:positionH relativeFrom="column">
                    <wp:posOffset>667385</wp:posOffset>
                  </wp:positionH>
                  <wp:positionV relativeFrom="paragraph">
                    <wp:posOffset>2540</wp:posOffset>
                  </wp:positionV>
                  <wp:extent cx="2662555" cy="411480"/>
                  <wp:effectExtent l="0" t="0" r="4445" b="7620"/>
                  <wp:wrapTight wrapText="bothSides">
                    <wp:wrapPolygon>
                      <wp:start x="0" y="0"/>
                      <wp:lineTo x="0" y="20300"/>
                      <wp:lineTo x="21482" y="20300"/>
                      <wp:lineTo x="21482" y="0"/>
                      <wp:lineTo x="0" y="0"/>
                    </wp:wrapPolygon>
                  </wp:wrapTight>
                  <wp:docPr id="5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1"/>
                          <pic:cNvPicPr>
                            <a:picLocks noChangeAspect="1"/>
                          </pic:cNvPicPr>
                        </pic:nvPicPr>
                        <pic:blipFill>
                          <a:blip r:embed="rId33"/>
                          <a:stretch>
                            <a:fillRect/>
                          </a:stretch>
                        </pic:blipFill>
                        <pic:spPr>
                          <a:xfrm>
                            <a:off x="0" y="0"/>
                            <a:ext cx="2662555" cy="411480"/>
                          </a:xfrm>
                          <a:prstGeom prst="rect">
                            <a:avLst/>
                          </a:prstGeom>
                          <a:noFill/>
                          <a:ln>
                            <a:noFill/>
                          </a:ln>
                        </pic:spPr>
                      </pic:pic>
                    </a:graphicData>
                  </a:graphic>
                </wp:anchor>
              </w:drawing>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式中：s为透声面积，m</w:t>
            </w:r>
            <w:r>
              <w:rPr>
                <w:rFonts w:hint="default" w:ascii="Times New Roman" w:hAnsi="Times New Roman" w:eastAsia="宋体" w:cs="Times New Roman"/>
                <w:b/>
                <w:bCs/>
                <w:color w:val="000000" w:themeColor="text1"/>
                <w:kern w:val="0"/>
                <w:sz w:val="24"/>
                <w:szCs w:val="24"/>
                <w:u w:val="single"/>
                <w:vertAlign w:val="superscript"/>
                <w14:textFill>
                  <w14:solidFill>
                    <w14:schemeClr w14:val="tx1"/>
                  </w14:solidFill>
                </w14:textFill>
              </w:rPr>
              <w:t>2</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⑥等效室外声源的位置为围护结构的位置，其声功率级为Lw，由此按室外声源方法计算等效室外声源在预测点产生的A声级。</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（3）室外声源</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计算某个声源在预测点的声压级</w:t>
            </w: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0"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drawing>
                <wp:anchor distT="0" distB="0" distL="114300" distR="114300" simplePos="0" relativeHeight="253603840" behindDoc="0" locked="0" layoutInCell="1" allowOverlap="1">
                  <wp:simplePos x="0" y="0"/>
                  <wp:positionH relativeFrom="column">
                    <wp:posOffset>501015</wp:posOffset>
                  </wp:positionH>
                  <wp:positionV relativeFrom="paragraph">
                    <wp:posOffset>34290</wp:posOffset>
                  </wp:positionV>
                  <wp:extent cx="2237740" cy="405765"/>
                  <wp:effectExtent l="0" t="0" r="10160" b="13335"/>
                  <wp:wrapNone/>
                  <wp:docPr id="5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
                          <pic:cNvPicPr>
                            <a:picLocks noChangeAspect="1"/>
                          </pic:cNvPicPr>
                        </pic:nvPicPr>
                        <pic:blipFill>
                          <a:blip r:embed="rId34"/>
                          <a:stretch>
                            <a:fillRect/>
                          </a:stretch>
                        </pic:blipFill>
                        <pic:spPr>
                          <a:xfrm>
                            <a:off x="0" y="0"/>
                            <a:ext cx="2237740" cy="405765"/>
                          </a:xfrm>
                          <a:prstGeom prst="rect">
                            <a:avLst/>
                          </a:prstGeom>
                          <a:noFill/>
                          <a:ln>
                            <a:noFill/>
                          </a:ln>
                        </pic:spPr>
                      </pic:pic>
                    </a:graphicData>
                  </a:graphic>
                </wp:anchor>
              </w:drawing>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式中：</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L</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A</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(r)：点声源在预测点产生的声压级，dB(A)；</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L</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A</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(r0)：参考位置r0处的声压级，dB(A)；</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r：预测点距声源的距离，m；</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r</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0</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：参考位置距声源的距离，m；</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A</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div</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：几何发散引起的衰减，dB；</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A</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bar</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：障碍物屏蔽引起的衰减，dB；</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（4）计算总声压级</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设第i个室外声源在预测点产生的A声级为L</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A,i</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，在T时间内该声源工作时间为t</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i</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；第j个等效室外声源在预测点产生的A声级为L</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Aj</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，在T时间内该声源工作时间为t</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j</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，则拟建工程声源对预测点产生的贡献值（L</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eqg</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w:t>
            </w:r>
          </w:p>
          <w:p>
            <w:pPr>
              <w:keepNext w:val="0"/>
              <w:keepLines w:val="0"/>
              <w:pageBreakBefore w:val="0"/>
              <w:widowControl w:val="0"/>
              <w:kinsoku/>
              <w:wordWrap/>
              <w:overflowPunct/>
              <w:topLinePunct w:val="0"/>
              <w:autoSpaceDE/>
              <w:autoSpaceDN/>
              <w:bidi w:val="0"/>
              <w:adjustRightInd/>
              <w:snapToGrid w:val="0"/>
              <w:spacing w:line="520" w:lineRule="exact"/>
              <w:ind w:left="0" w:right="0" w:firstLine="480"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drawing>
                <wp:anchor distT="0" distB="0" distL="114300" distR="114300" simplePos="0" relativeHeight="253604864" behindDoc="0" locked="0" layoutInCell="1" allowOverlap="1">
                  <wp:simplePos x="0" y="0"/>
                  <wp:positionH relativeFrom="column">
                    <wp:posOffset>273685</wp:posOffset>
                  </wp:positionH>
                  <wp:positionV relativeFrom="paragraph">
                    <wp:posOffset>49530</wp:posOffset>
                  </wp:positionV>
                  <wp:extent cx="3421380" cy="617855"/>
                  <wp:effectExtent l="0" t="0" r="7620" b="10795"/>
                  <wp:wrapNone/>
                  <wp:docPr id="5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3"/>
                          <pic:cNvPicPr>
                            <a:picLocks noChangeAspect="1"/>
                          </pic:cNvPicPr>
                        </pic:nvPicPr>
                        <pic:blipFill>
                          <a:blip r:embed="rId35"/>
                          <a:stretch>
                            <a:fillRect/>
                          </a:stretch>
                        </pic:blipFill>
                        <pic:spPr>
                          <a:xfrm>
                            <a:off x="0" y="0"/>
                            <a:ext cx="3421380" cy="617855"/>
                          </a:xfrm>
                          <a:prstGeom prst="rect">
                            <a:avLst/>
                          </a:prstGeom>
                          <a:noFill/>
                          <a:ln>
                            <a:noFill/>
                          </a:ln>
                        </pic:spPr>
                      </pic:pic>
                    </a:graphicData>
                  </a:graphic>
                </wp:anchor>
              </w:drawing>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式中：</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T</w:t>
            </w:r>
            <w:r>
              <w:rPr>
                <w:rFonts w:hint="default" w:ascii="Times New Roman" w:hAnsi="Times New Roman" w:eastAsia="宋体" w:cs="Times New Roman"/>
                <w:b/>
                <w:bCs/>
                <w:color w:val="000000" w:themeColor="text1"/>
                <w:kern w:val="0"/>
                <w:sz w:val="24"/>
                <w:szCs w:val="24"/>
                <w:u w:val="single"/>
                <w:lang w:eastAsia="zh-CN"/>
                <w14:textFill>
                  <w14:solidFill>
                    <w14:schemeClr w14:val="tx1"/>
                  </w14:solidFill>
                </w14:textFill>
              </w:rPr>
              <w:t>：</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用于计算等效声级的时间，s；</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N</w:t>
            </w:r>
            <w:r>
              <w:rPr>
                <w:rFonts w:hint="default" w:ascii="Times New Roman" w:hAnsi="Times New Roman" w:eastAsia="宋体" w:cs="Times New Roman"/>
                <w:b/>
                <w:bCs/>
                <w:color w:val="000000" w:themeColor="text1"/>
                <w:kern w:val="0"/>
                <w:sz w:val="24"/>
                <w:szCs w:val="24"/>
                <w:u w:val="single"/>
                <w:lang w:eastAsia="zh-CN"/>
                <w14:textFill>
                  <w14:solidFill>
                    <w14:schemeClr w14:val="tx1"/>
                  </w14:solidFill>
                </w14:textFill>
              </w:rPr>
              <w:t>：</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室外声源个数；</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T</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i</w:t>
            </w:r>
            <w:r>
              <w:rPr>
                <w:rFonts w:hint="default" w:ascii="Times New Roman" w:hAnsi="Times New Roman" w:eastAsia="宋体" w:cs="Times New Roman"/>
                <w:b/>
                <w:bCs/>
                <w:color w:val="000000" w:themeColor="text1"/>
                <w:kern w:val="0"/>
                <w:sz w:val="24"/>
                <w:szCs w:val="24"/>
                <w:u w:val="single"/>
                <w:lang w:eastAsia="zh-CN"/>
                <w14:textFill>
                  <w14:solidFill>
                    <w14:schemeClr w14:val="tx1"/>
                  </w14:solidFill>
                </w14:textFill>
              </w:rPr>
              <w:t>：</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在T时间内i声源工作时间，s；</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M——等效室外声源个数；</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t</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j</w:t>
            </w:r>
            <w:r>
              <w:rPr>
                <w:rFonts w:hint="default" w:ascii="Times New Roman" w:hAnsi="Times New Roman" w:eastAsia="宋体" w:cs="Times New Roman"/>
                <w:b/>
                <w:bCs/>
                <w:color w:val="000000" w:themeColor="text1"/>
                <w:kern w:val="0"/>
                <w:sz w:val="24"/>
                <w:szCs w:val="24"/>
                <w:u w:val="single"/>
                <w:lang w:eastAsia="zh-CN"/>
                <w14:textFill>
                  <w14:solidFill>
                    <w14:schemeClr w14:val="tx1"/>
                  </w14:solidFill>
                </w14:textFill>
              </w:rPr>
              <w:t>：</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在T时间内j声源工作时间，s。</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（5）噪声预测计算</w:t>
            </w:r>
          </w:p>
          <w:p>
            <w:pPr>
              <w:pageBreakBefore w:val="0"/>
              <w:widowControl w:val="0"/>
              <w:kinsoku/>
              <w:wordWrap/>
              <w:overflowPunct/>
              <w:topLinePunct w:val="0"/>
              <w:autoSpaceDE/>
              <w:autoSpaceDN/>
              <w:bidi w:val="0"/>
              <w:adjustRightInd/>
              <w:snapToGrid w:val="0"/>
              <w:spacing w:line="520" w:lineRule="exact"/>
              <w:ind w:left="0" w:right="0" w:firstLine="480"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drawing>
                <wp:anchor distT="0" distB="0" distL="114300" distR="114300" simplePos="0" relativeHeight="253599744" behindDoc="1" locked="0" layoutInCell="1" allowOverlap="1">
                  <wp:simplePos x="0" y="0"/>
                  <wp:positionH relativeFrom="column">
                    <wp:posOffset>402590</wp:posOffset>
                  </wp:positionH>
                  <wp:positionV relativeFrom="paragraph">
                    <wp:posOffset>53975</wp:posOffset>
                  </wp:positionV>
                  <wp:extent cx="3101975" cy="636270"/>
                  <wp:effectExtent l="0" t="0" r="3175" b="11430"/>
                  <wp:wrapTight wrapText="bothSides">
                    <wp:wrapPolygon>
                      <wp:start x="0" y="0"/>
                      <wp:lineTo x="0" y="20695"/>
                      <wp:lineTo x="21489" y="20695"/>
                      <wp:lineTo x="21489" y="0"/>
                      <wp:lineTo x="0" y="0"/>
                    </wp:wrapPolygon>
                  </wp:wrapTight>
                  <wp:docPr id="5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4"/>
                          <pic:cNvPicPr>
                            <a:picLocks noChangeAspect="1"/>
                          </pic:cNvPicPr>
                        </pic:nvPicPr>
                        <pic:blipFill>
                          <a:blip r:embed="rId36"/>
                          <a:stretch>
                            <a:fillRect/>
                          </a:stretch>
                        </pic:blipFill>
                        <pic:spPr>
                          <a:xfrm>
                            <a:off x="0" y="0"/>
                            <a:ext cx="3101975" cy="636270"/>
                          </a:xfrm>
                          <a:prstGeom prst="rect">
                            <a:avLst/>
                          </a:prstGeom>
                          <a:noFill/>
                          <a:ln>
                            <a:noFill/>
                          </a:ln>
                        </pic:spPr>
                      </pic:pic>
                    </a:graphicData>
                  </a:graphic>
                </wp:anchor>
              </w:drawing>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式中：</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L</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eqg</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：项目声源在预测点的等效声级贡献值，dB(A)；</w:t>
            </w:r>
          </w:p>
          <w:p>
            <w:pPr>
              <w:pageBreakBefore w:val="0"/>
              <w:widowControl w:val="0"/>
              <w:kinsoku/>
              <w:wordWrap/>
              <w:overflowPunct/>
              <w:topLinePunct w:val="0"/>
              <w:autoSpaceDE/>
              <w:autoSpaceDN/>
              <w:bidi w:val="0"/>
              <w:adjustRightInd/>
              <w:snapToGrid w:val="0"/>
              <w:spacing w:line="520" w:lineRule="exact"/>
              <w:ind w:left="0" w:right="0" w:firstLine="482" w:firstLineChars="200"/>
              <w:jc w:val="left"/>
              <w:textAlignment w:val="auto"/>
              <w:rPr>
                <w:rFonts w:hint="default" w:ascii="Times New Roman" w:hAnsi="Times New Roman" w:eastAsia="宋体" w:cs="Times New Roman"/>
                <w:b/>
                <w:bCs/>
                <w:color w:val="000000" w:themeColor="text1"/>
                <w:kern w:val="0"/>
                <w:sz w:val="24"/>
                <w:szCs w:val="24"/>
                <w:u w:val="single"/>
                <w14:textFill>
                  <w14:solidFill>
                    <w14:schemeClr w14:val="tx1"/>
                  </w14:solidFill>
                </w14:textFill>
              </w:rPr>
            </w:pP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L</w:t>
            </w:r>
            <w:r>
              <w:rPr>
                <w:rFonts w:hint="default" w:ascii="Times New Roman" w:hAnsi="Times New Roman" w:eastAsia="宋体" w:cs="Times New Roman"/>
                <w:b/>
                <w:bCs/>
                <w:color w:val="000000" w:themeColor="text1"/>
                <w:kern w:val="0"/>
                <w:sz w:val="24"/>
                <w:szCs w:val="24"/>
                <w:u w:val="single"/>
                <w:vertAlign w:val="subscript"/>
                <w14:textFill>
                  <w14:solidFill>
                    <w14:schemeClr w14:val="tx1"/>
                  </w14:solidFill>
                </w14:textFill>
              </w:rPr>
              <w:t>eqb</w:t>
            </w:r>
            <w:r>
              <w:rPr>
                <w:rFonts w:hint="default" w:ascii="Times New Roman" w:hAnsi="Times New Roman" w:eastAsia="宋体" w:cs="Times New Roman"/>
                <w:b/>
                <w:bCs/>
                <w:color w:val="000000" w:themeColor="text1"/>
                <w:kern w:val="0"/>
                <w:sz w:val="24"/>
                <w:szCs w:val="24"/>
                <w:u w:val="single"/>
                <w14:textFill>
                  <w14:solidFill>
                    <w14:schemeClr w14:val="tx1"/>
                  </w14:solidFill>
                </w14:textFill>
              </w:rPr>
              <w:t>：预测点的背景值，dB(A)。</w:t>
            </w:r>
          </w:p>
          <w:p>
            <w:pPr>
              <w:spacing w:line="360" w:lineRule="auto"/>
              <w:ind w:firstLine="480" w:firstLineChars="200"/>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预测结果见下表：</w:t>
            </w: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厂界噪声预测结果一览表</w:t>
            </w:r>
          </w:p>
          <w:tbl>
            <w:tblPr>
              <w:tblStyle w:val="1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13"/>
              <w:gridCol w:w="761"/>
              <w:gridCol w:w="761"/>
              <w:gridCol w:w="715"/>
              <w:gridCol w:w="835"/>
              <w:gridCol w:w="1354"/>
              <w:gridCol w:w="1354"/>
              <w:gridCol w:w="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95" w:type="pct"/>
                  <w:vMerge w:val="restart"/>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预测方位</w:t>
                  </w:r>
                </w:p>
              </w:tc>
              <w:tc>
                <w:tcPr>
                  <w:tcW w:w="1458" w:type="pct"/>
                  <w:gridSpan w:val="3"/>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最大值点</w:t>
                  </w:r>
                  <w:r>
                    <w:rPr>
                      <w:rFonts w:hint="default" w:ascii="Times New Roman" w:hAnsi="Times New Roman" w:eastAsia="宋体" w:cs="Times New Roman"/>
                      <w:b/>
                      <w:bCs/>
                      <w:color w:val="000000" w:themeColor="text1"/>
                      <w:sz w:val="21"/>
                      <w:szCs w:val="21"/>
                      <w:u w:val="single"/>
                      <w14:textFill>
                        <w14:solidFill>
                          <w14:schemeClr w14:val="tx1"/>
                        </w14:solidFill>
                      </w14:textFill>
                    </w:rPr>
                    <w:t>空间相对位置/m</w:t>
                  </w:r>
                </w:p>
              </w:tc>
              <w:tc>
                <w:tcPr>
                  <w:tcW w:w="544" w:type="pct"/>
                  <w:vMerge w:val="restart"/>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时段</w:t>
                  </w:r>
                </w:p>
              </w:tc>
              <w:tc>
                <w:tcPr>
                  <w:tcW w:w="882" w:type="pct"/>
                  <w:vMerge w:val="restart"/>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贡献值（dB(A)）</w:t>
                  </w:r>
                </w:p>
              </w:tc>
              <w:tc>
                <w:tcPr>
                  <w:tcW w:w="882" w:type="pct"/>
                  <w:vMerge w:val="restart"/>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标准限值（dB(A)）</w:t>
                  </w:r>
                </w:p>
              </w:tc>
              <w:tc>
                <w:tcPr>
                  <w:tcW w:w="636" w:type="pct"/>
                  <w:vMerge w:val="restart"/>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达标情况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95"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496"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X</w:t>
                  </w:r>
                </w:p>
              </w:tc>
              <w:tc>
                <w:tcPr>
                  <w:tcW w:w="496"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Y</w:t>
                  </w:r>
                </w:p>
              </w:tc>
              <w:tc>
                <w:tcPr>
                  <w:tcW w:w="464"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Z</w:t>
                  </w:r>
                </w:p>
              </w:tc>
              <w:tc>
                <w:tcPr>
                  <w:tcW w:w="544"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882"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882"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636"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83" w:hRule="atLeast"/>
                <w:jc w:val="center"/>
              </w:trPr>
              <w:tc>
                <w:tcPr>
                  <w:tcW w:w="595" w:type="pct"/>
                  <w:vMerge w:val="restar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东侧</w:t>
                  </w:r>
                </w:p>
              </w:tc>
              <w:tc>
                <w:tcPr>
                  <w:tcW w:w="496" w:type="pct"/>
                  <w:vMerge w:val="restar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83.6</w:t>
                  </w:r>
                </w:p>
              </w:tc>
              <w:tc>
                <w:tcPr>
                  <w:tcW w:w="496" w:type="pct"/>
                  <w:vMerge w:val="restar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6.9</w:t>
                  </w:r>
                </w:p>
              </w:tc>
              <w:tc>
                <w:tcPr>
                  <w:tcW w:w="464" w:type="pct"/>
                  <w:vMerge w:val="restar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1.2</w:t>
                  </w:r>
                </w:p>
              </w:tc>
              <w:tc>
                <w:tcPr>
                  <w:tcW w:w="544"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昼间</w:t>
                  </w:r>
                </w:p>
              </w:tc>
              <w:tc>
                <w:tcPr>
                  <w:tcW w:w="882"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24</w:t>
                  </w:r>
                </w:p>
              </w:tc>
              <w:tc>
                <w:tcPr>
                  <w:tcW w:w="882"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65</w:t>
                  </w:r>
                </w:p>
              </w:tc>
              <w:tc>
                <w:tcPr>
                  <w:tcW w:w="636"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83" w:hRule="atLeast"/>
                <w:jc w:val="center"/>
              </w:trPr>
              <w:tc>
                <w:tcPr>
                  <w:tcW w:w="595"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496"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496"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464"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544"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夜间</w:t>
                  </w:r>
                </w:p>
              </w:tc>
              <w:tc>
                <w:tcPr>
                  <w:tcW w:w="882"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24</w:t>
                  </w:r>
                </w:p>
              </w:tc>
              <w:tc>
                <w:tcPr>
                  <w:tcW w:w="882"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55</w:t>
                  </w:r>
                </w:p>
              </w:tc>
              <w:tc>
                <w:tcPr>
                  <w:tcW w:w="636"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19" w:hRule="atLeast"/>
                <w:jc w:val="center"/>
              </w:trPr>
              <w:tc>
                <w:tcPr>
                  <w:tcW w:w="595" w:type="pct"/>
                  <w:vMerge w:val="restar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南侧</w:t>
                  </w:r>
                </w:p>
              </w:tc>
              <w:tc>
                <w:tcPr>
                  <w:tcW w:w="496" w:type="pct"/>
                  <w:vMerge w:val="restar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22.5</w:t>
                  </w:r>
                </w:p>
              </w:tc>
              <w:tc>
                <w:tcPr>
                  <w:tcW w:w="496" w:type="pct"/>
                  <w:vMerge w:val="restar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-46.6</w:t>
                  </w:r>
                </w:p>
              </w:tc>
              <w:tc>
                <w:tcPr>
                  <w:tcW w:w="464" w:type="pct"/>
                  <w:vMerge w:val="restar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1.2</w:t>
                  </w:r>
                </w:p>
              </w:tc>
              <w:tc>
                <w:tcPr>
                  <w:tcW w:w="544"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昼间</w:t>
                  </w:r>
                </w:p>
              </w:tc>
              <w:tc>
                <w:tcPr>
                  <w:tcW w:w="882"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24.9</w:t>
                  </w:r>
                </w:p>
              </w:tc>
              <w:tc>
                <w:tcPr>
                  <w:tcW w:w="882"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65</w:t>
                  </w:r>
                </w:p>
              </w:tc>
              <w:tc>
                <w:tcPr>
                  <w:tcW w:w="636"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03" w:hRule="atLeast"/>
                <w:jc w:val="center"/>
              </w:trPr>
              <w:tc>
                <w:tcPr>
                  <w:tcW w:w="595"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496"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496"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464"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544"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夜间</w:t>
                  </w:r>
                </w:p>
              </w:tc>
              <w:tc>
                <w:tcPr>
                  <w:tcW w:w="882"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24.9</w:t>
                  </w:r>
                </w:p>
              </w:tc>
              <w:tc>
                <w:tcPr>
                  <w:tcW w:w="882"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55</w:t>
                  </w:r>
                </w:p>
              </w:tc>
              <w:tc>
                <w:tcPr>
                  <w:tcW w:w="636"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37" w:hRule="atLeast"/>
                <w:jc w:val="center"/>
              </w:trPr>
              <w:tc>
                <w:tcPr>
                  <w:tcW w:w="595" w:type="pct"/>
                  <w:vMerge w:val="restar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西侧</w:t>
                  </w:r>
                </w:p>
              </w:tc>
              <w:tc>
                <w:tcPr>
                  <w:tcW w:w="496" w:type="pct"/>
                  <w:vMerge w:val="restar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-81.1</w:t>
                  </w:r>
                </w:p>
              </w:tc>
              <w:tc>
                <w:tcPr>
                  <w:tcW w:w="496" w:type="pct"/>
                  <w:vMerge w:val="restar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13.7</w:t>
                  </w:r>
                </w:p>
              </w:tc>
              <w:tc>
                <w:tcPr>
                  <w:tcW w:w="464" w:type="pct"/>
                  <w:vMerge w:val="restar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1.2</w:t>
                  </w:r>
                </w:p>
              </w:tc>
              <w:tc>
                <w:tcPr>
                  <w:tcW w:w="544"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昼间</w:t>
                  </w:r>
                </w:p>
              </w:tc>
              <w:tc>
                <w:tcPr>
                  <w:tcW w:w="882"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20.1</w:t>
                  </w:r>
                </w:p>
              </w:tc>
              <w:tc>
                <w:tcPr>
                  <w:tcW w:w="882"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65</w:t>
                  </w:r>
                </w:p>
              </w:tc>
              <w:tc>
                <w:tcPr>
                  <w:tcW w:w="636"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85" w:hRule="atLeast"/>
                <w:jc w:val="center"/>
              </w:trPr>
              <w:tc>
                <w:tcPr>
                  <w:tcW w:w="595"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496"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496"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464"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544"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夜间</w:t>
                  </w:r>
                </w:p>
              </w:tc>
              <w:tc>
                <w:tcPr>
                  <w:tcW w:w="882"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20.1</w:t>
                  </w:r>
                </w:p>
              </w:tc>
              <w:tc>
                <w:tcPr>
                  <w:tcW w:w="882"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55</w:t>
                  </w:r>
                </w:p>
              </w:tc>
              <w:tc>
                <w:tcPr>
                  <w:tcW w:w="636"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81" w:hRule="atLeast"/>
                <w:jc w:val="center"/>
              </w:trPr>
              <w:tc>
                <w:tcPr>
                  <w:tcW w:w="595" w:type="pct"/>
                  <w:vMerge w:val="restar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北侧</w:t>
                  </w:r>
                </w:p>
              </w:tc>
              <w:tc>
                <w:tcPr>
                  <w:tcW w:w="496" w:type="pct"/>
                  <w:vMerge w:val="restar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42.4</w:t>
                  </w:r>
                </w:p>
              </w:tc>
              <w:tc>
                <w:tcPr>
                  <w:tcW w:w="496" w:type="pct"/>
                  <w:vMerge w:val="restar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43.4</w:t>
                  </w:r>
                </w:p>
              </w:tc>
              <w:tc>
                <w:tcPr>
                  <w:tcW w:w="464" w:type="pct"/>
                  <w:vMerge w:val="restar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1.2</w:t>
                  </w:r>
                </w:p>
              </w:tc>
              <w:tc>
                <w:tcPr>
                  <w:tcW w:w="544"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昼间</w:t>
                  </w:r>
                </w:p>
              </w:tc>
              <w:tc>
                <w:tcPr>
                  <w:tcW w:w="882"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39</w:t>
                  </w:r>
                </w:p>
              </w:tc>
              <w:tc>
                <w:tcPr>
                  <w:tcW w:w="882"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65</w:t>
                  </w:r>
                </w:p>
              </w:tc>
              <w:tc>
                <w:tcPr>
                  <w:tcW w:w="636"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51" w:hRule="atLeast"/>
                <w:jc w:val="center"/>
              </w:trPr>
              <w:tc>
                <w:tcPr>
                  <w:tcW w:w="595"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496"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496"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464" w:type="pct"/>
                  <w:vMerge w:val="continue"/>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544"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夜间</w:t>
                  </w:r>
                </w:p>
              </w:tc>
              <w:tc>
                <w:tcPr>
                  <w:tcW w:w="882"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39</w:t>
                  </w:r>
                </w:p>
              </w:tc>
              <w:tc>
                <w:tcPr>
                  <w:tcW w:w="882"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55</w:t>
                  </w:r>
                </w:p>
              </w:tc>
              <w:tc>
                <w:tcPr>
                  <w:tcW w:w="636" w:type="pct"/>
                  <w:shd w:val="clear" w:color="auto" w:fill="FFFFFF"/>
                  <w:vAlign w:val="center"/>
                </w:tcPr>
                <w:p>
                  <w:pPr>
                    <w:jc w:val="center"/>
                    <w:rPr>
                      <w:rFonts w:hint="default" w:ascii="Times New Roman" w:hAnsi="Times New Roman" w:eastAsia="宋体" w:cs="Times New Roman"/>
                      <w:b/>
                      <w:bCs/>
                      <w:color w:val="000000" w:themeColor="text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达标</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bCs/>
                <w:color w:val="000000" w:themeColor="text1"/>
                <w:kern w:val="2"/>
                <w:sz w:val="21"/>
                <w:szCs w:val="24"/>
                <w:vertAlign w:val="baseli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4"/>
                <w:vertAlign w:val="baseline"/>
                <w:lang w:val="en-US" w:eastAsia="zh-CN" w:bidi="ar-SA"/>
                <w14:textFill>
                  <w14:solidFill>
                    <w14:schemeClr w14:val="tx1"/>
                  </w14:solidFill>
                </w14:textFill>
              </w:rPr>
              <w:t>表中坐标以厂界中心（115.123550,35.806526）为坐标原点，正东向为X轴正方向，正北向为Y轴正方向</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由上表可知，正常工况下，项目厂界噪声满足《工业企业厂界环境噪声排放标准》(GB12348.2008)3类标准。</w:t>
            </w:r>
          </w:p>
          <w:p>
            <w:pPr>
              <w:pStyle w:val="7"/>
              <w:keepNext w:val="0"/>
              <w:keepLines w:val="0"/>
              <w:pageBreakBefore w:val="0"/>
              <w:widowControl w:val="0"/>
              <w:kinsoku/>
              <w:wordWrap/>
              <w:overflowPunct/>
              <w:topLinePunct w:val="0"/>
              <w:autoSpaceDE/>
              <w:autoSpaceDN/>
              <w:bidi w:val="0"/>
              <w:adjustRightInd/>
              <w:snapToGrid/>
              <w:spacing w:line="360" w:lineRule="auto"/>
              <w:ind w:left="0" w:right="0" w:firstLine="482" w:firstLineChars="200"/>
              <w:textAlignment w:val="auto"/>
              <w:outlineLvl w:val="9"/>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szCs w:val="24"/>
                <w:highlight w:val="none"/>
                <w:lang w:val="en-US" w:eastAsia="zh-CN"/>
                <w14:textFill>
                  <w14:solidFill>
                    <w14:schemeClr w14:val="tx1"/>
                  </w14:solidFill>
                </w14:textFill>
              </w:rPr>
              <w:t>3.3监测计划</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根据《排污单位自行监测技术指南 总则》（HJ819-2017），项目厂界噪声环境监测计划见下表。</w:t>
            </w: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噪声环境监测计划一览表</w:t>
            </w:r>
          </w:p>
          <w:tbl>
            <w:tblPr>
              <w:tblStyle w:val="16"/>
              <w:tblW w:w="76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49"/>
              <w:gridCol w:w="1123"/>
              <w:gridCol w:w="1174"/>
              <w:gridCol w:w="1324"/>
              <w:gridCol w:w="27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dxa"/>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监测内容</w:t>
                  </w:r>
                </w:p>
              </w:tc>
              <w:tc>
                <w:tcPr>
                  <w:tcW w:w="1123" w:type="dxa"/>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监测位置</w:t>
                  </w:r>
                </w:p>
              </w:tc>
              <w:tc>
                <w:tcPr>
                  <w:tcW w:w="1174" w:type="dxa"/>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监测项目</w:t>
                  </w:r>
                </w:p>
              </w:tc>
              <w:tc>
                <w:tcPr>
                  <w:tcW w:w="1324" w:type="dxa"/>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监测频率</w:t>
                  </w:r>
                </w:p>
              </w:tc>
              <w:tc>
                <w:tcPr>
                  <w:tcW w:w="2797" w:type="dxa"/>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噪声</w:t>
                  </w:r>
                </w:p>
              </w:tc>
              <w:tc>
                <w:tcPr>
                  <w:tcW w:w="1123"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边界外1m</w:t>
                  </w:r>
                </w:p>
              </w:tc>
              <w:tc>
                <w:tcPr>
                  <w:tcW w:w="1174"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等效连续A声级</w:t>
                  </w:r>
                </w:p>
              </w:tc>
              <w:tc>
                <w:tcPr>
                  <w:tcW w:w="1324"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1次/季度</w:t>
                  </w:r>
                </w:p>
              </w:tc>
              <w:tc>
                <w:tcPr>
                  <w:tcW w:w="2797" w:type="dxa"/>
                  <w:tcBorders>
                    <w:bottom w:val="single" w:color="auto" w:sz="4" w:space="0"/>
                  </w:tcBorders>
                  <w:vAlign w:val="center"/>
                </w:tcPr>
                <w:p>
                  <w:pPr>
                    <w:pStyle w:val="15"/>
                    <w:ind w:firstLine="0" w:firstLineChars="0"/>
                    <w:jc w:val="center"/>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highlight w:val="none"/>
                      <w14:textFill>
                        <w14:solidFill>
                          <w14:schemeClr w14:val="tx1"/>
                        </w14:solidFill>
                      </w14:textFill>
                    </w:rPr>
                    <w:t>《工业企业厂界环境噪声排放标准》（GB12348-2008）的</w:t>
                  </w:r>
                  <w:r>
                    <w:rPr>
                      <w:rFonts w:hint="default" w:ascii="Times New Roman" w:hAnsi="Times New Roman" w:eastAsia="宋体" w:cs="Times New Roman"/>
                      <w:color w:val="000000" w:themeColor="text1"/>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highlight w:val="none"/>
                      <w14:textFill>
                        <w14:solidFill>
                          <w14:schemeClr w14:val="tx1"/>
                        </w14:solidFill>
                      </w14:textFill>
                    </w:rPr>
                    <w:t>类标准</w:t>
                  </w:r>
                </w:p>
              </w:tc>
            </w:tr>
          </w:tbl>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32"/>
                <w:vertAlign w:val="baseline"/>
                <w:lang w:eastAsia="zh-CN"/>
                <w14:textFill>
                  <w14:solidFill>
                    <w14:schemeClr w14:val="tx1"/>
                  </w14:solidFill>
                </w14:textFill>
              </w:rPr>
            </w:pP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4、固体废物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4.1固废</w:t>
            </w:r>
            <w:r>
              <w:rPr>
                <w:rFonts w:hint="eastAsia" w:ascii="Times New Roman" w:hAnsi="Times New Roman" w:cs="Times New Roman"/>
                <w:b/>
                <w:bCs/>
                <w:color w:val="000000" w:themeColor="text1"/>
                <w:sz w:val="24"/>
                <w:highlight w:val="none"/>
                <w:u w:val="none"/>
                <w:lang w:val="en-US" w:eastAsia="zh-CN"/>
                <w14:textFill>
                  <w14:solidFill>
                    <w14:schemeClr w14:val="tx1"/>
                  </w14:solidFill>
                </w14:textFill>
              </w:rPr>
              <w:t>产生量</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一、生活垃圾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本项目劳动定员25人，生活垃圾产生量按0.5kg/（d·人）计算，产生量为3.75t/a，收集后交由环卫部门处理。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二、一般固体废物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（1）废边角料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原料切割下料过程中，产生部分废边角料，根据企业提供加工经验数据产生量以原料量1%计，产生量约为17.5t/a，</w:t>
            </w: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对照《一般固体废物分类与代码》（GB/T39198-2020），废边角料属于一般固废中“99其他废物”，代码为351-001-99，</w:t>
            </w: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收集后定期外售。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（2）废钢屑</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项目车床加工过程产生部分钢屑，直接沉降车间地面，根据企业提供加工经验数据产生量以原料量0.5‰计，产生量为0.85t/a，</w:t>
            </w: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对照《一般固体废物分类与代码》（GB/T39198-2020），废边角料属于一般固废中“99其他废物”，代码为351-002-99，</w:t>
            </w: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收集后定期外售。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（3）不合格品</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成品检验过程产生部分不合格品，本项目检验过程会产生不合格品，类比同类型企业，不合格品产生量约为3t/a。</w:t>
            </w: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对照《一般固体废物分类与代码》（GB/T39198-2020），废边角料属于一般固废中“99其他废物”，代码为351-003-99，</w:t>
            </w: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评价提出，不合格品于一般固废暂存间暂存后，定期出售。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（4）废包装材料</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项目毛坯件拆包及成品包装过程会产生废包装材料，根据企业生产经验数据，废包装材料产生量约为2t/a。</w:t>
            </w: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对照《一般固体废物分类与代码》（GB/T39198-2020），废包装材料属于一般固废中“07废复合包装”，代码为351-001-07，</w:t>
            </w: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经收集后外售综合利用。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（5）除尘器收集粉尘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根据对本项目废气污染物的分析可知，除尘装置收集到的粉尘量为10.7347t/a。对照《一般固体废物分类与代码》（GB/T39198-2020），废边角料属于一般固废中“66工业粉尘”，代码为351-001-66，评价提出，除尘器回收粉尘于一般固废暂存间暂存后，定期出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（6）废焊材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本项目焊接产生废焊材，为黑色金属废物，产生量约为焊条使用量的5%，本项目焊条使用量为2t/a，因此焊接废料产生量约为0.1t/a，</w:t>
            </w: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对照《一般固体废物分类与代码》（GB/T39198-2020），废边角料属于一般固废中“99其他废物”，代码为351-004-99，</w:t>
            </w: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集中收集后外售。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三、危险废物</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（1）废切削液</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原料切割和数控车床运行过程添加部分切削液，切削液循环使用，长时间使用会老化润滑性能下降，每半年更换一次，一次产生0.01t/a，即废切削液产生量为0.02t/a，根据《国家危险废物名录》（202</w:t>
            </w:r>
            <w:r>
              <w:rPr>
                <w:rFonts w:hint="eastAsia" w:ascii="Times New Roman" w:hAnsi="Times New Roman" w:cs="Times New Roman"/>
                <w:b w:val="0"/>
                <w:bCs w:val="0"/>
                <w:color w:val="000000" w:themeColor="text1"/>
                <w:sz w:val="24"/>
                <w:highlight w:val="none"/>
                <w:u w:val="none"/>
                <w:lang w:val="en-US" w:eastAsia="zh-CN"/>
                <w14:textFill>
                  <w14:solidFill>
                    <w14:schemeClr w14:val="tx1"/>
                  </w14:solidFill>
                </w14:textFill>
              </w:rPr>
              <w:t>5</w:t>
            </w: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年版），废切削液属于危险废物，危废类别为：HW09，危废代码为：900-006-09。收集后暂存于危废间，定期交有资质单位进行处置。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（2）废润滑油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机器维护保养时会有废润滑油产生，含有泥、油脂等，产生量约0.1t/a，属于危险废物（HW08 废矿物油与含矿物油废物900-249-08），收集后暂存于固废暂存间，委托有危废资质单位处理。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（3）废活性炭</w:t>
            </w:r>
          </w:p>
          <w:p>
            <w:pPr>
              <w:snapToGrid w:val="0"/>
              <w:spacing w:line="360" w:lineRule="auto"/>
              <w:ind w:firstLine="482" w:firstLineChars="200"/>
              <w:rPr>
                <w:rFonts w:hint="default" w:ascii="Times New Roman" w:hAnsi="Times New Roman" w:eastAsia="宋体" w:cs="Times New Roman"/>
                <w:b/>
                <w:bCs/>
                <w:color w:val="000000" w:themeColor="text1"/>
                <w:sz w:val="24"/>
                <w:u w:val="single"/>
                <w14:textFill>
                  <w14:solidFill>
                    <w14:schemeClr w14:val="tx1"/>
                  </w14:solidFill>
                </w14:textFill>
              </w:rPr>
            </w:pPr>
            <w:r>
              <w:rPr>
                <w:rFonts w:hint="default" w:ascii="Times New Roman" w:hAnsi="Times New Roman" w:eastAsia="宋体" w:cs="Times New Roman"/>
                <w:b/>
                <w:bCs/>
                <w:color w:val="000000" w:themeColor="text1"/>
                <w:sz w:val="24"/>
                <w:u w:val="single"/>
                <w14:textFill>
                  <w14:solidFill>
                    <w14:schemeClr w14:val="tx1"/>
                  </w14:solidFill>
                </w14:textFill>
              </w:rPr>
              <w:t>本项目在处理废气时采用“活性炭吸附”装置，活性炭需要定期更换。</w:t>
            </w:r>
            <w:r>
              <w:rPr>
                <w:rFonts w:hint="eastAsia" w:ascii="Times New Roman" w:hAnsi="Times New Roman" w:cs="Times New Roman"/>
                <w:b/>
                <w:bCs/>
                <w:color w:val="000000" w:themeColor="text1"/>
                <w:sz w:val="24"/>
                <w:u w:val="single"/>
                <w:lang w:val="en-US" w:eastAsia="zh-CN"/>
                <w14:textFill>
                  <w14:solidFill>
                    <w14:schemeClr w14:val="tx1"/>
                  </w14:solidFill>
                </w14:textFill>
              </w:rPr>
              <w:t>根据《挥发性有机物治理实用手册》</w:t>
            </w:r>
            <w:r>
              <w:rPr>
                <w:rFonts w:hint="default" w:ascii="Times New Roman" w:hAnsi="Times New Roman" w:eastAsia="宋体" w:cs="Times New Roman"/>
                <w:b/>
                <w:bCs/>
                <w:color w:val="000000" w:themeColor="text1"/>
                <w:sz w:val="24"/>
                <w:u w:val="single"/>
                <w14:textFill>
                  <w14:solidFill>
                    <w14:schemeClr w14:val="tx1"/>
                  </w14:solidFill>
                </w14:textFill>
              </w:rPr>
              <w:t>，</w:t>
            </w:r>
            <w:bookmarkStart w:id="6" w:name="_GoBack"/>
            <w:bookmarkEnd w:id="6"/>
            <w:r>
              <w:rPr>
                <w:rFonts w:hint="default" w:ascii="Times New Roman" w:hAnsi="Times New Roman" w:eastAsia="宋体" w:cs="Times New Roman"/>
                <w:b/>
                <w:bCs/>
                <w:color w:val="000000" w:themeColor="text1"/>
                <w:sz w:val="24"/>
                <w:u w:val="single"/>
                <w14:textFill>
                  <w14:solidFill>
                    <w14:schemeClr w14:val="tx1"/>
                  </w14:solidFill>
                </w14:textFill>
              </w:rPr>
              <w:t>有效吸附量：活性炭吸附</w:t>
            </w:r>
            <w:r>
              <w:rPr>
                <w:rFonts w:hint="eastAsia" w:ascii="Times New Roman" w:hAnsi="Times New Roman" w:cs="Times New Roman"/>
                <w:b/>
                <w:bCs/>
                <w:color w:val="000000" w:themeColor="text1"/>
                <w:sz w:val="24"/>
                <w:u w:val="single"/>
                <w:lang w:val="en-US" w:eastAsia="zh-CN"/>
                <w14:textFill>
                  <w14:solidFill>
                    <w14:schemeClr w14:val="tx1"/>
                  </w14:solidFill>
                </w14:textFill>
              </w:rPr>
              <w:t>量约为1</w:t>
            </w:r>
            <w:r>
              <w:rPr>
                <w:rFonts w:hint="default" w:ascii="Times New Roman" w:hAnsi="Times New Roman" w:eastAsia="宋体" w:cs="Times New Roman"/>
                <w:b/>
                <w:bCs/>
                <w:color w:val="000000" w:themeColor="text1"/>
                <w:sz w:val="24"/>
                <w:u w:val="single"/>
                <w14:textFill>
                  <w14:solidFill>
                    <w14:schemeClr w14:val="tx1"/>
                  </w14:solidFill>
                </w14:textFill>
              </w:rPr>
              <w:t>50g/kg，本项目通过活性炭吸附</w:t>
            </w:r>
            <w:r>
              <w:rPr>
                <w:rFonts w:hint="eastAsia" w:ascii="Times New Roman" w:hAnsi="Times New Roman" w:cs="Times New Roman"/>
                <w:b/>
                <w:bCs/>
                <w:color w:val="000000" w:themeColor="text1"/>
                <w:sz w:val="24"/>
                <w:u w:val="single"/>
                <w:lang w:val="en-US" w:eastAsia="zh-CN"/>
                <w14:textFill>
                  <w14:solidFill>
                    <w14:schemeClr w14:val="tx1"/>
                  </w14:solidFill>
                </w14:textFill>
              </w:rPr>
              <w:t>有机</w:t>
            </w:r>
            <w:r>
              <w:rPr>
                <w:rFonts w:hint="default" w:ascii="Times New Roman" w:hAnsi="Times New Roman" w:eastAsia="宋体" w:cs="Times New Roman"/>
                <w:b/>
                <w:bCs/>
                <w:color w:val="000000" w:themeColor="text1"/>
                <w:sz w:val="24"/>
                <w:u w:val="single"/>
                <w14:textFill>
                  <w14:solidFill>
                    <w14:schemeClr w14:val="tx1"/>
                  </w14:solidFill>
                </w14:textFill>
              </w:rPr>
              <w:t>废气量为</w:t>
            </w:r>
            <w:r>
              <w:rPr>
                <w:rFonts w:hint="default" w:ascii="Times New Roman" w:hAnsi="Times New Roman" w:eastAsia="宋体" w:cs="Times New Roman"/>
                <w:b/>
                <w:bCs/>
                <w:color w:val="000000" w:themeColor="text1"/>
                <w:sz w:val="24"/>
                <w:u w:val="single"/>
                <w:lang w:val="en-US" w:eastAsia="zh-CN"/>
                <w14:textFill>
                  <w14:solidFill>
                    <w14:schemeClr w14:val="tx1"/>
                  </w14:solidFill>
                </w14:textFill>
              </w:rPr>
              <w:t>0.02</w:t>
            </w:r>
            <w:r>
              <w:rPr>
                <w:rFonts w:hint="eastAsia" w:ascii="Times New Roman" w:hAnsi="Times New Roman" w:cs="Times New Roman"/>
                <w:b/>
                <w:bCs/>
                <w:color w:val="000000" w:themeColor="text1"/>
                <w:sz w:val="24"/>
                <w:u w:val="single"/>
                <w:lang w:val="en-US" w:eastAsia="zh-CN"/>
                <w14:textFill>
                  <w14:solidFill>
                    <w14:schemeClr w14:val="tx1"/>
                  </w14:solidFill>
                </w14:textFill>
              </w:rPr>
              <w:t>38</w:t>
            </w:r>
            <w:r>
              <w:rPr>
                <w:rFonts w:hint="default" w:ascii="Times New Roman" w:hAnsi="Times New Roman" w:eastAsia="宋体" w:cs="Times New Roman"/>
                <w:b/>
                <w:bCs/>
                <w:color w:val="000000" w:themeColor="text1"/>
                <w:sz w:val="24"/>
                <w:u w:val="single"/>
                <w:lang w:val="en-US" w:eastAsia="zh-CN"/>
                <w14:textFill>
                  <w14:solidFill>
                    <w14:schemeClr w14:val="tx1"/>
                  </w14:solidFill>
                </w14:textFill>
              </w:rPr>
              <w:t>t</w:t>
            </w:r>
            <w:r>
              <w:rPr>
                <w:rFonts w:hint="default" w:ascii="Times New Roman" w:hAnsi="Times New Roman" w:eastAsia="宋体" w:cs="Times New Roman"/>
                <w:b/>
                <w:bCs/>
                <w:color w:val="000000" w:themeColor="text1"/>
                <w:sz w:val="24"/>
                <w:u w:val="single"/>
                <w14:textFill>
                  <w14:solidFill>
                    <w14:schemeClr w14:val="tx1"/>
                  </w14:solidFill>
                </w14:textFill>
              </w:rPr>
              <w:t>/a，则所需活性炭量为</w:t>
            </w:r>
            <w:r>
              <w:rPr>
                <w:rFonts w:hint="default" w:ascii="Times New Roman" w:hAnsi="Times New Roman" w:eastAsia="宋体" w:cs="Times New Roman"/>
                <w:b/>
                <w:bCs/>
                <w:color w:val="000000" w:themeColor="text1"/>
                <w:sz w:val="24"/>
                <w:u w:val="single"/>
                <w:lang w:val="en-US" w:eastAsia="zh-CN"/>
                <w14:textFill>
                  <w14:solidFill>
                    <w14:schemeClr w14:val="tx1"/>
                  </w14:solidFill>
                </w14:textFill>
              </w:rPr>
              <w:t>0.1</w:t>
            </w:r>
            <w:r>
              <w:rPr>
                <w:rFonts w:hint="eastAsia" w:ascii="Times New Roman" w:hAnsi="Times New Roman" w:cs="Times New Roman"/>
                <w:b/>
                <w:bCs/>
                <w:color w:val="000000" w:themeColor="text1"/>
                <w:sz w:val="24"/>
                <w:u w:val="single"/>
                <w:lang w:val="en-US" w:eastAsia="zh-CN"/>
                <w14:textFill>
                  <w14:solidFill>
                    <w14:schemeClr w14:val="tx1"/>
                  </w14:solidFill>
                </w14:textFill>
              </w:rPr>
              <w:t>587</w:t>
            </w:r>
            <w:r>
              <w:rPr>
                <w:rFonts w:hint="default" w:ascii="Times New Roman" w:hAnsi="Times New Roman" w:eastAsia="宋体" w:cs="Times New Roman"/>
                <w:b/>
                <w:bCs/>
                <w:color w:val="000000" w:themeColor="text1"/>
                <w:sz w:val="24"/>
                <w:u w:val="single"/>
                <w:lang w:val="en-US" w:eastAsia="zh-CN"/>
                <w14:textFill>
                  <w14:solidFill>
                    <w14:schemeClr w14:val="tx1"/>
                  </w14:solidFill>
                </w14:textFill>
              </w:rPr>
              <w:t>t</w:t>
            </w:r>
            <w:r>
              <w:rPr>
                <w:rFonts w:hint="default" w:ascii="Times New Roman" w:hAnsi="Times New Roman" w:eastAsia="宋体" w:cs="Times New Roman"/>
                <w:b/>
                <w:bCs/>
                <w:color w:val="000000" w:themeColor="text1"/>
                <w:sz w:val="24"/>
                <w:u w:val="single"/>
                <w14:textFill>
                  <w14:solidFill>
                    <w14:schemeClr w14:val="tx1"/>
                  </w14:solidFill>
                </w14:textFill>
              </w:rPr>
              <w:t>/a，</w:t>
            </w:r>
            <w:r>
              <w:rPr>
                <w:rFonts w:hint="default" w:ascii="Times New Roman" w:hAnsi="Times New Roman" w:eastAsia="宋体" w:cs="Times New Roman"/>
                <w:b/>
                <w:bCs/>
                <w:color w:val="000000" w:themeColor="text1"/>
                <w:sz w:val="24"/>
                <w:u w:val="single"/>
                <w:lang w:val="en-US" w:eastAsia="zh-CN"/>
                <w14:textFill>
                  <w14:solidFill>
                    <w14:schemeClr w14:val="tx1"/>
                  </w14:solidFill>
                </w14:textFill>
              </w:rPr>
              <w:t>则废活性炭产生量为</w:t>
            </w:r>
            <w:r>
              <w:rPr>
                <w:rFonts w:hint="eastAsia" w:ascii="Times New Roman" w:hAnsi="Times New Roman" w:cs="Times New Roman"/>
                <w:b/>
                <w:bCs/>
                <w:color w:val="000000" w:themeColor="text1"/>
                <w:sz w:val="24"/>
                <w:u w:val="single"/>
                <w:lang w:val="en-US" w:eastAsia="zh-CN"/>
                <w14:textFill>
                  <w14:solidFill>
                    <w14:schemeClr w14:val="tx1"/>
                  </w14:solidFill>
                </w14:textFill>
              </w:rPr>
              <w:t>0.1825</w:t>
            </w:r>
            <w:r>
              <w:rPr>
                <w:rFonts w:hint="default" w:ascii="Times New Roman" w:hAnsi="Times New Roman" w:eastAsia="宋体" w:cs="Times New Roman"/>
                <w:b/>
                <w:bCs/>
                <w:color w:val="000000" w:themeColor="text1"/>
                <w:sz w:val="24"/>
                <w:u w:val="single"/>
                <w:lang w:val="en-US" w:eastAsia="zh-CN"/>
                <w14:textFill>
                  <w14:solidFill>
                    <w14:schemeClr w14:val="tx1"/>
                  </w14:solidFill>
                </w14:textFill>
              </w:rPr>
              <w:t>t/a</w:t>
            </w:r>
            <w:r>
              <w:rPr>
                <w:rFonts w:hint="default" w:ascii="Times New Roman" w:hAnsi="Times New Roman" w:eastAsia="宋体" w:cs="Times New Roman"/>
                <w:b/>
                <w:bCs/>
                <w:color w:val="000000" w:themeColor="text1"/>
                <w:sz w:val="24"/>
                <w:u w:val="single"/>
                <w14:textFill>
                  <w14:solidFill>
                    <w14:schemeClr w14:val="tx1"/>
                  </w14:solidFill>
                </w14:textFill>
              </w:rPr>
              <w:t>。根据《国家危险废物名录》（202</w:t>
            </w:r>
            <w:r>
              <w:rPr>
                <w:rFonts w:hint="eastAsia" w:ascii="Times New Roman" w:hAnsi="Times New Roman" w:cs="Times New Roman"/>
                <w:b/>
                <w:bCs/>
                <w:color w:val="000000" w:themeColor="text1"/>
                <w:sz w:val="24"/>
                <w:u w:val="single"/>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u w:val="single"/>
                <w14:textFill>
                  <w14:solidFill>
                    <w14:schemeClr w14:val="tx1"/>
                  </w14:solidFill>
                </w14:textFill>
              </w:rPr>
              <w:t>年版），废活性炭属于危险废物，废活性炭危废类别为：HW49，危废代码为：900-039-49。上述危险废物在危废暂存间暂存后，委托有资质的单位处理。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（4）废包装桶</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本项目部分原料采用桶装，原料使用过程会产生废包装桶，废包装桶产生量为0.112t/a。根据《国家危险废物名录》（202</w:t>
            </w:r>
            <w:r>
              <w:rPr>
                <w:rFonts w:hint="eastAsia" w:ascii="Times New Roman" w:hAnsi="Times New Roman" w:cs="Times New Roman"/>
                <w:b w:val="0"/>
                <w:bCs w:val="0"/>
                <w:color w:val="000000" w:themeColor="text1"/>
                <w:sz w:val="24"/>
                <w:highlight w:val="none"/>
                <w:u w:val="none"/>
                <w:lang w:val="en-US" w:eastAsia="zh-CN"/>
                <w14:textFill>
                  <w14:solidFill>
                    <w14:schemeClr w14:val="tx1"/>
                  </w14:solidFill>
                </w14:textFill>
              </w:rPr>
              <w:t>5</w:t>
            </w: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年版），废包装桶/瓶属于HW49其他废物中的900-041-49（含有或沾染毒性、感染性危险废物的废弃包装物、容器、过滤吸附介质）。评价提出，废包装桶于危废暂存间暂存后，定期委托有相应危废处理资质单位安全处置。</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（5）废油</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项目淬火废气油雾净化器拦截的废油，产生量约为0.324t/a。经查询《国家危险废物名录（202</w:t>
            </w:r>
            <w:r>
              <w:rPr>
                <w:rFonts w:hint="eastAsia" w:ascii="Times New Roman" w:hAnsi="Times New Roman" w:cs="Times New Roman"/>
                <w:b/>
                <w:bCs/>
                <w:color w:val="000000" w:themeColor="text1"/>
                <w:sz w:val="24"/>
                <w:highlight w:val="none"/>
                <w:u w:val="single"/>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年版）》，废矿物油属于危险废物，废物类别为HW08，废物代码为900-210-08，收集后委托有资质单位处理。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（6）废滤材</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项目废气治理过程中，干式过滤器需定期更换滤材，根据企业生产经验及类比同类企业，废滤材产生量约0.15t/a。经查询《国家危险废物名录（202</w:t>
            </w:r>
            <w:r>
              <w:rPr>
                <w:rFonts w:hint="eastAsia" w:ascii="Times New Roman" w:hAnsi="Times New Roman" w:cs="Times New Roman"/>
                <w:b/>
                <w:bCs/>
                <w:color w:val="000000" w:themeColor="text1"/>
                <w:sz w:val="24"/>
                <w:highlight w:val="none"/>
                <w:u w:val="single"/>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年版）》，废滤材属于危险废物，废物类别为HW49，废物代码为900-041-49，收集后委托有资质单位处理。</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4.2固体废物处理措施及管理要求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评价建议建设单位设置一间1×20m</w:t>
            </w:r>
            <w:r>
              <w:rPr>
                <w:rFonts w:hint="default" w:ascii="Times New Roman" w:hAnsi="Times New Roman" w:eastAsia="宋体" w:cs="Times New Roman"/>
                <w:b w:val="0"/>
                <w:bCs w:val="0"/>
                <w:color w:val="000000" w:themeColor="text1"/>
                <w:sz w:val="24"/>
                <w:highlight w:val="none"/>
                <w:u w:val="none"/>
                <w:vertAlign w:val="superscript"/>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的临时固废堆放间，一般固体废物暂存场所的建设严格按照《一般工业固体废物贮存、处置场污染控制标准》（GB18599-2020）中的要求进行建设，加强入库固废管理；建设单位应建立固废档案管理制度，详细记录贮存的一般工业固废种类、数量、去向，长期保存，以便查阅。贮存场地面采取混凝土硬化，位于密闭的料库内，可以做到防渗、防雨淋和防流失，满足堆场要求。</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对于产生的危险废物，评价建议建设单位设置一间1×10m</w:t>
            </w:r>
            <w:r>
              <w:rPr>
                <w:rFonts w:hint="default" w:ascii="Times New Roman" w:hAnsi="Times New Roman" w:eastAsia="宋体" w:cs="Times New Roman"/>
                <w:b/>
                <w:bCs/>
                <w:color w:val="000000" w:themeColor="text1"/>
                <w:sz w:val="24"/>
                <w:highlight w:val="none"/>
                <w:u w:val="single"/>
                <w:vertAlign w:val="superscript"/>
                <w:lang w:val="en-US" w:eastAsia="zh-CN"/>
                <w14:textFill>
                  <w14:solidFill>
                    <w14:schemeClr w14:val="tx1"/>
                  </w14:solidFill>
                </w14:textFill>
              </w:rPr>
              <w:t>2</w:t>
            </w: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的危废暂存间，危险废物暂存间做好防渗、消防等防范措施，存储区必须严格按照《危险废物贮存污染控制标准》（GB18597-2023）的要求建设和维护使用，具体如下：</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①将危险废物装入容器内，无法装入常用容器的危险废物可用防漏胶袋等盛装；</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②装载危险废物的容器及材质要满足相应的强度要求，同时必须完好无损，盛容器材质和衬里要与危险废物兼容（不相互反应）；</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③必须定期对所贮存的危险废物包装容器及贮存设施进行检查，发现破损，应及时采取措施清理更换；</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④建设单位应做好危险废物情况的记录，记录上须注明危险废物的名称、来源、数量、特性和包装容器的类别、入库日期、存放库位、废物出库日期及接收单位名称。危险废物的记录和货单在危险废物回取后应继续保留。</w:t>
            </w: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项目固体废物产生情况一览表</w:t>
            </w:r>
          </w:p>
          <w:tbl>
            <w:tblPr>
              <w:tblStyle w:val="16"/>
              <w:tblW w:w="76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8"/>
              <w:gridCol w:w="1256"/>
              <w:gridCol w:w="1268"/>
              <w:gridCol w:w="1109"/>
              <w:gridCol w:w="25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2" w:type="dxa"/>
                  <w:vAlign w:val="center"/>
                </w:tcPr>
                <w:p>
                  <w:pPr>
                    <w:pStyle w:val="43"/>
                    <w:spacing w:line="360" w:lineRule="exact"/>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固废名称</w:t>
                  </w:r>
                </w:p>
              </w:tc>
              <w:tc>
                <w:tcPr>
                  <w:tcW w:w="1274" w:type="dxa"/>
                  <w:vAlign w:val="center"/>
                </w:tcPr>
                <w:p>
                  <w:pPr>
                    <w:pStyle w:val="43"/>
                    <w:spacing w:line="360" w:lineRule="exact"/>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产生工序</w:t>
                  </w:r>
                </w:p>
              </w:tc>
              <w:tc>
                <w:tcPr>
                  <w:tcW w:w="1286" w:type="dxa"/>
                  <w:vAlign w:val="center"/>
                </w:tcPr>
                <w:p>
                  <w:pPr>
                    <w:pStyle w:val="43"/>
                    <w:spacing w:line="360" w:lineRule="exact"/>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属性</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产生量</w:t>
                  </w:r>
                </w:p>
              </w:tc>
              <w:tc>
                <w:tcPr>
                  <w:tcW w:w="2554" w:type="dxa"/>
                  <w:vAlign w:val="center"/>
                </w:tcPr>
                <w:p>
                  <w:pPr>
                    <w:pStyle w:val="43"/>
                    <w:spacing w:line="360" w:lineRule="exact"/>
                    <w:ind w:firstLine="0" w:firstLineChars="0"/>
                    <w:jc w:val="center"/>
                    <w:rPr>
                      <w:rFonts w:hint="default" w:ascii="Times New Roman" w:hAnsi="Times New Roman" w:eastAsia="宋体" w:cs="Times New Roman"/>
                      <w:b/>
                      <w:bCs/>
                      <w:color w:val="000000" w:themeColor="text1"/>
                      <w:sz w:val="21"/>
                      <w:szCs w:val="21"/>
                      <w:highlight w:val="non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14:textFill>
                        <w14:solidFill>
                          <w14:schemeClr w14:val="tx1"/>
                        </w14:solidFill>
                      </w14:textFill>
                    </w:rPr>
                    <w:t>处置去向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trPr>
              <w:tc>
                <w:tcPr>
                  <w:tcW w:w="15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废边角料</w:t>
                  </w:r>
                </w:p>
              </w:tc>
              <w:tc>
                <w:tcPr>
                  <w:tcW w:w="127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生产过程</w:t>
                  </w:r>
                </w:p>
              </w:tc>
              <w:tc>
                <w:tcPr>
                  <w:tcW w:w="1286"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一般固废</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17.5t/a</w:t>
                  </w:r>
                </w:p>
              </w:tc>
              <w:tc>
                <w:tcPr>
                  <w:tcW w:w="2554" w:type="dxa"/>
                  <w:vMerge w:val="restart"/>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集中收集后外售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废钢屑</w:t>
                  </w:r>
                </w:p>
              </w:tc>
              <w:tc>
                <w:tcPr>
                  <w:tcW w:w="127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生产过程</w:t>
                  </w:r>
                </w:p>
              </w:tc>
              <w:tc>
                <w:tcPr>
                  <w:tcW w:w="1286"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一般固废</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0.85t/a</w:t>
                  </w:r>
                </w:p>
              </w:tc>
              <w:tc>
                <w:tcPr>
                  <w:tcW w:w="2554" w:type="dxa"/>
                  <w:vMerge w:val="continue"/>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不合格品</w:t>
                  </w:r>
                </w:p>
              </w:tc>
              <w:tc>
                <w:tcPr>
                  <w:tcW w:w="1274"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生产过程</w:t>
                  </w:r>
                </w:p>
              </w:tc>
              <w:tc>
                <w:tcPr>
                  <w:tcW w:w="1286"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一般固废</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3t/a</w:t>
                  </w:r>
                </w:p>
              </w:tc>
              <w:tc>
                <w:tcPr>
                  <w:tcW w:w="2554" w:type="dxa"/>
                  <w:vMerge w:val="continue"/>
                  <w:vAlign w:val="center"/>
                </w:tcPr>
                <w:p>
                  <w:pPr>
                    <w:pStyle w:val="43"/>
                    <w:spacing w:line="360" w:lineRule="exact"/>
                    <w:ind w:firstLine="0" w:firstLineChars="0"/>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3" w:hRule="atLeast"/>
              </w:trPr>
              <w:tc>
                <w:tcPr>
                  <w:tcW w:w="15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废包装材料</w:t>
                  </w:r>
                </w:p>
              </w:tc>
              <w:tc>
                <w:tcPr>
                  <w:tcW w:w="1274"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生产过程</w:t>
                  </w:r>
                </w:p>
              </w:tc>
              <w:tc>
                <w:tcPr>
                  <w:tcW w:w="1286"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一般固废</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2t/a</w:t>
                  </w:r>
                </w:p>
              </w:tc>
              <w:tc>
                <w:tcPr>
                  <w:tcW w:w="2554" w:type="dxa"/>
                  <w:vMerge w:val="continue"/>
                  <w:vAlign w:val="center"/>
                </w:tcPr>
                <w:p>
                  <w:pPr>
                    <w:pStyle w:val="43"/>
                    <w:spacing w:line="360" w:lineRule="exact"/>
                    <w:ind w:firstLine="0" w:firstLineChars="0"/>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4" w:hRule="atLeast"/>
              </w:trPr>
              <w:tc>
                <w:tcPr>
                  <w:tcW w:w="15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除尘器收集粉尘</w:t>
                  </w:r>
                </w:p>
              </w:tc>
              <w:tc>
                <w:tcPr>
                  <w:tcW w:w="1274"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生产过程</w:t>
                  </w:r>
                </w:p>
              </w:tc>
              <w:tc>
                <w:tcPr>
                  <w:tcW w:w="1286"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一般固废</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10.7347t/a</w:t>
                  </w:r>
                </w:p>
              </w:tc>
              <w:tc>
                <w:tcPr>
                  <w:tcW w:w="2554" w:type="dxa"/>
                  <w:vMerge w:val="continue"/>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废焊材</w:t>
                  </w:r>
                </w:p>
              </w:tc>
              <w:tc>
                <w:tcPr>
                  <w:tcW w:w="1274"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生产过程</w:t>
                  </w:r>
                </w:p>
              </w:tc>
              <w:tc>
                <w:tcPr>
                  <w:tcW w:w="1286"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一般固废</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0.1t/a</w:t>
                  </w:r>
                </w:p>
              </w:tc>
              <w:tc>
                <w:tcPr>
                  <w:tcW w:w="2554" w:type="dxa"/>
                  <w:vMerge w:val="continue"/>
                  <w:vAlign w:val="center"/>
                </w:tcPr>
                <w:p>
                  <w:pPr>
                    <w:pStyle w:val="43"/>
                    <w:spacing w:line="360" w:lineRule="exact"/>
                    <w:ind w:firstLine="0" w:firstLineChars="0"/>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15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废切削液</w:t>
                  </w:r>
                </w:p>
              </w:tc>
              <w:tc>
                <w:tcPr>
                  <w:tcW w:w="1274"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生产过程</w:t>
                  </w:r>
                </w:p>
              </w:tc>
              <w:tc>
                <w:tcPr>
                  <w:tcW w:w="1286"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危险废物</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0.02t/a</w:t>
                  </w:r>
                </w:p>
              </w:tc>
              <w:tc>
                <w:tcPr>
                  <w:tcW w:w="2554" w:type="dxa"/>
                  <w:vMerge w:val="restart"/>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委托有资质单位处置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 w:hRule="atLeast"/>
              </w:trPr>
              <w:tc>
                <w:tcPr>
                  <w:tcW w:w="15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废润滑油</w:t>
                  </w:r>
                </w:p>
              </w:tc>
              <w:tc>
                <w:tcPr>
                  <w:tcW w:w="1274"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设备润滑</w:t>
                  </w:r>
                </w:p>
              </w:tc>
              <w:tc>
                <w:tcPr>
                  <w:tcW w:w="1286"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危险废物</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0.1t/a</w:t>
                  </w:r>
                </w:p>
              </w:tc>
              <w:tc>
                <w:tcPr>
                  <w:tcW w:w="2554" w:type="dxa"/>
                  <w:vMerge w:val="continue"/>
                  <w:vAlign w:val="center"/>
                </w:tcPr>
                <w:p>
                  <w:pPr>
                    <w:pStyle w:val="43"/>
                    <w:spacing w:line="360" w:lineRule="exact"/>
                    <w:ind w:firstLine="0" w:firstLineChars="0"/>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 w:hRule="atLeast"/>
              </w:trPr>
              <w:tc>
                <w:tcPr>
                  <w:tcW w:w="15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废活性炭</w:t>
                  </w:r>
                </w:p>
              </w:tc>
              <w:tc>
                <w:tcPr>
                  <w:tcW w:w="1274"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环保设施</w:t>
                  </w:r>
                </w:p>
              </w:tc>
              <w:tc>
                <w:tcPr>
                  <w:tcW w:w="1286"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危险废物</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0.1825</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t/a</w:t>
                  </w:r>
                </w:p>
              </w:tc>
              <w:tc>
                <w:tcPr>
                  <w:tcW w:w="2554" w:type="dxa"/>
                  <w:vMerge w:val="continue"/>
                  <w:vAlign w:val="center"/>
                </w:tcPr>
                <w:p>
                  <w:pPr>
                    <w:pStyle w:val="43"/>
                    <w:spacing w:line="360" w:lineRule="exact"/>
                    <w:ind w:firstLine="0" w:firstLineChars="0"/>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 w:hRule="atLeast"/>
              </w:trPr>
              <w:tc>
                <w:tcPr>
                  <w:tcW w:w="15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废包装桶</w:t>
                  </w:r>
                </w:p>
              </w:tc>
              <w:tc>
                <w:tcPr>
                  <w:tcW w:w="1274"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t>生产过程</w:t>
                  </w:r>
                </w:p>
              </w:tc>
              <w:tc>
                <w:tcPr>
                  <w:tcW w:w="1286"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危险废物</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0.112t/a</w:t>
                  </w:r>
                </w:p>
              </w:tc>
              <w:tc>
                <w:tcPr>
                  <w:tcW w:w="2554" w:type="dxa"/>
                  <w:vMerge w:val="continue"/>
                  <w:vAlign w:val="center"/>
                </w:tcPr>
                <w:p>
                  <w:pPr>
                    <w:pStyle w:val="43"/>
                    <w:spacing w:line="360" w:lineRule="exact"/>
                    <w:ind w:firstLine="0" w:firstLineChars="0"/>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8" w:hRule="atLeast"/>
              </w:trPr>
              <w:tc>
                <w:tcPr>
                  <w:tcW w:w="15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废油</w:t>
                  </w:r>
                </w:p>
              </w:tc>
              <w:tc>
                <w:tcPr>
                  <w:tcW w:w="1274"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环保设施</w:t>
                  </w:r>
                </w:p>
              </w:tc>
              <w:tc>
                <w:tcPr>
                  <w:tcW w:w="1286"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危险废物</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0.324t/a</w:t>
                  </w:r>
                </w:p>
              </w:tc>
              <w:tc>
                <w:tcPr>
                  <w:tcW w:w="2554" w:type="dxa"/>
                  <w:vMerge w:val="continue"/>
                  <w:vAlign w:val="center"/>
                </w:tcPr>
                <w:p>
                  <w:pPr>
                    <w:pStyle w:val="43"/>
                    <w:spacing w:line="360" w:lineRule="exact"/>
                    <w:ind w:firstLine="0" w:firstLineChars="0"/>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15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废滤材</w:t>
                  </w:r>
                </w:p>
              </w:tc>
              <w:tc>
                <w:tcPr>
                  <w:tcW w:w="1274"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环保设施</w:t>
                  </w:r>
                </w:p>
              </w:tc>
              <w:tc>
                <w:tcPr>
                  <w:tcW w:w="1286"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危险废物</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0.15t/a</w:t>
                  </w:r>
                </w:p>
              </w:tc>
              <w:tc>
                <w:tcPr>
                  <w:tcW w:w="2554" w:type="dxa"/>
                  <w:vMerge w:val="continue"/>
                  <w:vAlign w:val="center"/>
                </w:tcPr>
                <w:p>
                  <w:pPr>
                    <w:pStyle w:val="43"/>
                    <w:spacing w:line="360" w:lineRule="exact"/>
                    <w:ind w:firstLine="0" w:firstLineChars="0"/>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2"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color w:val="000000" w:themeColor="text1"/>
                      <w:sz w:val="21"/>
                      <w:szCs w:val="21"/>
                      <w:vertAlign w:val="baseli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eastAsia="zh-CN"/>
                      <w14:textFill>
                        <w14:solidFill>
                          <w14:schemeClr w14:val="tx1"/>
                        </w14:solidFill>
                      </w14:textFill>
                    </w:rPr>
                    <w:t>生活垃圾</w:t>
                  </w:r>
                </w:p>
              </w:tc>
              <w:tc>
                <w:tcPr>
                  <w:tcW w:w="127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员工生活</w:t>
                  </w:r>
                </w:p>
              </w:tc>
              <w:tc>
                <w:tcPr>
                  <w:tcW w:w="1286" w:type="dxa"/>
                  <w:vAlign w:val="center"/>
                </w:tcPr>
                <w:p>
                  <w:pPr>
                    <w:spacing w:line="360" w:lineRule="exact"/>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一般固废</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3.75t/a</w:t>
                  </w:r>
                </w:p>
              </w:tc>
              <w:tc>
                <w:tcPr>
                  <w:tcW w:w="255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由当地环卫部门统一清运</w:t>
                  </w:r>
                </w:p>
              </w:tc>
            </w:tr>
          </w:tbl>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危险废物汇总表</w:t>
            </w:r>
          </w:p>
          <w:tbl>
            <w:tblPr>
              <w:tblStyle w:val="16"/>
              <w:tblW w:w="766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38"/>
              <w:gridCol w:w="619"/>
              <w:gridCol w:w="776"/>
              <w:gridCol w:w="1196"/>
              <w:gridCol w:w="1004"/>
              <w:gridCol w:w="607"/>
              <w:gridCol w:w="462"/>
              <w:gridCol w:w="468"/>
              <w:gridCol w:w="513"/>
              <w:gridCol w:w="531"/>
              <w:gridCol w:w="577"/>
              <w:gridCol w:w="469"/>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42"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序号</w:t>
                  </w:r>
                </w:p>
              </w:tc>
              <w:tc>
                <w:tcPr>
                  <w:tcW w:w="691"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危险废物名称</w:t>
                  </w:r>
                </w:p>
              </w:tc>
              <w:tc>
                <w:tcPr>
                  <w:tcW w:w="609"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危险废物类别</w:t>
                  </w:r>
                </w:p>
              </w:tc>
              <w:tc>
                <w:tcPr>
                  <w:tcW w:w="1196"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危险废物代码</w:t>
                  </w:r>
                </w:p>
              </w:tc>
              <w:tc>
                <w:tcPr>
                  <w:tcW w:w="1004"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产生量（吨/年）</w:t>
                  </w:r>
                </w:p>
              </w:tc>
              <w:tc>
                <w:tcPr>
                  <w:tcW w:w="674"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产生工序及装置</w:t>
                  </w:r>
                </w:p>
              </w:tc>
              <w:tc>
                <w:tcPr>
                  <w:tcW w:w="475"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形态</w:t>
                  </w:r>
                </w:p>
              </w:tc>
              <w:tc>
                <w:tcPr>
                  <w:tcW w:w="484"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主要成分</w:t>
                  </w:r>
                </w:p>
              </w:tc>
              <w:tc>
                <w:tcPr>
                  <w:tcW w:w="546"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有害成分</w:t>
                  </w:r>
                </w:p>
              </w:tc>
              <w:tc>
                <w:tcPr>
                  <w:tcW w:w="469"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产废周期</w:t>
                  </w:r>
                </w:p>
              </w:tc>
              <w:tc>
                <w:tcPr>
                  <w:tcW w:w="585"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危险</w:t>
                  </w:r>
                </w:p>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特性</w:t>
                  </w:r>
                </w:p>
              </w:tc>
              <w:tc>
                <w:tcPr>
                  <w:tcW w:w="485"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污染防治措施</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2"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1</w:t>
                  </w:r>
                </w:p>
              </w:tc>
              <w:tc>
                <w:tcPr>
                  <w:tcW w:w="69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废切削液</w:t>
                  </w:r>
                </w:p>
              </w:tc>
              <w:tc>
                <w:tcPr>
                  <w:tcW w:w="609"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HW09</w:t>
                  </w:r>
                </w:p>
              </w:tc>
              <w:tc>
                <w:tcPr>
                  <w:tcW w:w="1196"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900-006-09</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0.02t/a</w:t>
                  </w:r>
                </w:p>
              </w:tc>
              <w:tc>
                <w:tcPr>
                  <w:tcW w:w="674" w:type="dxa"/>
                  <w:vAlign w:val="center"/>
                </w:tcPr>
                <w:p>
                  <w:pPr>
                    <w:pStyle w:val="43"/>
                    <w:spacing w:line="360" w:lineRule="exact"/>
                    <w:ind w:firstLine="0" w:firstLineChars="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t>数控加工</w:t>
                  </w:r>
                </w:p>
              </w:tc>
              <w:tc>
                <w:tcPr>
                  <w:tcW w:w="475"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液态</w:t>
                  </w:r>
                </w:p>
              </w:tc>
              <w:tc>
                <w:tcPr>
                  <w:tcW w:w="484"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矿物油</w:t>
                  </w:r>
                </w:p>
              </w:tc>
              <w:tc>
                <w:tcPr>
                  <w:tcW w:w="546"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多环芳烃等</w:t>
                  </w:r>
                </w:p>
              </w:tc>
              <w:tc>
                <w:tcPr>
                  <w:tcW w:w="469"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半年</w:t>
                  </w:r>
                </w:p>
              </w:tc>
              <w:tc>
                <w:tcPr>
                  <w:tcW w:w="585"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T</w:t>
                  </w:r>
                </w:p>
              </w:tc>
              <w:tc>
                <w:tcPr>
                  <w:tcW w:w="485" w:type="dxa"/>
                  <w:vMerge w:val="restart"/>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t>委托有危废资质的单位处理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2"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2</w:t>
                  </w:r>
                </w:p>
              </w:tc>
              <w:tc>
                <w:tcPr>
                  <w:tcW w:w="69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废润滑油</w:t>
                  </w:r>
                </w:p>
              </w:tc>
              <w:tc>
                <w:tcPr>
                  <w:tcW w:w="609"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HW08</w:t>
                  </w:r>
                </w:p>
              </w:tc>
              <w:tc>
                <w:tcPr>
                  <w:tcW w:w="1196"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900-249-08</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0.1t/a</w:t>
                  </w:r>
                </w:p>
              </w:tc>
              <w:tc>
                <w:tcPr>
                  <w:tcW w:w="674" w:type="dxa"/>
                  <w:vAlign w:val="center"/>
                </w:tcPr>
                <w:p>
                  <w:pPr>
                    <w:pStyle w:val="43"/>
                    <w:spacing w:line="360" w:lineRule="exact"/>
                    <w:ind w:firstLine="0" w:firstLineChars="0"/>
                    <w:jc w:val="center"/>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设备维护</w:t>
                  </w:r>
                </w:p>
              </w:tc>
              <w:tc>
                <w:tcPr>
                  <w:tcW w:w="475"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液态</w:t>
                  </w:r>
                </w:p>
              </w:tc>
              <w:tc>
                <w:tcPr>
                  <w:tcW w:w="484"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矿物油</w:t>
                  </w:r>
                </w:p>
              </w:tc>
              <w:tc>
                <w:tcPr>
                  <w:tcW w:w="546"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多环芳烃等</w:t>
                  </w:r>
                </w:p>
              </w:tc>
              <w:tc>
                <w:tcPr>
                  <w:tcW w:w="469"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w:t>
                  </w:r>
                </w:p>
              </w:tc>
              <w:tc>
                <w:tcPr>
                  <w:tcW w:w="585"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T，I</w:t>
                  </w:r>
                </w:p>
              </w:tc>
              <w:tc>
                <w:tcPr>
                  <w:tcW w:w="485" w:type="dxa"/>
                  <w:vMerge w:val="continue"/>
                  <w:vAlign w:val="center"/>
                </w:tcPr>
                <w:p>
                  <w:pPr>
                    <w:topLinePunct/>
                    <w:adjustRightInd w:val="0"/>
                    <w:snapToGrid w:val="0"/>
                    <w:jc w:val="center"/>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2"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3</w:t>
                  </w:r>
                </w:p>
              </w:tc>
              <w:tc>
                <w:tcPr>
                  <w:tcW w:w="69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废活性炭</w:t>
                  </w:r>
                </w:p>
              </w:tc>
              <w:tc>
                <w:tcPr>
                  <w:tcW w:w="609"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HW49</w:t>
                  </w:r>
                </w:p>
              </w:tc>
              <w:tc>
                <w:tcPr>
                  <w:tcW w:w="1196"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900-039-49</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0.1825</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t/a</w:t>
                  </w:r>
                </w:p>
              </w:tc>
              <w:tc>
                <w:tcPr>
                  <w:tcW w:w="674" w:type="dxa"/>
                  <w:vAlign w:val="center"/>
                </w:tcPr>
                <w:p>
                  <w:pPr>
                    <w:pStyle w:val="43"/>
                    <w:spacing w:line="360" w:lineRule="exact"/>
                    <w:ind w:firstLine="0" w:firstLineChars="0"/>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环保设施</w:t>
                  </w:r>
                </w:p>
              </w:tc>
              <w:tc>
                <w:tcPr>
                  <w:tcW w:w="475"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固态</w:t>
                  </w:r>
                </w:p>
              </w:tc>
              <w:tc>
                <w:tcPr>
                  <w:tcW w:w="484"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有机废气</w:t>
                  </w:r>
                </w:p>
              </w:tc>
              <w:tc>
                <w:tcPr>
                  <w:tcW w:w="546"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多环芳烃等</w:t>
                  </w:r>
                </w:p>
              </w:tc>
              <w:tc>
                <w:tcPr>
                  <w:tcW w:w="469"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4月</w:t>
                  </w:r>
                </w:p>
              </w:tc>
              <w:tc>
                <w:tcPr>
                  <w:tcW w:w="585"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T</w:t>
                  </w:r>
                </w:p>
              </w:tc>
              <w:tc>
                <w:tcPr>
                  <w:tcW w:w="485" w:type="dxa"/>
                  <w:vMerge w:val="continue"/>
                  <w:vAlign w:val="center"/>
                </w:tcPr>
                <w:p>
                  <w:pPr>
                    <w:topLinePunct/>
                    <w:adjustRightInd w:val="0"/>
                    <w:snapToGrid w:val="0"/>
                    <w:jc w:val="center"/>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2"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4</w:t>
                  </w:r>
                </w:p>
              </w:tc>
              <w:tc>
                <w:tcPr>
                  <w:tcW w:w="69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废包装桶</w:t>
                  </w:r>
                </w:p>
              </w:tc>
              <w:tc>
                <w:tcPr>
                  <w:tcW w:w="609"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HW49</w:t>
                  </w:r>
                </w:p>
              </w:tc>
              <w:tc>
                <w:tcPr>
                  <w:tcW w:w="1196"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900-041-49</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0.112t/a</w:t>
                  </w:r>
                </w:p>
              </w:tc>
              <w:tc>
                <w:tcPr>
                  <w:tcW w:w="674" w:type="dxa"/>
                  <w:vAlign w:val="center"/>
                </w:tcPr>
                <w:p>
                  <w:pPr>
                    <w:pStyle w:val="43"/>
                    <w:spacing w:line="360" w:lineRule="exact"/>
                    <w:ind w:firstLine="0" w:firstLineChars="0"/>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生产过程</w:t>
                  </w:r>
                </w:p>
              </w:tc>
              <w:tc>
                <w:tcPr>
                  <w:tcW w:w="475"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固态</w:t>
                  </w:r>
                </w:p>
              </w:tc>
              <w:tc>
                <w:tcPr>
                  <w:tcW w:w="484"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多环芳烃等</w:t>
                  </w:r>
                </w:p>
              </w:tc>
              <w:tc>
                <w:tcPr>
                  <w:tcW w:w="546"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多环芳烃等</w:t>
                  </w:r>
                </w:p>
              </w:tc>
              <w:tc>
                <w:tcPr>
                  <w:tcW w:w="469"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1d</w:t>
                  </w:r>
                </w:p>
              </w:tc>
              <w:tc>
                <w:tcPr>
                  <w:tcW w:w="585"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T，In</w:t>
                  </w:r>
                </w:p>
              </w:tc>
              <w:tc>
                <w:tcPr>
                  <w:tcW w:w="485" w:type="dxa"/>
                  <w:vMerge w:val="continue"/>
                  <w:vAlign w:val="center"/>
                </w:tcPr>
                <w:p>
                  <w:pPr>
                    <w:topLinePunct/>
                    <w:adjustRightInd w:val="0"/>
                    <w:snapToGrid w:val="0"/>
                    <w:jc w:val="center"/>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2"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5</w:t>
                  </w:r>
                </w:p>
              </w:tc>
              <w:tc>
                <w:tcPr>
                  <w:tcW w:w="69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废油</w:t>
                  </w:r>
                </w:p>
              </w:tc>
              <w:tc>
                <w:tcPr>
                  <w:tcW w:w="609"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HW08</w:t>
                  </w:r>
                </w:p>
              </w:tc>
              <w:tc>
                <w:tcPr>
                  <w:tcW w:w="1196"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900-210-08</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0.324t/a</w:t>
                  </w:r>
                </w:p>
              </w:tc>
              <w:tc>
                <w:tcPr>
                  <w:tcW w:w="674" w:type="dxa"/>
                  <w:vAlign w:val="center"/>
                </w:tcPr>
                <w:p>
                  <w:pPr>
                    <w:pStyle w:val="43"/>
                    <w:spacing w:line="360" w:lineRule="exact"/>
                    <w:ind w:firstLine="0" w:firstLineChars="0"/>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环保设施</w:t>
                  </w:r>
                </w:p>
              </w:tc>
              <w:tc>
                <w:tcPr>
                  <w:tcW w:w="475"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液态</w:t>
                  </w:r>
                </w:p>
              </w:tc>
              <w:tc>
                <w:tcPr>
                  <w:tcW w:w="484"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矿物油</w:t>
                  </w:r>
                </w:p>
              </w:tc>
              <w:tc>
                <w:tcPr>
                  <w:tcW w:w="546"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多环芳烃等</w:t>
                  </w:r>
                </w:p>
              </w:tc>
              <w:tc>
                <w:tcPr>
                  <w:tcW w:w="469"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 xml:space="preserve">4月 </w:t>
                  </w:r>
                </w:p>
              </w:tc>
              <w:tc>
                <w:tcPr>
                  <w:tcW w:w="585"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14:textFill>
                        <w14:solidFill>
                          <w14:schemeClr w14:val="tx1"/>
                        </w14:solidFill>
                      </w14:textFill>
                    </w:rPr>
                    <w:t>T，I</w:t>
                  </w:r>
                </w:p>
              </w:tc>
              <w:tc>
                <w:tcPr>
                  <w:tcW w:w="485" w:type="dxa"/>
                  <w:vMerge w:val="continue"/>
                  <w:vAlign w:val="center"/>
                </w:tcPr>
                <w:p>
                  <w:pPr>
                    <w:topLinePunct/>
                    <w:adjustRightInd w:val="0"/>
                    <w:snapToGrid w:val="0"/>
                    <w:jc w:val="center"/>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42"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6</w:t>
                  </w:r>
                </w:p>
              </w:tc>
              <w:tc>
                <w:tcPr>
                  <w:tcW w:w="691"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废滤材</w:t>
                  </w:r>
                </w:p>
              </w:tc>
              <w:tc>
                <w:tcPr>
                  <w:tcW w:w="609"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HW49</w:t>
                  </w:r>
                </w:p>
              </w:tc>
              <w:tc>
                <w:tcPr>
                  <w:tcW w:w="1196"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900-041-49</w:t>
                  </w:r>
                </w:p>
              </w:tc>
              <w:tc>
                <w:tcPr>
                  <w:tcW w:w="1004" w:type="dxa"/>
                  <w:vAlign w:val="center"/>
                </w:tcPr>
                <w:p>
                  <w:pPr>
                    <w:pStyle w:val="43"/>
                    <w:spacing w:line="360" w:lineRule="exact"/>
                    <w:ind w:firstLine="0" w:firstLineChars="0"/>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0.15t/a</w:t>
                  </w:r>
                </w:p>
              </w:tc>
              <w:tc>
                <w:tcPr>
                  <w:tcW w:w="674" w:type="dxa"/>
                  <w:vAlign w:val="center"/>
                </w:tcPr>
                <w:p>
                  <w:pPr>
                    <w:pStyle w:val="43"/>
                    <w:spacing w:line="360" w:lineRule="exact"/>
                    <w:ind w:firstLine="0" w:firstLineChars="0"/>
                    <w:jc w:val="cente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highlight w:val="none"/>
                      <w:u w:val="none"/>
                      <w:lang w:val="en-US" w:eastAsia="zh-CN"/>
                      <w14:textFill>
                        <w14:solidFill>
                          <w14:schemeClr w14:val="tx1"/>
                        </w14:solidFill>
                      </w14:textFill>
                    </w:rPr>
                    <w:t>环保设施</w:t>
                  </w:r>
                </w:p>
              </w:tc>
              <w:tc>
                <w:tcPr>
                  <w:tcW w:w="475"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固态</w:t>
                  </w:r>
                </w:p>
              </w:tc>
              <w:tc>
                <w:tcPr>
                  <w:tcW w:w="484"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多环芳烃等</w:t>
                  </w:r>
                </w:p>
              </w:tc>
              <w:tc>
                <w:tcPr>
                  <w:tcW w:w="546"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eastAsia="zh-CN"/>
                      <w14:textFill>
                        <w14:solidFill>
                          <w14:schemeClr w14:val="tx1"/>
                        </w14:solidFill>
                      </w14:textFill>
                    </w:rPr>
                    <w:t>多环芳烃等</w:t>
                  </w:r>
                </w:p>
              </w:tc>
              <w:tc>
                <w:tcPr>
                  <w:tcW w:w="469"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15d</w:t>
                  </w:r>
                </w:p>
              </w:tc>
              <w:tc>
                <w:tcPr>
                  <w:tcW w:w="585" w:type="dxa"/>
                  <w:vAlign w:val="center"/>
                </w:tcPr>
                <w:p>
                  <w:pPr>
                    <w:topLinePunct/>
                    <w:adjustRightInd w:val="0"/>
                    <w:snapToGrid w:val="0"/>
                    <w:jc w:val="cente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highlight w:val="none"/>
                      <w:u w:val="none"/>
                      <w:lang w:val="en-US" w:eastAsia="zh-CN"/>
                      <w14:textFill>
                        <w14:solidFill>
                          <w14:schemeClr w14:val="tx1"/>
                        </w14:solidFill>
                      </w14:textFill>
                    </w:rPr>
                    <w:t>T，In</w:t>
                  </w:r>
                </w:p>
              </w:tc>
              <w:tc>
                <w:tcPr>
                  <w:tcW w:w="485" w:type="dxa"/>
                  <w:vMerge w:val="continue"/>
                  <w:vAlign w:val="center"/>
                </w:tcPr>
                <w:p>
                  <w:pPr>
                    <w:topLinePunct/>
                    <w:adjustRightInd w:val="0"/>
                    <w:snapToGrid w:val="0"/>
                    <w:jc w:val="center"/>
                    <w:rPr>
                      <w:rFonts w:hint="default" w:ascii="Times New Roman" w:hAnsi="Times New Roman" w:eastAsia="宋体" w:cs="Times New Roman"/>
                      <w:b w:val="0"/>
                      <w:bCs w:val="0"/>
                      <w:color w:val="000000" w:themeColor="text1"/>
                      <w:sz w:val="21"/>
                      <w:szCs w:val="21"/>
                      <w:highlight w:val="none"/>
                      <w:u w:val="none"/>
                      <w14:textFill>
                        <w14:solidFill>
                          <w14:schemeClr w14:val="tx1"/>
                        </w14:solidFill>
                      </w14:textFill>
                    </w:rPr>
                  </w:pPr>
                </w:p>
              </w:tc>
            </w:tr>
          </w:tbl>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建设项目危险废物贮存场所（设施）基本情况表</w:t>
            </w:r>
          </w:p>
          <w:tbl>
            <w:tblPr>
              <w:tblStyle w:val="16"/>
              <w:tblW w:w="7654"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9"/>
              <w:gridCol w:w="856"/>
              <w:gridCol w:w="705"/>
              <w:gridCol w:w="1099"/>
              <w:gridCol w:w="1197"/>
              <w:gridCol w:w="657"/>
              <w:gridCol w:w="669"/>
              <w:gridCol w:w="672"/>
              <w:gridCol w:w="795"/>
              <w:gridCol w:w="545"/>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460"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t>序号</w:t>
                  </w:r>
                </w:p>
              </w:tc>
              <w:tc>
                <w:tcPr>
                  <w:tcW w:w="860"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t>贮存场所（设施）名称</w:t>
                  </w:r>
                </w:p>
              </w:tc>
              <w:tc>
                <w:tcPr>
                  <w:tcW w:w="710"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t>危险废物名称</w:t>
                  </w:r>
                </w:p>
              </w:tc>
              <w:tc>
                <w:tcPr>
                  <w:tcW w:w="1105"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t>危险废物类别</w:t>
                  </w:r>
                </w:p>
              </w:tc>
              <w:tc>
                <w:tcPr>
                  <w:tcW w:w="119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t>危险废物代码</w:t>
                  </w:r>
                </w:p>
              </w:tc>
              <w:tc>
                <w:tcPr>
                  <w:tcW w:w="661"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t>位置</w:t>
                  </w:r>
                </w:p>
              </w:tc>
              <w:tc>
                <w:tcPr>
                  <w:tcW w:w="640"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t>占地面积</w:t>
                  </w:r>
                </w:p>
              </w:tc>
              <w:tc>
                <w:tcPr>
                  <w:tcW w:w="67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t>贮存方式</w:t>
                  </w:r>
                </w:p>
              </w:tc>
              <w:tc>
                <w:tcPr>
                  <w:tcW w:w="79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t>贮存</w:t>
                  </w:r>
                </w:p>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t>能力</w:t>
                  </w:r>
                </w:p>
              </w:tc>
              <w:tc>
                <w:tcPr>
                  <w:tcW w:w="54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t>贮存</w:t>
                  </w:r>
                </w:p>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t>周期</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60"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t>1</w:t>
                  </w:r>
                </w:p>
              </w:tc>
              <w:tc>
                <w:tcPr>
                  <w:tcW w:w="860" w:type="dxa"/>
                  <w:vMerge w:val="restart"/>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t>危废暂存间</w:t>
                  </w:r>
                </w:p>
              </w:tc>
              <w:tc>
                <w:tcPr>
                  <w:tcW w:w="71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废切削液</w:t>
                  </w:r>
                </w:p>
              </w:tc>
              <w:tc>
                <w:tcPr>
                  <w:tcW w:w="1105" w:type="dxa"/>
                  <w:vAlign w:val="center"/>
                </w:tcPr>
                <w:p>
                  <w:pPr>
                    <w:topLinePunct/>
                    <w:adjustRightInd w:val="0"/>
                    <w:snapToGrid w:val="0"/>
                    <w:jc w:val="cente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HW09</w:t>
                  </w:r>
                </w:p>
              </w:tc>
              <w:tc>
                <w:tcPr>
                  <w:tcW w:w="1197" w:type="dxa"/>
                  <w:vAlign w:val="center"/>
                </w:tcPr>
                <w:p>
                  <w:pPr>
                    <w:topLinePunct/>
                    <w:adjustRightInd w:val="0"/>
                    <w:snapToGrid w:val="0"/>
                    <w:jc w:val="cente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900-006-09</w:t>
                  </w:r>
                </w:p>
              </w:tc>
              <w:tc>
                <w:tcPr>
                  <w:tcW w:w="661" w:type="dxa"/>
                  <w:vMerge w:val="restart"/>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生产车间东部</w:t>
                  </w:r>
                </w:p>
              </w:tc>
              <w:tc>
                <w:tcPr>
                  <w:tcW w:w="640" w:type="dxa"/>
                  <w:vMerge w:val="restart"/>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10</w:t>
                  </w:r>
                  <w:r>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t>m</w:t>
                  </w:r>
                  <w:r>
                    <w:rPr>
                      <w:rFonts w:hint="default" w:ascii="Times New Roman" w:hAnsi="Times New Roman" w:eastAsia="宋体" w:cs="Times New Roman"/>
                      <w:b/>
                      <w:bCs/>
                      <w:color w:val="000000" w:themeColor="text1"/>
                      <w:sz w:val="21"/>
                      <w:szCs w:val="21"/>
                      <w:highlight w:val="none"/>
                      <w:u w:val="single"/>
                      <w:vertAlign w:val="superscript"/>
                      <w14:textFill>
                        <w14:solidFill>
                          <w14:schemeClr w14:val="tx1"/>
                        </w14:solidFill>
                      </w14:textFill>
                    </w:rPr>
                    <w:t>2</w:t>
                  </w:r>
                </w:p>
              </w:tc>
              <w:tc>
                <w:tcPr>
                  <w:tcW w:w="67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t>桶装</w:t>
                  </w:r>
                </w:p>
              </w:tc>
              <w:tc>
                <w:tcPr>
                  <w:tcW w:w="79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0.5t/a</w:t>
                  </w:r>
                </w:p>
              </w:tc>
              <w:tc>
                <w:tcPr>
                  <w:tcW w:w="54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1年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60"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2</w:t>
                  </w:r>
                </w:p>
              </w:tc>
              <w:tc>
                <w:tcPr>
                  <w:tcW w:w="860" w:type="dxa"/>
                  <w:vMerge w:val="continue"/>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pPr>
                </w:p>
              </w:tc>
              <w:tc>
                <w:tcPr>
                  <w:tcW w:w="71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废润滑油</w:t>
                  </w:r>
                </w:p>
              </w:tc>
              <w:tc>
                <w:tcPr>
                  <w:tcW w:w="1105" w:type="dxa"/>
                  <w:vAlign w:val="center"/>
                </w:tcPr>
                <w:p>
                  <w:pPr>
                    <w:topLinePunct/>
                    <w:adjustRightInd w:val="0"/>
                    <w:snapToGrid w:val="0"/>
                    <w:jc w:val="cente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HW08</w:t>
                  </w:r>
                </w:p>
              </w:tc>
              <w:tc>
                <w:tcPr>
                  <w:tcW w:w="1197" w:type="dxa"/>
                  <w:vAlign w:val="center"/>
                </w:tcPr>
                <w:p>
                  <w:pPr>
                    <w:topLinePunct/>
                    <w:adjustRightInd w:val="0"/>
                    <w:snapToGrid w:val="0"/>
                    <w:jc w:val="cente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900-249-08</w:t>
                  </w:r>
                </w:p>
              </w:tc>
              <w:tc>
                <w:tcPr>
                  <w:tcW w:w="661" w:type="dxa"/>
                  <w:vMerge w:val="continue"/>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pPr>
                </w:p>
              </w:tc>
              <w:tc>
                <w:tcPr>
                  <w:tcW w:w="640" w:type="dxa"/>
                  <w:vMerge w:val="continue"/>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67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t>桶装</w:t>
                  </w:r>
                </w:p>
              </w:tc>
              <w:tc>
                <w:tcPr>
                  <w:tcW w:w="79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0.5t/a</w:t>
                  </w:r>
                </w:p>
              </w:tc>
              <w:tc>
                <w:tcPr>
                  <w:tcW w:w="54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1年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60"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3</w:t>
                  </w:r>
                </w:p>
              </w:tc>
              <w:tc>
                <w:tcPr>
                  <w:tcW w:w="860" w:type="dxa"/>
                  <w:vMerge w:val="continue"/>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pPr>
                </w:p>
              </w:tc>
              <w:tc>
                <w:tcPr>
                  <w:tcW w:w="71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废活性炭</w:t>
                  </w:r>
                </w:p>
              </w:tc>
              <w:tc>
                <w:tcPr>
                  <w:tcW w:w="1105" w:type="dxa"/>
                  <w:vAlign w:val="center"/>
                </w:tcPr>
                <w:p>
                  <w:pPr>
                    <w:topLinePunct/>
                    <w:adjustRightInd w:val="0"/>
                    <w:snapToGrid w:val="0"/>
                    <w:jc w:val="cente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HW49</w:t>
                  </w:r>
                </w:p>
              </w:tc>
              <w:tc>
                <w:tcPr>
                  <w:tcW w:w="1197" w:type="dxa"/>
                  <w:vAlign w:val="center"/>
                </w:tcPr>
                <w:p>
                  <w:pPr>
                    <w:topLinePunct/>
                    <w:adjustRightInd w:val="0"/>
                    <w:snapToGrid w:val="0"/>
                    <w:jc w:val="center"/>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900-039-49</w:t>
                  </w:r>
                </w:p>
              </w:tc>
              <w:tc>
                <w:tcPr>
                  <w:tcW w:w="661" w:type="dxa"/>
                  <w:vMerge w:val="continue"/>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pPr>
                </w:p>
              </w:tc>
              <w:tc>
                <w:tcPr>
                  <w:tcW w:w="640" w:type="dxa"/>
                  <w:vMerge w:val="continue"/>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67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袋</w:t>
                  </w:r>
                  <w:r>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t>装</w:t>
                  </w:r>
                </w:p>
              </w:tc>
              <w:tc>
                <w:tcPr>
                  <w:tcW w:w="79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1t/a</w:t>
                  </w:r>
                </w:p>
              </w:tc>
              <w:tc>
                <w:tcPr>
                  <w:tcW w:w="54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1年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60"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4</w:t>
                  </w:r>
                </w:p>
              </w:tc>
              <w:tc>
                <w:tcPr>
                  <w:tcW w:w="860" w:type="dxa"/>
                  <w:vMerge w:val="continue"/>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pPr>
                </w:p>
              </w:tc>
              <w:tc>
                <w:tcPr>
                  <w:tcW w:w="71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废包装桶</w:t>
                  </w:r>
                </w:p>
              </w:tc>
              <w:tc>
                <w:tcPr>
                  <w:tcW w:w="1105" w:type="dxa"/>
                  <w:vAlign w:val="center"/>
                </w:tcPr>
                <w:p>
                  <w:pPr>
                    <w:topLinePunct/>
                    <w:adjustRightInd w:val="0"/>
                    <w:snapToGrid w:val="0"/>
                    <w:jc w:val="center"/>
                    <w:rPr>
                      <w:rFonts w:hint="default" w:ascii="Times New Roman" w:hAnsi="Times New Roman" w:eastAsia="宋体" w:cs="Times New Roman"/>
                      <w:b/>
                      <w:bCs/>
                      <w:color w:val="000000" w:themeColor="text1"/>
                      <w:kern w:val="0"/>
                      <w:sz w:val="21"/>
                      <w:szCs w:val="21"/>
                      <w:highlight w:val="none"/>
                      <w:u w:val="single"/>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HW49</w:t>
                  </w:r>
                </w:p>
              </w:tc>
              <w:tc>
                <w:tcPr>
                  <w:tcW w:w="1197" w:type="dxa"/>
                  <w:vAlign w:val="center"/>
                </w:tcPr>
                <w:p>
                  <w:pPr>
                    <w:topLinePunct/>
                    <w:adjustRightInd w:val="0"/>
                    <w:snapToGrid w:val="0"/>
                    <w:jc w:val="cente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900-041-49</w:t>
                  </w:r>
                </w:p>
              </w:tc>
              <w:tc>
                <w:tcPr>
                  <w:tcW w:w="661" w:type="dxa"/>
                  <w:vMerge w:val="continue"/>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pPr>
                </w:p>
              </w:tc>
              <w:tc>
                <w:tcPr>
                  <w:tcW w:w="640" w:type="dxa"/>
                  <w:vMerge w:val="continue"/>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67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密封堆存</w:t>
                  </w:r>
                </w:p>
              </w:tc>
              <w:tc>
                <w:tcPr>
                  <w:tcW w:w="79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0.5t/a</w:t>
                  </w:r>
                </w:p>
              </w:tc>
              <w:tc>
                <w:tcPr>
                  <w:tcW w:w="54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1年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60"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5</w:t>
                  </w:r>
                </w:p>
              </w:tc>
              <w:tc>
                <w:tcPr>
                  <w:tcW w:w="860" w:type="dxa"/>
                  <w:vMerge w:val="continue"/>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pPr>
                </w:p>
              </w:tc>
              <w:tc>
                <w:tcPr>
                  <w:tcW w:w="71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废油</w:t>
                  </w:r>
                </w:p>
              </w:tc>
              <w:tc>
                <w:tcPr>
                  <w:tcW w:w="1105" w:type="dxa"/>
                  <w:vAlign w:val="center"/>
                </w:tcPr>
                <w:p>
                  <w:pPr>
                    <w:topLinePunct/>
                    <w:adjustRightInd w:val="0"/>
                    <w:snapToGrid w:val="0"/>
                    <w:jc w:val="cente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HW08</w:t>
                  </w:r>
                </w:p>
              </w:tc>
              <w:tc>
                <w:tcPr>
                  <w:tcW w:w="1197" w:type="dxa"/>
                  <w:vAlign w:val="center"/>
                </w:tcPr>
                <w:p>
                  <w:pPr>
                    <w:topLinePunct/>
                    <w:adjustRightInd w:val="0"/>
                    <w:snapToGrid w:val="0"/>
                    <w:jc w:val="cente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900-210-08</w:t>
                  </w:r>
                </w:p>
              </w:tc>
              <w:tc>
                <w:tcPr>
                  <w:tcW w:w="661" w:type="dxa"/>
                  <w:vMerge w:val="continue"/>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pPr>
                </w:p>
              </w:tc>
              <w:tc>
                <w:tcPr>
                  <w:tcW w:w="640" w:type="dxa"/>
                  <w:vMerge w:val="continue"/>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67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t>桶装</w:t>
                  </w:r>
                </w:p>
              </w:tc>
              <w:tc>
                <w:tcPr>
                  <w:tcW w:w="79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bookmarkStart w:id="5" w:name="OLE_LINK3"/>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0.5t/a</w:t>
                  </w:r>
                  <w:bookmarkEnd w:id="5"/>
                </w:p>
              </w:tc>
              <w:tc>
                <w:tcPr>
                  <w:tcW w:w="54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1年</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460"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6</w:t>
                  </w:r>
                </w:p>
              </w:tc>
              <w:tc>
                <w:tcPr>
                  <w:tcW w:w="860" w:type="dxa"/>
                  <w:vMerge w:val="continue"/>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pPr>
                </w:p>
              </w:tc>
              <w:tc>
                <w:tcPr>
                  <w:tcW w:w="710"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废滤材</w:t>
                  </w:r>
                </w:p>
              </w:tc>
              <w:tc>
                <w:tcPr>
                  <w:tcW w:w="1105" w:type="dxa"/>
                  <w:vAlign w:val="center"/>
                </w:tcPr>
                <w:p>
                  <w:pPr>
                    <w:topLinePunct/>
                    <w:adjustRightInd w:val="0"/>
                    <w:snapToGrid w:val="0"/>
                    <w:jc w:val="cente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HW49</w:t>
                  </w:r>
                </w:p>
              </w:tc>
              <w:tc>
                <w:tcPr>
                  <w:tcW w:w="1197" w:type="dxa"/>
                  <w:vAlign w:val="center"/>
                </w:tcPr>
                <w:p>
                  <w:pPr>
                    <w:topLinePunct/>
                    <w:adjustRightInd w:val="0"/>
                    <w:snapToGrid w:val="0"/>
                    <w:jc w:val="cente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900-041-49</w:t>
                  </w:r>
                </w:p>
              </w:tc>
              <w:tc>
                <w:tcPr>
                  <w:tcW w:w="661" w:type="dxa"/>
                  <w:vMerge w:val="continue"/>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pPr>
                </w:p>
              </w:tc>
              <w:tc>
                <w:tcPr>
                  <w:tcW w:w="640" w:type="dxa"/>
                  <w:vMerge w:val="continue"/>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sz w:val="21"/>
                      <w:szCs w:val="21"/>
                      <w:highlight w:val="none"/>
                      <w:u w:val="single"/>
                      <w14:textFill>
                        <w14:solidFill>
                          <w14:schemeClr w14:val="tx1"/>
                        </w14:solidFill>
                      </w14:textFill>
                    </w:rPr>
                  </w:pPr>
                </w:p>
              </w:tc>
              <w:tc>
                <w:tcPr>
                  <w:tcW w:w="67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袋</w:t>
                  </w:r>
                  <w:r>
                    <w:rPr>
                      <w:rFonts w:hint="default" w:ascii="Times New Roman" w:hAnsi="Times New Roman" w:eastAsia="宋体" w:cs="Times New Roman"/>
                      <w:b/>
                      <w:bCs/>
                      <w:color w:val="000000" w:themeColor="text1"/>
                      <w:kern w:val="0"/>
                      <w:sz w:val="21"/>
                      <w:szCs w:val="21"/>
                      <w:highlight w:val="none"/>
                      <w:u w:val="single"/>
                      <w:lang w:eastAsia="zh-CN"/>
                      <w14:textFill>
                        <w14:solidFill>
                          <w14:schemeClr w14:val="tx1"/>
                        </w14:solidFill>
                      </w14:textFill>
                    </w:rPr>
                    <w:t>装</w:t>
                  </w:r>
                </w:p>
              </w:tc>
              <w:tc>
                <w:tcPr>
                  <w:tcW w:w="79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0.5t/a</w:t>
                  </w:r>
                </w:p>
              </w:tc>
              <w:tc>
                <w:tcPr>
                  <w:tcW w:w="547" w:type="dxa"/>
                  <w:vAlign w:val="center"/>
                </w:tcPr>
                <w:p>
                  <w:pPr>
                    <w:keepNext w:val="0"/>
                    <w:keepLines w:val="0"/>
                    <w:pageBreakBefore w:val="0"/>
                    <w:widowControl w:val="0"/>
                    <w:kinsoku/>
                    <w:wordWrap/>
                    <w:overflowPunct/>
                    <w:topLinePunct/>
                    <w:autoSpaceDE/>
                    <w:autoSpaceDN/>
                    <w:bidi w:val="0"/>
                    <w:adjustRightInd/>
                    <w:snapToGrid/>
                    <w:spacing w:line="360" w:lineRule="exact"/>
                    <w:ind w:left="0" w:leftChars="0" w:right="0" w:rightChars="0"/>
                    <w:jc w:val="center"/>
                    <w:textAlignment w:val="auto"/>
                    <w:outlineLvl w:val="9"/>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1"/>
                      <w:szCs w:val="21"/>
                      <w:highlight w:val="none"/>
                      <w:u w:val="single"/>
                      <w:lang w:val="en-US" w:eastAsia="zh-CN"/>
                      <w14:textFill>
                        <w14:solidFill>
                          <w14:schemeClr w14:val="tx1"/>
                        </w14:solidFill>
                      </w14:textFill>
                    </w:rPr>
                    <w:t>1年</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综上所述，本项目生产过程中产生的固体废物，经采取相应的措施后均能够得到合理的处理处置，不向周围环境排放。</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5、</w:t>
            </w: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地下水、土壤</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highlight w:val="none"/>
                <w:u w:val="none"/>
                <w:lang w:val="en-US" w:eastAsia="zh-CN"/>
                <w14:textFill>
                  <w14:solidFill>
                    <w14:schemeClr w14:val="tx1"/>
                  </w14:solidFill>
                </w14:textFill>
              </w:rPr>
              <w:t>本项目无生产废水产生，办公生活污水经化粪池处理后排入园区污水管网，危险废物暂存于危废间，危险废物暂存间严格落实防渗措施，正常工况下，无土壤和地下水环境污染途径，不再进行地下水、土壤环境影响分析。</w:t>
            </w: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本项目防渗区划分一览表</w:t>
            </w:r>
          </w:p>
          <w:tbl>
            <w:tblPr>
              <w:tblStyle w:val="1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16"/>
              <w:gridCol w:w="1264"/>
              <w:gridCol w:w="1471"/>
              <w:gridCol w:w="39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2"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10"/>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防控分区</w:t>
                  </w:r>
                </w:p>
              </w:tc>
              <w:tc>
                <w:tcPr>
                  <w:tcW w:w="824"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10"/>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装置、单元名称</w:t>
                  </w:r>
                </w:p>
              </w:tc>
              <w:tc>
                <w:tcPr>
                  <w:tcW w:w="959"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10"/>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防渗区域</w:t>
                  </w:r>
                </w:p>
              </w:tc>
              <w:tc>
                <w:tcPr>
                  <w:tcW w:w="2553"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10"/>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防渗要求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2" w:type="pct"/>
                  <w:vMerge w:val="restar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10"/>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一般防渗区</w:t>
                  </w:r>
                </w:p>
              </w:tc>
              <w:tc>
                <w:tcPr>
                  <w:tcW w:w="824"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10"/>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生产车间</w:t>
                  </w:r>
                </w:p>
              </w:tc>
              <w:tc>
                <w:tcPr>
                  <w:tcW w:w="959"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10"/>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地面</w:t>
                  </w:r>
                </w:p>
              </w:tc>
              <w:tc>
                <w:tcPr>
                  <w:tcW w:w="2553" w:type="pct"/>
                  <w:vMerge w:val="restart"/>
                  <w:noWrap w:val="0"/>
                  <w:tcMar>
                    <w:left w:w="0" w:type="dxa"/>
                    <w:right w:w="0" w:type="dxa"/>
                  </w:tcMar>
                  <w:vAlign w:val="center"/>
                </w:tcPr>
                <w:p>
                  <w:pPr>
                    <w:pStyle w:val="48"/>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t>等效黏土防渗层Mb≥1.5m，K≤10</w:t>
                  </w:r>
                  <w:r>
                    <w:rPr>
                      <w:rFonts w:hint="default" w:ascii="Times New Roman" w:hAnsi="Times New Roman" w:eastAsia="宋体" w:cs="Times New Roman"/>
                      <w:b/>
                      <w:bCs/>
                      <w:color w:val="000000" w:themeColor="text1"/>
                      <w:sz w:val="21"/>
                      <w:szCs w:val="21"/>
                      <w:u w:val="single"/>
                      <w:vertAlign w:val="superscript"/>
                      <w:lang w:eastAsia="zh-CN"/>
                      <w14:textFill>
                        <w14:solidFill>
                          <w14:schemeClr w14:val="tx1"/>
                        </w14:solidFill>
                      </w14:textFill>
                    </w:rPr>
                    <w:t xml:space="preserve"> -7</w:t>
                  </w:r>
                  <w:r>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t>cm/s；或参照</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GB18598执行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2" w:type="pct"/>
                  <w:vMerge w:val="continue"/>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z w:val="21"/>
                      <w:szCs w:val="21"/>
                      <w:u w:val="single"/>
                      <w14:textFill>
                        <w14:solidFill>
                          <w14:schemeClr w14:val="tx1"/>
                        </w14:solidFill>
                      </w14:textFill>
                    </w:rPr>
                  </w:pPr>
                </w:p>
              </w:tc>
              <w:tc>
                <w:tcPr>
                  <w:tcW w:w="824"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化粪池</w:t>
                  </w:r>
                </w:p>
              </w:tc>
              <w:tc>
                <w:tcPr>
                  <w:tcW w:w="959"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池底及池壁</w:t>
                  </w:r>
                </w:p>
              </w:tc>
              <w:tc>
                <w:tcPr>
                  <w:tcW w:w="2553" w:type="pct"/>
                  <w:vMerge w:val="continue"/>
                  <w:noWrap w:val="0"/>
                  <w:tcMar>
                    <w:left w:w="0" w:type="dxa"/>
                    <w:right w:w="0" w:type="dxa"/>
                  </w:tcMar>
                  <w:vAlign w:val="center"/>
                </w:tcPr>
                <w:p>
                  <w:pPr>
                    <w:pStyle w:val="48"/>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2" w:type="pct"/>
                  <w:vMerge w:val="continue"/>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10"/>
                      <w:sz w:val="21"/>
                      <w:szCs w:val="21"/>
                      <w:u w:val="single"/>
                      <w14:textFill>
                        <w14:solidFill>
                          <w14:schemeClr w14:val="tx1"/>
                        </w14:solidFill>
                      </w14:textFill>
                    </w:rPr>
                  </w:pPr>
                </w:p>
              </w:tc>
              <w:tc>
                <w:tcPr>
                  <w:tcW w:w="824"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10"/>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一般固废暂存间</w:t>
                  </w:r>
                </w:p>
              </w:tc>
              <w:tc>
                <w:tcPr>
                  <w:tcW w:w="959"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pacing w:val="-10"/>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14:textFill>
                        <w14:solidFill>
                          <w14:schemeClr w14:val="tx1"/>
                        </w14:solidFill>
                      </w14:textFill>
                    </w:rPr>
                    <w:t>地面</w:t>
                  </w:r>
                </w:p>
              </w:tc>
              <w:tc>
                <w:tcPr>
                  <w:tcW w:w="2553" w:type="pct"/>
                  <w:vMerge w:val="continue"/>
                  <w:noWrap w:val="0"/>
                  <w:tcMar>
                    <w:left w:w="0" w:type="dxa"/>
                    <w:right w:w="0" w:type="dxa"/>
                  </w:tcMar>
                  <w:vAlign w:val="center"/>
                </w:tcPr>
                <w:p>
                  <w:pPr>
                    <w:pStyle w:val="48"/>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662"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重点防渗区</w:t>
                  </w:r>
                </w:p>
              </w:tc>
              <w:tc>
                <w:tcPr>
                  <w:tcW w:w="824"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危险废物暂存间</w:t>
                  </w:r>
                </w:p>
              </w:tc>
              <w:tc>
                <w:tcPr>
                  <w:tcW w:w="959"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地面</w:t>
                  </w:r>
                </w:p>
              </w:tc>
              <w:tc>
                <w:tcPr>
                  <w:tcW w:w="2553" w:type="pct"/>
                  <w:noWrap w:val="0"/>
                  <w:tcMar>
                    <w:left w:w="0" w:type="dxa"/>
                    <w:right w:w="0" w:type="dxa"/>
                  </w:tcMar>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right="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等效</w:t>
                  </w:r>
                  <w:r>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t>黏土防渗层Mb≥</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6</w:t>
                  </w:r>
                  <w:r>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t>m，</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渗透系数≦10</w:t>
                  </w:r>
                  <w:r>
                    <w:rPr>
                      <w:rFonts w:hint="default" w:ascii="Times New Roman" w:hAnsi="Times New Roman" w:eastAsia="宋体" w:cs="Times New Roman"/>
                      <w:b/>
                      <w:bCs/>
                      <w:color w:val="000000" w:themeColor="text1"/>
                      <w:sz w:val="21"/>
                      <w:szCs w:val="21"/>
                      <w:u w:val="single"/>
                      <w:vertAlign w:val="superscript"/>
                      <w:lang w:val="en-US" w:eastAsia="zh-CN"/>
                      <w14:textFill>
                        <w14:solidFill>
                          <w14:schemeClr w14:val="tx1"/>
                        </w14:solidFill>
                      </w14:textFill>
                    </w:rPr>
                    <w:t>-7</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cm/s</w:t>
                  </w:r>
                  <w:r>
                    <w:rPr>
                      <w:rFonts w:hint="default" w:ascii="Times New Roman" w:hAnsi="Times New Roman" w:eastAsia="宋体" w:cs="Times New Roman"/>
                      <w:b/>
                      <w:bCs/>
                      <w:color w:val="000000" w:themeColor="text1"/>
                      <w:sz w:val="21"/>
                      <w:szCs w:val="21"/>
                      <w:u w:val="single"/>
                      <w:lang w:eastAsia="zh-CN"/>
                      <w14:textFill>
                        <w14:solidFill>
                          <w14:schemeClr w14:val="tx1"/>
                        </w14:solidFill>
                      </w14:textFill>
                    </w:rPr>
                    <w:t>；或参照</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GB18598执行</w:t>
                  </w:r>
                </w:p>
              </w:tc>
            </w:tr>
          </w:tbl>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6、</w:t>
            </w: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环境风险评价</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6.1风险源调查</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根据《建设项目环境风险评价技术导则》（HJ169-2018）附录B，确定本项目主要危险物质为甲醇及危废废物，具体详见</w:t>
            </w:r>
            <w:r>
              <w:rPr>
                <w:rFonts w:hint="default" w:ascii="Times New Roman" w:hAnsi="Times New Roman" w:eastAsia="宋体" w:cs="Times New Roman"/>
                <w:color w:val="000000" w:themeColor="text1"/>
                <w:sz w:val="24"/>
                <w:lang w:val="en-US" w:eastAsia="zh-CN"/>
                <w14:textFill>
                  <w14:solidFill>
                    <w14:schemeClr w14:val="tx1"/>
                  </w14:solidFill>
                </w14:textFill>
              </w:rPr>
              <w:t>下</w:t>
            </w:r>
            <w:r>
              <w:rPr>
                <w:rFonts w:hint="default" w:ascii="Times New Roman" w:hAnsi="Times New Roman" w:eastAsia="宋体" w:cs="Times New Roman"/>
                <w:color w:val="000000" w:themeColor="text1"/>
                <w:sz w:val="24"/>
                <w14:textFill>
                  <w14:solidFill>
                    <w14:schemeClr w14:val="tx1"/>
                  </w14:solidFill>
                </w14:textFill>
              </w:rPr>
              <w:t>表</w:t>
            </w:r>
            <w:r>
              <w:rPr>
                <w:rFonts w:hint="default" w:ascii="Times New Roman" w:hAnsi="Times New Roman" w:eastAsia="宋体" w:cs="Times New Roman"/>
                <w:color w:val="000000" w:themeColor="text1"/>
                <w:sz w:val="24"/>
                <w:lang w:eastAsia="zh-CN"/>
                <w14:textFill>
                  <w14:solidFill>
                    <w14:schemeClr w14:val="tx1"/>
                  </w14:solidFill>
                </w14:textFill>
              </w:rPr>
              <w:t>。</w:t>
            </w: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lang w:val="en-US" w:eastAsia="zh-CN"/>
                <w14:textFill>
                  <w14:solidFill>
                    <w14:schemeClr w14:val="tx1"/>
                  </w14:solidFill>
                </w14:textFill>
              </w:rPr>
              <w:t>项目风险源及风险物质调查表</w:t>
            </w:r>
          </w:p>
          <w:tbl>
            <w:tblPr>
              <w:tblStyle w:val="16"/>
              <w:tblW w:w="76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4"/>
              <w:gridCol w:w="1151"/>
              <w:gridCol w:w="1282"/>
              <w:gridCol w:w="772"/>
              <w:gridCol w:w="2696"/>
              <w:gridCol w:w="11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4" w:type="dxa"/>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序号</w:t>
                  </w:r>
                </w:p>
              </w:tc>
              <w:tc>
                <w:tcPr>
                  <w:tcW w:w="1151" w:type="dxa"/>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类别</w:t>
                  </w:r>
                </w:p>
              </w:tc>
              <w:tc>
                <w:tcPr>
                  <w:tcW w:w="1282" w:type="dxa"/>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物质名称</w:t>
                  </w:r>
                </w:p>
              </w:tc>
              <w:tc>
                <w:tcPr>
                  <w:tcW w:w="772" w:type="dxa"/>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形态</w:t>
                  </w:r>
                </w:p>
              </w:tc>
              <w:tc>
                <w:tcPr>
                  <w:tcW w:w="2696" w:type="dxa"/>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物质类别</w:t>
                  </w:r>
                </w:p>
              </w:tc>
              <w:tc>
                <w:tcPr>
                  <w:tcW w:w="1155" w:type="dxa"/>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风险物质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4" w:type="dxa"/>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1</w:t>
                  </w:r>
                </w:p>
              </w:tc>
              <w:tc>
                <w:tcPr>
                  <w:tcW w:w="1151" w:type="dxa"/>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原辅材料</w:t>
                  </w:r>
                </w:p>
              </w:tc>
              <w:tc>
                <w:tcPr>
                  <w:tcW w:w="1282" w:type="dxa"/>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甲醇</w:t>
                  </w:r>
                </w:p>
              </w:tc>
              <w:tc>
                <w:tcPr>
                  <w:tcW w:w="772" w:type="dxa"/>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液态</w:t>
                  </w:r>
                </w:p>
              </w:tc>
              <w:tc>
                <w:tcPr>
                  <w:tcW w:w="2696"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含有机溶剂等化学品，危险品</w:t>
                  </w:r>
                </w:p>
              </w:tc>
              <w:tc>
                <w:tcPr>
                  <w:tcW w:w="1155"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甲醇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4" w:type="dxa"/>
                  <w:vMerge w:val="restart"/>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w:t>
                  </w:r>
                </w:p>
              </w:tc>
              <w:tc>
                <w:tcPr>
                  <w:tcW w:w="1151" w:type="dxa"/>
                  <w:vMerge w:val="restart"/>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“三废”污染物</w:t>
                  </w:r>
                </w:p>
              </w:tc>
              <w:tc>
                <w:tcPr>
                  <w:tcW w:w="1282" w:type="dxa"/>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废油桶</w:t>
                  </w:r>
                </w:p>
              </w:tc>
              <w:tc>
                <w:tcPr>
                  <w:tcW w:w="772" w:type="dxa"/>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固态</w:t>
                  </w:r>
                </w:p>
              </w:tc>
              <w:tc>
                <w:tcPr>
                  <w:tcW w:w="2696"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危废废物，危险品</w:t>
                  </w:r>
                </w:p>
              </w:tc>
              <w:tc>
                <w:tcPr>
                  <w:tcW w:w="1155"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矿物油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4" w:type="dxa"/>
                  <w:vMerge w:val="continue"/>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151" w:type="dxa"/>
                  <w:vMerge w:val="continue"/>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82" w:type="dxa"/>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废</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润滑</w:t>
                  </w:r>
                  <w:r>
                    <w:rPr>
                      <w:rFonts w:hint="default" w:ascii="Times New Roman" w:hAnsi="Times New Roman" w:eastAsia="宋体" w:cs="Times New Roman"/>
                      <w:color w:val="000000" w:themeColor="text1"/>
                      <w:sz w:val="21"/>
                      <w:szCs w:val="21"/>
                      <w14:textFill>
                        <w14:solidFill>
                          <w14:schemeClr w14:val="tx1"/>
                        </w14:solidFill>
                      </w14:textFill>
                    </w:rPr>
                    <w:t>油</w:t>
                  </w:r>
                </w:p>
              </w:tc>
              <w:tc>
                <w:tcPr>
                  <w:tcW w:w="772" w:type="dxa"/>
                  <w:vAlign w:val="center"/>
                </w:tcPr>
                <w:p>
                  <w:pPr>
                    <w:widowControl/>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液态</w:t>
                  </w:r>
                </w:p>
              </w:tc>
              <w:tc>
                <w:tcPr>
                  <w:tcW w:w="2696"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危废废物，危险品</w:t>
                  </w:r>
                </w:p>
              </w:tc>
              <w:tc>
                <w:tcPr>
                  <w:tcW w:w="1155"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矿物油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4" w:type="dxa"/>
                  <w:vMerge w:val="continue"/>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151" w:type="dxa"/>
                  <w:vMerge w:val="continue"/>
                  <w:vAlign w:val="center"/>
                </w:tcPr>
                <w:p>
                  <w:pPr>
                    <w:adjustRightInd w:val="0"/>
                    <w:snapToGrid w:val="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282" w:type="dxa"/>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废切削液</w:t>
                  </w:r>
                </w:p>
              </w:tc>
              <w:tc>
                <w:tcPr>
                  <w:tcW w:w="772" w:type="dxa"/>
                  <w:vAlign w:val="center"/>
                </w:tcPr>
                <w:p>
                  <w:pPr>
                    <w:widowControl/>
                    <w:jc w:val="center"/>
                    <w:rPr>
                      <w:rFonts w:hint="default" w:ascii="Times New Roman" w:hAnsi="Times New Roman" w:eastAsia="宋体" w:cs="Times New Roman"/>
                      <w:color w:val="000000" w:themeColor="text1"/>
                      <w:spacing w:val="4"/>
                      <w:sz w:val="21"/>
                      <w:szCs w:val="21"/>
                      <w14:textFill>
                        <w14:solidFill>
                          <w14:schemeClr w14:val="tx1"/>
                        </w14:solidFill>
                      </w14:textFill>
                    </w:rPr>
                  </w:pPr>
                  <w:r>
                    <w:rPr>
                      <w:rFonts w:hint="default" w:ascii="Times New Roman" w:hAnsi="Times New Roman" w:eastAsia="宋体" w:cs="Times New Roman"/>
                      <w:color w:val="000000" w:themeColor="text1"/>
                      <w:spacing w:val="4"/>
                      <w:sz w:val="21"/>
                      <w:szCs w:val="21"/>
                      <w14:textFill>
                        <w14:solidFill>
                          <w14:schemeClr w14:val="tx1"/>
                        </w14:solidFill>
                      </w14:textFill>
                    </w:rPr>
                    <w:t>固态</w:t>
                  </w:r>
                </w:p>
              </w:tc>
              <w:tc>
                <w:tcPr>
                  <w:tcW w:w="2696"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危废废物，危险品</w:t>
                  </w:r>
                </w:p>
              </w:tc>
              <w:tc>
                <w:tcPr>
                  <w:tcW w:w="1155" w:type="dxa"/>
                  <w:vAlign w:val="center"/>
                </w:tcPr>
                <w:p>
                  <w:pPr>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油泥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14" w:type="dxa"/>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3</w:t>
                  </w:r>
                </w:p>
              </w:tc>
              <w:tc>
                <w:tcPr>
                  <w:tcW w:w="1151" w:type="dxa"/>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废气</w:t>
                  </w:r>
                </w:p>
              </w:tc>
              <w:tc>
                <w:tcPr>
                  <w:tcW w:w="1282" w:type="dxa"/>
                  <w:vAlign w:val="center"/>
                </w:tcPr>
                <w:p>
                  <w:pPr>
                    <w:adjustRightInd w:val="0"/>
                    <w:snapToGrid w:val="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CO</w:t>
                  </w:r>
                </w:p>
              </w:tc>
              <w:tc>
                <w:tcPr>
                  <w:tcW w:w="772" w:type="dxa"/>
                  <w:vAlign w:val="center"/>
                </w:tcPr>
                <w:p>
                  <w:pPr>
                    <w:widowControl/>
                    <w:jc w:val="cente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pacing w:val="4"/>
                      <w:sz w:val="21"/>
                      <w:szCs w:val="21"/>
                      <w:lang w:val="en-US" w:eastAsia="zh-CN"/>
                      <w14:textFill>
                        <w14:solidFill>
                          <w14:schemeClr w14:val="tx1"/>
                        </w14:solidFill>
                      </w14:textFill>
                    </w:rPr>
                    <w:t>气态</w:t>
                  </w:r>
                </w:p>
              </w:tc>
              <w:tc>
                <w:tcPr>
                  <w:tcW w:w="2696" w:type="dxa"/>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废气</w:t>
                  </w:r>
                </w:p>
              </w:tc>
              <w:tc>
                <w:tcPr>
                  <w:tcW w:w="1155" w:type="dxa"/>
                  <w:vAlign w:val="center"/>
                </w:tcPr>
                <w:p>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CO</w:t>
                  </w:r>
                </w:p>
              </w:tc>
            </w:tr>
          </w:tbl>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6.2风险潜势初判</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计算所涉及的每种危险物质在厂界内的最大存在总量与其在《建设项目环境风险评价技术导则》（HJ/T169-2018）附录B 中对应临界量的比值Q。在不同厂区的同一种物质，按其在厂界内的最大存在总量计算。</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当只涉及一种危险物质时，计算该物质的总量与其临界量比值，即为L</w:t>
            </w:r>
            <w:r>
              <w:rPr>
                <w:rFonts w:hint="default" w:ascii="Times New Roman" w:hAnsi="Times New Roman" w:eastAsia="宋体" w:cs="Times New Roman"/>
                <w:color w:val="000000" w:themeColor="text1"/>
                <w:sz w:val="24"/>
                <w:lang w:eastAsia="zh-CN"/>
                <w14:textFill>
                  <w14:solidFill>
                    <w14:schemeClr w14:val="tx1"/>
                  </w14:solidFill>
                </w14:textFill>
              </w:rPr>
              <w:t>，</w:t>
            </w:r>
            <w:r>
              <w:rPr>
                <w:rFonts w:hint="default" w:ascii="Times New Roman" w:hAnsi="Times New Roman" w:eastAsia="宋体" w:cs="Times New Roman"/>
                <w:color w:val="000000" w:themeColor="text1"/>
                <w:sz w:val="24"/>
                <w14:textFill>
                  <w14:solidFill>
                    <w14:schemeClr w14:val="tx1"/>
                  </w14:solidFill>
                </w14:textFill>
              </w:rPr>
              <w:t>当存在多种危险物质时，则按以下公式计算物质总量与其临界量比值(Q)：</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11" w:firstLineChars="196"/>
              <w:jc w:val="center"/>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1285875" cy="428625"/>
                  <wp:effectExtent l="0" t="0" r="9525" b="9525"/>
                  <wp:docPr id="45"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00"/>
                          <pic:cNvPicPr>
                            <a:picLocks noChangeAspect="1"/>
                          </pic:cNvPicPr>
                        </pic:nvPicPr>
                        <pic:blipFill>
                          <a:blip r:embed="rId37"/>
                          <a:stretch>
                            <a:fillRect/>
                          </a:stretch>
                        </pic:blipFill>
                        <pic:spPr>
                          <a:xfrm>
                            <a:off x="0" y="0"/>
                            <a:ext cx="1285875" cy="428625"/>
                          </a:xfrm>
                          <a:prstGeom prst="rect">
                            <a:avLst/>
                          </a:prstGeom>
                          <a:noFill/>
                          <a:ln>
                            <a:noFill/>
                          </a:ln>
                        </pic:spPr>
                      </pic:pic>
                    </a:graphicData>
                  </a:graphic>
                </wp:inline>
              </w:drawing>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式中：q1，q2，...，qn——每种危险物质的最大存在总量，t；</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Q1，Q2，...，Qn——每种危险物质的临界量，t。</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当Q＜1时，该项目环境风险潜势为</w:t>
            </w:r>
            <w:r>
              <w:rPr>
                <w:rFonts w:hint="default" w:ascii="Times New Roman" w:hAnsi="Times New Roman" w:eastAsia="宋体" w:cs="Times New Roman"/>
                <w:color w:val="000000" w:themeColor="text1"/>
                <w:sz w:val="24"/>
                <w:lang w:val="en-US" w:eastAsia="zh-CN"/>
                <w14:textFill>
                  <w14:solidFill>
                    <w14:schemeClr w14:val="tx1"/>
                  </w14:solidFill>
                </w14:textFill>
              </w:rPr>
              <w:t>I</w:t>
            </w:r>
            <w:r>
              <w:rPr>
                <w:rFonts w:hint="default" w:ascii="Times New Roman" w:hAnsi="Times New Roman" w:eastAsia="宋体" w:cs="Times New Roman"/>
                <w:color w:val="000000" w:themeColor="text1"/>
                <w:sz w:val="24"/>
                <w14:textFill>
                  <w14:solidFill>
                    <w14:schemeClr w14:val="tx1"/>
                  </w14:solidFill>
                </w14:textFill>
              </w:rPr>
              <w:t>。</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当Q≥1时，将Q值划分为：（1）1≤Q＜10；（2）10≤Q＜100；（3）Q≥100。</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本项目涉及危险物质的总量与临界量对比见下表。</w:t>
            </w: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4"/>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危险物质存储及分布一览表</w:t>
            </w:r>
          </w:p>
          <w:tbl>
            <w:tblPr>
              <w:tblStyle w:val="16"/>
              <w:tblW w:w="76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0"/>
              <w:gridCol w:w="1252"/>
              <w:gridCol w:w="1732"/>
              <w:gridCol w:w="1594"/>
              <w:gridCol w:w="15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20"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szCs w:val="21"/>
                      <w:u w:val="single"/>
                      <w14:textFill>
                        <w14:solidFill>
                          <w14:schemeClr w14:val="tx1"/>
                        </w14:solidFill>
                      </w14:textFill>
                    </w:rPr>
                  </w:pPr>
                  <w:r>
                    <w:rPr>
                      <w:rFonts w:hint="default" w:ascii="Times New Roman" w:hAnsi="Times New Roman" w:eastAsia="宋体" w:cs="Times New Roman"/>
                      <w:b/>
                      <w:bCs w:val="0"/>
                      <w:color w:val="000000" w:themeColor="text1"/>
                      <w:kern w:val="0"/>
                      <w:u w:val="single"/>
                      <w14:textFill>
                        <w14:solidFill>
                          <w14:schemeClr w14:val="tx1"/>
                        </w14:solidFill>
                      </w14:textFill>
                    </w:rPr>
                    <w:t>物料名称</w:t>
                  </w:r>
                </w:p>
              </w:tc>
              <w:tc>
                <w:tcPr>
                  <w:tcW w:w="1252"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szCs w:val="21"/>
                      <w:u w:val="single"/>
                      <w14:textFill>
                        <w14:solidFill>
                          <w14:schemeClr w14:val="tx1"/>
                        </w14:solidFill>
                      </w14:textFill>
                    </w:rPr>
                  </w:pPr>
                  <w:r>
                    <w:rPr>
                      <w:rFonts w:hint="default" w:ascii="Times New Roman" w:hAnsi="Times New Roman" w:eastAsia="宋体" w:cs="Times New Roman"/>
                      <w:b/>
                      <w:bCs w:val="0"/>
                      <w:color w:val="000000" w:themeColor="text1"/>
                      <w:kern w:val="0"/>
                      <w:szCs w:val="21"/>
                      <w:u w:val="single"/>
                      <w14:textFill>
                        <w14:solidFill>
                          <w14:schemeClr w14:val="tx1"/>
                        </w14:solidFill>
                      </w14:textFill>
                    </w:rPr>
                    <w:t>CAS</w:t>
                  </w:r>
                </w:p>
              </w:tc>
              <w:tc>
                <w:tcPr>
                  <w:tcW w:w="1732"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szCs w:val="21"/>
                      <w:u w:val="single"/>
                      <w14:textFill>
                        <w14:solidFill>
                          <w14:schemeClr w14:val="tx1"/>
                        </w14:solidFill>
                      </w14:textFill>
                    </w:rPr>
                  </w:pPr>
                  <w:r>
                    <w:rPr>
                      <w:rFonts w:hint="default" w:ascii="Times New Roman" w:hAnsi="Times New Roman" w:eastAsia="宋体" w:cs="Times New Roman"/>
                      <w:b/>
                      <w:bCs w:val="0"/>
                      <w:color w:val="000000" w:themeColor="text1"/>
                      <w:kern w:val="0"/>
                      <w:u w:val="single"/>
                      <w14:textFill>
                        <w14:solidFill>
                          <w14:schemeClr w14:val="tx1"/>
                        </w14:solidFill>
                      </w14:textFill>
                    </w:rPr>
                    <w:t>最大贮存量（t）</w:t>
                  </w:r>
                </w:p>
              </w:tc>
              <w:tc>
                <w:tcPr>
                  <w:tcW w:w="1594"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szCs w:val="21"/>
                      <w:u w:val="single"/>
                      <w14:textFill>
                        <w14:solidFill>
                          <w14:schemeClr w14:val="tx1"/>
                        </w14:solidFill>
                      </w14:textFill>
                    </w:rPr>
                  </w:pPr>
                  <w:r>
                    <w:rPr>
                      <w:rFonts w:hint="default" w:ascii="Times New Roman" w:hAnsi="Times New Roman" w:eastAsia="宋体" w:cs="Times New Roman"/>
                      <w:b/>
                      <w:bCs w:val="0"/>
                      <w:color w:val="000000" w:themeColor="text1"/>
                      <w:kern w:val="0"/>
                      <w:u w:val="single"/>
                      <w14:textFill>
                        <w14:solidFill>
                          <w14:schemeClr w14:val="tx1"/>
                        </w14:solidFill>
                      </w14:textFill>
                    </w:rPr>
                    <w:t>临界量（t）</w:t>
                  </w:r>
                </w:p>
              </w:tc>
              <w:tc>
                <w:tcPr>
                  <w:tcW w:w="1572"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szCs w:val="21"/>
                      <w:u w:val="single"/>
                      <w14:textFill>
                        <w14:solidFill>
                          <w14:schemeClr w14:val="tx1"/>
                        </w14:solidFill>
                      </w14:textFill>
                    </w:rPr>
                  </w:pPr>
                  <w:r>
                    <w:rPr>
                      <w:rFonts w:hint="default" w:ascii="Times New Roman" w:hAnsi="Times New Roman" w:eastAsia="宋体" w:cs="Times New Roman"/>
                      <w:b/>
                      <w:bCs w:val="0"/>
                      <w:color w:val="000000" w:themeColor="text1"/>
                      <w:kern w:val="0"/>
                      <w:szCs w:val="21"/>
                      <w:u w:val="single"/>
                      <w14:textFill>
                        <w14:solidFill>
                          <w14:schemeClr w14:val="tx1"/>
                        </w14:solidFill>
                      </w14:textFill>
                    </w:rPr>
                    <w:t>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520"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u w:val="single"/>
                      <w14:textFill>
                        <w14:solidFill>
                          <w14:schemeClr w14:val="tx1"/>
                        </w14:solidFill>
                      </w14:textFill>
                    </w:rPr>
                  </w:pPr>
                  <w:r>
                    <w:rPr>
                      <w:rFonts w:hint="default" w:ascii="Times New Roman" w:hAnsi="Times New Roman" w:eastAsia="宋体" w:cs="Times New Roman"/>
                      <w:b/>
                      <w:bCs w:val="0"/>
                      <w:color w:val="000000" w:themeColor="text1"/>
                      <w:szCs w:val="21"/>
                      <w:u w:val="single"/>
                      <w14:textFill>
                        <w14:solidFill>
                          <w14:schemeClr w14:val="tx1"/>
                        </w14:solidFill>
                      </w14:textFill>
                    </w:rPr>
                    <w:t>甲醇</w:t>
                  </w:r>
                </w:p>
              </w:tc>
              <w:tc>
                <w:tcPr>
                  <w:tcW w:w="1252"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szCs w:val="21"/>
                      <w:u w:val="single"/>
                      <w14:textFill>
                        <w14:solidFill>
                          <w14:schemeClr w14:val="tx1"/>
                        </w14:solidFill>
                      </w14:textFill>
                    </w:rPr>
                  </w:pPr>
                  <w:r>
                    <w:rPr>
                      <w:rFonts w:hint="default" w:ascii="Times New Roman" w:hAnsi="Times New Roman" w:eastAsia="宋体" w:cs="Times New Roman"/>
                      <w:b/>
                      <w:bCs w:val="0"/>
                      <w:color w:val="000000" w:themeColor="text1"/>
                      <w:kern w:val="0"/>
                      <w:szCs w:val="21"/>
                      <w:u w:val="single"/>
                      <w14:textFill>
                        <w14:solidFill>
                          <w14:schemeClr w14:val="tx1"/>
                        </w14:solidFill>
                      </w14:textFill>
                    </w:rPr>
                    <w:t>67-56-1</w:t>
                  </w:r>
                </w:p>
              </w:tc>
              <w:tc>
                <w:tcPr>
                  <w:tcW w:w="1732"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u w:val="single"/>
                      <w:lang w:val="en-US" w:eastAsia="zh-CN"/>
                      <w14:textFill>
                        <w14:solidFill>
                          <w14:schemeClr w14:val="tx1"/>
                        </w14:solidFill>
                      </w14:textFill>
                    </w:rPr>
                  </w:pPr>
                  <w:r>
                    <w:rPr>
                      <w:rFonts w:hint="default" w:ascii="Times New Roman" w:hAnsi="Times New Roman" w:eastAsia="宋体" w:cs="Times New Roman"/>
                      <w:b/>
                      <w:bCs w:val="0"/>
                      <w:color w:val="000000" w:themeColor="text1"/>
                      <w:kern w:val="0"/>
                      <w:u w:val="single"/>
                      <w:lang w:val="en-US" w:eastAsia="zh-CN"/>
                      <w14:textFill>
                        <w14:solidFill>
                          <w14:schemeClr w14:val="tx1"/>
                        </w14:solidFill>
                      </w14:textFill>
                    </w:rPr>
                    <w:t>0.2</w:t>
                  </w:r>
                </w:p>
              </w:tc>
              <w:tc>
                <w:tcPr>
                  <w:tcW w:w="1594"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u w:val="single"/>
                      <w14:textFill>
                        <w14:solidFill>
                          <w14:schemeClr w14:val="tx1"/>
                        </w14:solidFill>
                      </w14:textFill>
                    </w:rPr>
                  </w:pPr>
                  <w:r>
                    <w:rPr>
                      <w:rFonts w:hint="default" w:ascii="Times New Roman" w:hAnsi="Times New Roman" w:eastAsia="宋体" w:cs="Times New Roman"/>
                      <w:b/>
                      <w:bCs w:val="0"/>
                      <w:color w:val="000000" w:themeColor="text1"/>
                      <w:kern w:val="0"/>
                      <w:u w:val="single"/>
                      <w14:textFill>
                        <w14:solidFill>
                          <w14:schemeClr w14:val="tx1"/>
                        </w14:solidFill>
                      </w14:textFill>
                    </w:rPr>
                    <w:t>10</w:t>
                  </w:r>
                </w:p>
              </w:tc>
              <w:tc>
                <w:tcPr>
                  <w:tcW w:w="1572"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szCs w:val="21"/>
                      <w:u w:val="single"/>
                      <w:lang w:val="en-US" w:eastAsia="zh-CN"/>
                      <w14:textFill>
                        <w14:solidFill>
                          <w14:schemeClr w14:val="tx1"/>
                        </w14:solidFill>
                      </w14:textFill>
                    </w:rPr>
                  </w:pPr>
                  <w:r>
                    <w:rPr>
                      <w:rFonts w:hint="default" w:ascii="Times New Roman" w:hAnsi="Times New Roman" w:eastAsia="宋体" w:cs="Times New Roman"/>
                      <w:b/>
                      <w:bCs w:val="0"/>
                      <w:color w:val="000000" w:themeColor="text1"/>
                      <w:kern w:val="0"/>
                      <w:szCs w:val="21"/>
                      <w:u w:val="single"/>
                      <w:lang w:val="en-US" w:eastAsia="zh-CN"/>
                      <w14:textFill>
                        <w14:solidFill>
                          <w14:schemeClr w14:val="tx1"/>
                        </w14:solidFill>
                      </w14:textFill>
                    </w:rPr>
                    <w:t>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4" w:hRule="atLeast"/>
                <w:jc w:val="center"/>
              </w:trPr>
              <w:tc>
                <w:tcPr>
                  <w:tcW w:w="1520"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u w:val="single"/>
                      <w14:textFill>
                        <w14:solidFill>
                          <w14:schemeClr w14:val="tx1"/>
                        </w14:solidFill>
                      </w14:textFill>
                    </w:rPr>
                  </w:pPr>
                  <w:r>
                    <w:rPr>
                      <w:rFonts w:hint="default" w:ascii="Times New Roman" w:hAnsi="Times New Roman" w:eastAsia="宋体" w:cs="Times New Roman"/>
                      <w:b/>
                      <w:bCs w:val="0"/>
                      <w:color w:val="000000" w:themeColor="text1"/>
                      <w:kern w:val="0"/>
                      <w:u w:val="single"/>
                      <w14:textFill>
                        <w14:solidFill>
                          <w14:schemeClr w14:val="tx1"/>
                        </w14:solidFill>
                      </w14:textFill>
                    </w:rPr>
                    <w:t>危险废物</w:t>
                  </w:r>
                </w:p>
              </w:tc>
              <w:tc>
                <w:tcPr>
                  <w:tcW w:w="1252"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szCs w:val="21"/>
                      <w:u w:val="single"/>
                      <w14:textFill>
                        <w14:solidFill>
                          <w14:schemeClr w14:val="tx1"/>
                        </w14:solidFill>
                      </w14:textFill>
                    </w:rPr>
                  </w:pPr>
                  <w:r>
                    <w:rPr>
                      <w:rFonts w:hint="default" w:ascii="Times New Roman" w:hAnsi="Times New Roman" w:eastAsia="宋体" w:cs="Times New Roman"/>
                      <w:b/>
                      <w:bCs w:val="0"/>
                      <w:color w:val="000000" w:themeColor="text1"/>
                      <w:kern w:val="0"/>
                      <w:szCs w:val="21"/>
                      <w:u w:val="single"/>
                      <w14:textFill>
                        <w14:solidFill>
                          <w14:schemeClr w14:val="tx1"/>
                        </w14:solidFill>
                      </w14:textFill>
                    </w:rPr>
                    <w:t>/</w:t>
                  </w:r>
                </w:p>
              </w:tc>
              <w:tc>
                <w:tcPr>
                  <w:tcW w:w="1732"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u w:val="single"/>
                      <w:lang w:val="en-US" w:eastAsia="zh-CN"/>
                      <w14:textFill>
                        <w14:solidFill>
                          <w14:schemeClr w14:val="tx1"/>
                        </w14:solidFill>
                      </w14:textFill>
                    </w:rPr>
                  </w:pPr>
                  <w:r>
                    <w:rPr>
                      <w:rFonts w:hint="default" w:ascii="Times New Roman" w:hAnsi="Times New Roman" w:eastAsia="宋体" w:cs="Times New Roman"/>
                      <w:b/>
                      <w:bCs w:val="0"/>
                      <w:color w:val="000000" w:themeColor="text1"/>
                      <w:kern w:val="0"/>
                      <w:u w:val="single"/>
                      <w:lang w:val="en-US" w:eastAsia="zh-CN"/>
                      <w14:textFill>
                        <w14:solidFill>
                          <w14:schemeClr w14:val="tx1"/>
                        </w14:solidFill>
                      </w14:textFill>
                    </w:rPr>
                    <w:t>0.444</w:t>
                  </w:r>
                </w:p>
              </w:tc>
              <w:tc>
                <w:tcPr>
                  <w:tcW w:w="1594"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u w:val="single"/>
                      <w14:textFill>
                        <w14:solidFill>
                          <w14:schemeClr w14:val="tx1"/>
                        </w14:solidFill>
                      </w14:textFill>
                    </w:rPr>
                  </w:pPr>
                  <w:r>
                    <w:rPr>
                      <w:rFonts w:hint="default" w:ascii="Times New Roman" w:hAnsi="Times New Roman" w:eastAsia="宋体" w:cs="Times New Roman"/>
                      <w:b/>
                      <w:bCs w:val="0"/>
                      <w:color w:val="000000" w:themeColor="text1"/>
                      <w:kern w:val="0"/>
                      <w:u w:val="single"/>
                      <w14:textFill>
                        <w14:solidFill>
                          <w14:schemeClr w14:val="tx1"/>
                        </w14:solidFill>
                      </w14:textFill>
                    </w:rPr>
                    <w:t>2500</w:t>
                  </w:r>
                </w:p>
              </w:tc>
              <w:tc>
                <w:tcPr>
                  <w:tcW w:w="1572"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szCs w:val="21"/>
                      <w:u w:val="single"/>
                      <w:lang w:val="en-US" w:eastAsia="zh-CN"/>
                      <w14:textFill>
                        <w14:solidFill>
                          <w14:schemeClr w14:val="tx1"/>
                        </w14:solidFill>
                      </w14:textFill>
                    </w:rPr>
                  </w:pPr>
                  <w:r>
                    <w:rPr>
                      <w:rFonts w:hint="default" w:ascii="Times New Roman" w:hAnsi="Times New Roman" w:eastAsia="宋体" w:cs="Times New Roman"/>
                      <w:b/>
                      <w:bCs w:val="0"/>
                      <w:color w:val="000000" w:themeColor="text1"/>
                      <w:kern w:val="0"/>
                      <w:szCs w:val="21"/>
                      <w:u w:val="single"/>
                      <w:lang w:val="en-US" w:eastAsia="zh-CN"/>
                      <w14:textFill>
                        <w14:solidFill>
                          <w14:schemeClr w14:val="tx1"/>
                        </w14:solidFill>
                      </w14:textFill>
                    </w:rPr>
                    <w:t>0.0002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1520"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u w:val="single"/>
                      <w:lang w:val="en-US" w:eastAsia="zh-CN"/>
                      <w14:textFill>
                        <w14:solidFill>
                          <w14:schemeClr w14:val="tx1"/>
                        </w14:solidFill>
                      </w14:textFill>
                    </w:rPr>
                  </w:pPr>
                  <w:r>
                    <w:rPr>
                      <w:rFonts w:hint="default" w:ascii="Times New Roman" w:hAnsi="Times New Roman" w:eastAsia="宋体" w:cs="Times New Roman"/>
                      <w:b/>
                      <w:bCs w:val="0"/>
                      <w:color w:val="000000" w:themeColor="text1"/>
                      <w:kern w:val="0"/>
                      <w:u w:val="single"/>
                      <w:lang w:val="en-US" w:eastAsia="zh-CN"/>
                      <w14:textFill>
                        <w14:solidFill>
                          <w14:schemeClr w14:val="tx1"/>
                        </w14:solidFill>
                      </w14:textFill>
                    </w:rPr>
                    <w:t>废气</w:t>
                  </w:r>
                </w:p>
              </w:tc>
              <w:tc>
                <w:tcPr>
                  <w:tcW w:w="1252"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szCs w:val="21"/>
                      <w:u w:val="single"/>
                      <w:lang w:val="en-US" w:eastAsia="zh-CN"/>
                      <w14:textFill>
                        <w14:solidFill>
                          <w14:schemeClr w14:val="tx1"/>
                        </w14:solidFill>
                      </w14:textFill>
                    </w:rPr>
                  </w:pPr>
                  <w:r>
                    <w:rPr>
                      <w:rFonts w:hint="default" w:ascii="Times New Roman" w:hAnsi="Times New Roman" w:eastAsia="宋体" w:cs="Times New Roman"/>
                      <w:b/>
                      <w:bCs w:val="0"/>
                      <w:color w:val="000000" w:themeColor="text1"/>
                      <w:kern w:val="0"/>
                      <w:szCs w:val="21"/>
                      <w:u w:val="single"/>
                      <w:lang w:val="en-US" w:eastAsia="zh-CN"/>
                      <w14:textFill>
                        <w14:solidFill>
                          <w14:schemeClr w14:val="tx1"/>
                        </w14:solidFill>
                      </w14:textFill>
                    </w:rPr>
                    <w:t>630-08-0</w:t>
                  </w:r>
                </w:p>
              </w:tc>
              <w:tc>
                <w:tcPr>
                  <w:tcW w:w="1732"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u w:val="single"/>
                      <w:lang w:val="en-US" w:eastAsia="zh-CN"/>
                      <w14:textFill>
                        <w14:solidFill>
                          <w14:schemeClr w14:val="tx1"/>
                        </w14:solidFill>
                      </w14:textFill>
                    </w:rPr>
                  </w:pPr>
                  <w:r>
                    <w:rPr>
                      <w:rFonts w:hint="default" w:ascii="Times New Roman" w:hAnsi="Times New Roman" w:eastAsia="宋体" w:cs="Times New Roman"/>
                      <w:b/>
                      <w:bCs w:val="0"/>
                      <w:color w:val="000000" w:themeColor="text1"/>
                      <w:kern w:val="0"/>
                      <w:u w:val="single"/>
                      <w:lang w:val="en-US" w:eastAsia="zh-CN"/>
                      <w14:textFill>
                        <w14:solidFill>
                          <w14:schemeClr w14:val="tx1"/>
                        </w14:solidFill>
                      </w14:textFill>
                    </w:rPr>
                    <w:t>0.000006</w:t>
                  </w:r>
                </w:p>
              </w:tc>
              <w:tc>
                <w:tcPr>
                  <w:tcW w:w="1594"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u w:val="single"/>
                      <w:lang w:val="en-US" w:eastAsia="zh-CN"/>
                      <w14:textFill>
                        <w14:solidFill>
                          <w14:schemeClr w14:val="tx1"/>
                        </w14:solidFill>
                      </w14:textFill>
                    </w:rPr>
                  </w:pPr>
                  <w:r>
                    <w:rPr>
                      <w:rFonts w:hint="default" w:ascii="Times New Roman" w:hAnsi="Times New Roman" w:eastAsia="宋体" w:cs="Times New Roman"/>
                      <w:b/>
                      <w:bCs w:val="0"/>
                      <w:color w:val="000000" w:themeColor="text1"/>
                      <w:kern w:val="0"/>
                      <w:u w:val="single"/>
                      <w:lang w:val="en-US" w:eastAsia="zh-CN"/>
                      <w14:textFill>
                        <w14:solidFill>
                          <w14:schemeClr w14:val="tx1"/>
                        </w14:solidFill>
                      </w14:textFill>
                    </w:rPr>
                    <w:t>7.5</w:t>
                  </w:r>
                </w:p>
              </w:tc>
              <w:tc>
                <w:tcPr>
                  <w:tcW w:w="1572" w:type="dxa"/>
                  <w:vAlign w:val="center"/>
                </w:tcPr>
                <w:p>
                  <w:pPr>
                    <w:spacing w:line="340" w:lineRule="exact"/>
                    <w:jc w:val="center"/>
                    <w:textAlignment w:val="baseline"/>
                    <w:rPr>
                      <w:rFonts w:hint="default" w:ascii="Times New Roman" w:hAnsi="Times New Roman" w:eastAsia="宋体" w:cs="Times New Roman"/>
                      <w:b/>
                      <w:bCs w:val="0"/>
                      <w:color w:val="000000" w:themeColor="text1"/>
                      <w:kern w:val="0"/>
                      <w:szCs w:val="21"/>
                      <w:u w:val="single"/>
                      <w:lang w:val="en-US" w:eastAsia="zh-CN"/>
                      <w14:textFill>
                        <w14:solidFill>
                          <w14:schemeClr w14:val="tx1"/>
                        </w14:solidFill>
                      </w14:textFill>
                    </w:rPr>
                  </w:pPr>
                  <w:r>
                    <w:rPr>
                      <w:rFonts w:hint="default" w:ascii="Times New Roman" w:hAnsi="Times New Roman" w:eastAsia="宋体" w:cs="Times New Roman"/>
                      <w:b/>
                      <w:bCs w:val="0"/>
                      <w:color w:val="000000" w:themeColor="text1"/>
                      <w:kern w:val="0"/>
                      <w:szCs w:val="21"/>
                      <w:u w:val="single"/>
                      <w:lang w:val="en-US" w:eastAsia="zh-CN"/>
                      <w14:textFill>
                        <w14:solidFill>
                          <w14:schemeClr w14:val="tx1"/>
                        </w14:solidFill>
                      </w14:textFill>
                    </w:rPr>
                    <w:t>0.0000008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670" w:type="dxa"/>
                  <w:gridSpan w:val="5"/>
                  <w:vAlign w:val="center"/>
                </w:tcPr>
                <w:p>
                  <w:pPr>
                    <w:spacing w:line="340" w:lineRule="exact"/>
                    <w:jc w:val="left"/>
                    <w:textAlignment w:val="baseline"/>
                    <w:rPr>
                      <w:rFonts w:hint="default" w:ascii="Times New Roman" w:hAnsi="Times New Roman" w:eastAsia="宋体" w:cs="Times New Roman"/>
                      <w:b/>
                      <w:bCs w:val="0"/>
                      <w:color w:val="000000" w:themeColor="text1"/>
                      <w:kern w:val="0"/>
                      <w:szCs w:val="21"/>
                      <w:u w:val="single"/>
                      <w14:textFill>
                        <w14:solidFill>
                          <w14:schemeClr w14:val="tx1"/>
                        </w14:solidFill>
                      </w14:textFill>
                    </w:rPr>
                  </w:pPr>
                  <w:r>
                    <w:rPr>
                      <w:rFonts w:hint="default" w:ascii="Times New Roman" w:hAnsi="Times New Roman" w:eastAsia="宋体" w:cs="Times New Roman"/>
                      <w:b/>
                      <w:bCs w:val="0"/>
                      <w:color w:val="000000" w:themeColor="text1"/>
                      <w:szCs w:val="21"/>
                      <w:u w:val="single"/>
                      <w14:textFill>
                        <w14:solidFill>
                          <w14:schemeClr w14:val="tx1"/>
                        </w14:solidFill>
                      </w14:textFill>
                    </w:rPr>
                    <w:t>备注：*项目危险废物均为含油废物，其临界量参照油类物质。</w:t>
                  </w:r>
                </w:p>
              </w:tc>
            </w:tr>
          </w:tbl>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14:textFill>
                  <w14:solidFill>
                    <w14:schemeClr w14:val="tx1"/>
                  </w14:solidFill>
                </w14:textFill>
              </w:rPr>
              <w:t>本项目危险物质与危险物质与临界量比值小于1，仅需对环境风险进行简单分析</w:t>
            </w:r>
            <w:r>
              <w:rPr>
                <w:rFonts w:hint="default" w:ascii="Times New Roman" w:hAnsi="Times New Roman" w:eastAsia="宋体" w:cs="Times New Roman"/>
                <w:color w:val="000000" w:themeColor="text1"/>
                <w:sz w:val="24"/>
                <w:lang w:eastAsia="zh-CN"/>
                <w14:textFill>
                  <w14:solidFill>
                    <w14:schemeClr w14:val="tx1"/>
                  </w14:solidFill>
                </w14:textFill>
              </w:rPr>
              <w:t>。</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6.3环境风险识别</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u w:val="single"/>
                <w:lang w:eastAsia="zh-CN"/>
                <w14:textFill>
                  <w14:solidFill>
                    <w14:schemeClr w14:val="tx1"/>
                  </w14:solidFill>
                </w14:textFill>
              </w:rPr>
            </w:pPr>
            <w:r>
              <w:rPr>
                <w:rFonts w:hint="default" w:ascii="Times New Roman" w:hAnsi="Times New Roman" w:eastAsia="宋体" w:cs="Times New Roman"/>
                <w:b/>
                <w:bCs/>
                <w:color w:val="000000" w:themeColor="text1"/>
                <w:sz w:val="24"/>
                <w:u w:val="single"/>
                <w:lang w:eastAsia="zh-CN"/>
                <w14:textFill>
                  <w14:solidFill>
                    <w14:schemeClr w14:val="tx1"/>
                  </w14:solidFill>
                </w14:textFill>
              </w:rPr>
              <w:t>①风险物质识别</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u w:val="single"/>
                <w:lang w:eastAsia="zh-CN"/>
                <w14:textFill>
                  <w14:solidFill>
                    <w14:schemeClr w14:val="tx1"/>
                  </w14:solidFill>
                </w14:textFill>
              </w:rPr>
            </w:pPr>
            <w:r>
              <w:rPr>
                <w:rFonts w:hint="default" w:ascii="Times New Roman" w:hAnsi="Times New Roman" w:eastAsia="宋体" w:cs="Times New Roman"/>
                <w:b/>
                <w:bCs/>
                <w:color w:val="000000" w:themeColor="text1"/>
                <w:sz w:val="24"/>
                <w:u w:val="single"/>
                <w:lang w:eastAsia="zh-CN"/>
                <w14:textFill>
                  <w14:solidFill>
                    <w14:schemeClr w14:val="tx1"/>
                  </w14:solidFill>
                </w14:textFill>
              </w:rPr>
              <w:t>对照《建设项目环境风险评价技术导则》（HJ169-2018）附录B 以及《危险化学品重大危险源辨识》（GB18218-2018）进行物质危险性判定，本项目涉及的主要风险物品为甲醇及危险废物。</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u w:val="single"/>
                <w:lang w:eastAsia="zh-CN"/>
                <w14:textFill>
                  <w14:solidFill>
                    <w14:schemeClr w14:val="tx1"/>
                  </w14:solidFill>
                </w14:textFill>
              </w:rPr>
            </w:pPr>
            <w:r>
              <w:rPr>
                <w:rFonts w:hint="default" w:ascii="Times New Roman" w:hAnsi="Times New Roman" w:eastAsia="宋体" w:cs="Times New Roman"/>
                <w:b/>
                <w:bCs/>
                <w:color w:val="000000" w:themeColor="text1"/>
                <w:sz w:val="24"/>
                <w:u w:val="single"/>
                <w:lang w:eastAsia="zh-CN"/>
                <w14:textFill>
                  <w14:solidFill>
                    <w14:schemeClr w14:val="tx1"/>
                  </w14:solidFill>
                </w14:textFill>
              </w:rPr>
              <w:t>②生产系统风险识别</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u w:val="single"/>
                <w:lang w:eastAsia="zh-CN"/>
                <w14:textFill>
                  <w14:solidFill>
                    <w14:schemeClr w14:val="tx1"/>
                  </w14:solidFill>
                </w14:textFill>
              </w:rPr>
            </w:pPr>
            <w:r>
              <w:rPr>
                <w:rFonts w:hint="default" w:ascii="Times New Roman" w:hAnsi="Times New Roman" w:eastAsia="宋体" w:cs="Times New Roman"/>
                <w:b/>
                <w:bCs/>
                <w:color w:val="000000" w:themeColor="text1"/>
                <w:sz w:val="24"/>
                <w:u w:val="single"/>
                <w:lang w:eastAsia="zh-CN"/>
                <w14:textFill>
                  <w14:solidFill>
                    <w14:schemeClr w14:val="tx1"/>
                  </w14:solidFill>
                </w14:textFill>
              </w:rPr>
              <w:t>根据工艺流程和厂区平面布局，项目涉及危险单元主要包括</w:t>
            </w:r>
            <w:r>
              <w:rPr>
                <w:rFonts w:hint="default" w:ascii="Times New Roman" w:hAnsi="Times New Roman" w:eastAsia="宋体" w:cs="Times New Roman"/>
                <w:b/>
                <w:bCs/>
                <w:color w:val="000000" w:themeColor="text1"/>
                <w:sz w:val="24"/>
                <w:u w:val="single"/>
                <w:lang w:val="en-US" w:eastAsia="zh-CN"/>
                <w14:textFill>
                  <w14:solidFill>
                    <w14:schemeClr w14:val="tx1"/>
                  </w14:solidFill>
                </w14:textFill>
              </w:rPr>
              <w:t>原料</w:t>
            </w:r>
            <w:r>
              <w:rPr>
                <w:rFonts w:hint="default" w:ascii="Times New Roman" w:hAnsi="Times New Roman" w:eastAsia="宋体" w:cs="Times New Roman"/>
                <w:b/>
                <w:bCs/>
                <w:color w:val="000000" w:themeColor="text1"/>
                <w:sz w:val="24"/>
                <w:u w:val="single"/>
                <w:lang w:eastAsia="zh-CN"/>
                <w14:textFill>
                  <w14:solidFill>
                    <w14:schemeClr w14:val="tx1"/>
                  </w14:solidFill>
                </w14:textFill>
              </w:rPr>
              <w:t>库、危废暂存间等。</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u w:val="single"/>
                <w:lang w:eastAsia="zh-CN"/>
                <w14:textFill>
                  <w14:solidFill>
                    <w14:schemeClr w14:val="tx1"/>
                  </w14:solidFill>
                </w14:textFill>
              </w:rPr>
            </w:pPr>
            <w:r>
              <w:rPr>
                <w:rFonts w:hint="default" w:ascii="Times New Roman" w:hAnsi="Times New Roman" w:eastAsia="宋体" w:cs="Times New Roman"/>
                <w:b/>
                <w:bCs/>
                <w:color w:val="000000" w:themeColor="text1"/>
                <w:sz w:val="24"/>
                <w:u w:val="single"/>
                <w:lang w:eastAsia="zh-CN"/>
                <w14:textFill>
                  <w14:solidFill>
                    <w14:schemeClr w14:val="tx1"/>
                  </w14:solidFill>
                </w14:textFill>
              </w:rPr>
              <w:t>③影响途径风险识别</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u w:val="single"/>
                <w:lang w:eastAsia="zh-CN"/>
                <w14:textFill>
                  <w14:solidFill>
                    <w14:schemeClr w14:val="tx1"/>
                  </w14:solidFill>
                </w14:textFill>
              </w:rPr>
            </w:pPr>
            <w:r>
              <w:rPr>
                <w:rFonts w:hint="default" w:ascii="Times New Roman" w:hAnsi="Times New Roman" w:eastAsia="宋体" w:cs="Times New Roman"/>
                <w:b/>
                <w:bCs/>
                <w:color w:val="000000" w:themeColor="text1"/>
                <w:sz w:val="24"/>
                <w:u w:val="single"/>
                <w:lang w:eastAsia="zh-CN"/>
                <w14:textFill>
                  <w14:solidFill>
                    <w14:schemeClr w14:val="tx1"/>
                  </w14:solidFill>
                </w14:textFill>
              </w:rPr>
              <w:t>本项目影响途径风险识别主要有以下几种：</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u w:val="single"/>
                <w:lang w:eastAsia="zh-CN"/>
                <w14:textFill>
                  <w14:solidFill>
                    <w14:schemeClr w14:val="tx1"/>
                  </w14:solidFill>
                </w14:textFill>
              </w:rPr>
            </w:pPr>
            <w:r>
              <w:rPr>
                <w:rFonts w:hint="default" w:ascii="Times New Roman" w:hAnsi="Times New Roman" w:eastAsia="宋体" w:cs="Times New Roman"/>
                <w:b/>
                <w:bCs/>
                <w:color w:val="000000" w:themeColor="text1"/>
                <w:sz w:val="24"/>
                <w:u w:val="single"/>
                <w:lang w:eastAsia="zh-CN"/>
                <w14:textFill>
                  <w14:solidFill>
                    <w14:schemeClr w14:val="tx1"/>
                  </w14:solidFill>
                </w14:textFill>
              </w:rPr>
              <w:t>A、</w:t>
            </w:r>
            <w:r>
              <w:rPr>
                <w:rFonts w:hint="default" w:ascii="Times New Roman" w:hAnsi="Times New Roman" w:eastAsia="宋体" w:cs="Times New Roman"/>
                <w:b/>
                <w:bCs/>
                <w:color w:val="000000" w:themeColor="text1"/>
                <w:sz w:val="24"/>
                <w:u w:val="single"/>
                <w:lang w:val="en-US" w:eastAsia="zh-CN"/>
                <w14:textFill>
                  <w14:solidFill>
                    <w14:schemeClr w14:val="tx1"/>
                  </w14:solidFill>
                </w14:textFill>
              </w:rPr>
              <w:t>原料</w:t>
            </w:r>
            <w:r>
              <w:rPr>
                <w:rFonts w:hint="default" w:ascii="Times New Roman" w:hAnsi="Times New Roman" w:eastAsia="宋体" w:cs="Times New Roman"/>
                <w:b/>
                <w:bCs/>
                <w:color w:val="000000" w:themeColor="text1"/>
                <w:sz w:val="24"/>
                <w:u w:val="single"/>
                <w:lang w:eastAsia="zh-CN"/>
                <w14:textFill>
                  <w14:solidFill>
                    <w14:schemeClr w14:val="tx1"/>
                  </w14:solidFill>
                </w14:textFill>
              </w:rPr>
              <w:t>库</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u w:val="single"/>
                <w:lang w:eastAsia="zh-CN"/>
                <w14:textFill>
                  <w14:solidFill>
                    <w14:schemeClr w14:val="tx1"/>
                  </w14:solidFill>
                </w14:textFill>
              </w:rPr>
            </w:pPr>
            <w:r>
              <w:rPr>
                <w:rFonts w:hint="default" w:ascii="Times New Roman" w:hAnsi="Times New Roman" w:eastAsia="宋体" w:cs="Times New Roman"/>
                <w:b/>
                <w:bCs/>
                <w:color w:val="000000" w:themeColor="text1"/>
                <w:sz w:val="24"/>
                <w:u w:val="single"/>
                <w:lang w:eastAsia="zh-CN"/>
                <w14:textFill>
                  <w14:solidFill>
                    <w14:schemeClr w14:val="tx1"/>
                  </w14:solidFill>
                </w14:textFill>
              </w:rPr>
              <w:t>本项目甲醇贮存在</w:t>
            </w:r>
            <w:r>
              <w:rPr>
                <w:rFonts w:hint="default" w:ascii="Times New Roman" w:hAnsi="Times New Roman" w:eastAsia="宋体" w:cs="Times New Roman"/>
                <w:b/>
                <w:bCs/>
                <w:color w:val="000000" w:themeColor="text1"/>
                <w:sz w:val="24"/>
                <w:u w:val="single"/>
                <w:lang w:val="en-US" w:eastAsia="zh-CN"/>
                <w14:textFill>
                  <w14:solidFill>
                    <w14:schemeClr w14:val="tx1"/>
                  </w14:solidFill>
                </w14:textFill>
              </w:rPr>
              <w:t>原料</w:t>
            </w:r>
            <w:r>
              <w:rPr>
                <w:rFonts w:hint="default" w:ascii="Times New Roman" w:hAnsi="Times New Roman" w:eastAsia="宋体" w:cs="Times New Roman"/>
                <w:b/>
                <w:bCs/>
                <w:color w:val="000000" w:themeColor="text1"/>
                <w:sz w:val="24"/>
                <w:u w:val="single"/>
                <w:lang w:eastAsia="zh-CN"/>
                <w14:textFill>
                  <w14:solidFill>
                    <w14:schemeClr w14:val="tx1"/>
                  </w14:solidFill>
                </w14:textFill>
              </w:rPr>
              <w:t>库，上述物质在卸货、贮存过程中存在因管理、操作、保护不当或因设计不合理，腐蚀导致泄漏的风险，从而带来伴生或者次生危险。</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u w:val="single"/>
                <w:lang w:eastAsia="zh-CN"/>
                <w14:textFill>
                  <w14:solidFill>
                    <w14:schemeClr w14:val="tx1"/>
                  </w14:solidFill>
                </w14:textFill>
              </w:rPr>
            </w:pPr>
            <w:r>
              <w:rPr>
                <w:rFonts w:hint="default" w:ascii="Times New Roman" w:hAnsi="Times New Roman" w:eastAsia="宋体" w:cs="Times New Roman"/>
                <w:b/>
                <w:bCs/>
                <w:color w:val="000000" w:themeColor="text1"/>
                <w:sz w:val="24"/>
                <w:u w:val="single"/>
                <w:lang w:eastAsia="zh-CN"/>
                <w14:textFill>
                  <w14:solidFill>
                    <w14:schemeClr w14:val="tx1"/>
                  </w14:solidFill>
                </w14:textFill>
              </w:rPr>
              <w:t>B、危险废物暂存场所</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u w:val="single"/>
                <w:lang w:eastAsia="zh-CN"/>
                <w14:textFill>
                  <w14:solidFill>
                    <w14:schemeClr w14:val="tx1"/>
                  </w14:solidFill>
                </w14:textFill>
              </w:rPr>
            </w:pPr>
            <w:r>
              <w:rPr>
                <w:rFonts w:hint="default" w:ascii="Times New Roman" w:hAnsi="Times New Roman" w:eastAsia="宋体" w:cs="Times New Roman"/>
                <w:b/>
                <w:bCs/>
                <w:color w:val="000000" w:themeColor="text1"/>
                <w:sz w:val="24"/>
                <w:u w:val="single"/>
                <w:lang w:eastAsia="zh-CN"/>
                <w14:textFill>
                  <w14:solidFill>
                    <w14:schemeClr w14:val="tx1"/>
                  </w14:solidFill>
                </w14:textFill>
              </w:rPr>
              <w:t>危险废物暂存场所管理不善，导致无组织流散，造成的地表水、地下水及土壤环境污染事故。</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u w:val="single"/>
                <w:lang w:eastAsia="zh-CN"/>
                <w14:textFill>
                  <w14:solidFill>
                    <w14:schemeClr w14:val="tx1"/>
                  </w14:solidFill>
                </w14:textFill>
              </w:rPr>
            </w:pPr>
            <w:r>
              <w:rPr>
                <w:rFonts w:hint="default" w:ascii="Times New Roman" w:hAnsi="Times New Roman" w:eastAsia="宋体" w:cs="Times New Roman"/>
                <w:b/>
                <w:bCs/>
                <w:color w:val="000000" w:themeColor="text1"/>
                <w:sz w:val="24"/>
                <w:u w:val="single"/>
                <w:lang w:val="en-US" w:eastAsia="zh-CN"/>
                <w14:textFill>
                  <w14:solidFill>
                    <w14:schemeClr w14:val="tx1"/>
                  </w14:solidFill>
                </w14:textFill>
              </w:rPr>
              <w:t>C</w:t>
            </w:r>
            <w:r>
              <w:rPr>
                <w:rFonts w:hint="default" w:ascii="Times New Roman" w:hAnsi="Times New Roman" w:eastAsia="宋体" w:cs="Times New Roman"/>
                <w:b/>
                <w:bCs/>
                <w:color w:val="000000" w:themeColor="text1"/>
                <w:sz w:val="24"/>
                <w:u w:val="single"/>
                <w:lang w:eastAsia="zh-CN"/>
                <w14:textFill>
                  <w14:solidFill>
                    <w14:schemeClr w14:val="tx1"/>
                  </w14:solidFill>
                </w14:textFill>
              </w:rPr>
              <w:t>、废气处理设施故障</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u w:val="single"/>
                <w:lang w:eastAsia="zh-CN"/>
                <w14:textFill>
                  <w14:solidFill>
                    <w14:schemeClr w14:val="tx1"/>
                  </w14:solidFill>
                </w14:textFill>
              </w:rPr>
            </w:pPr>
            <w:r>
              <w:rPr>
                <w:rFonts w:hint="default" w:ascii="Times New Roman" w:hAnsi="Times New Roman" w:eastAsia="宋体" w:cs="Times New Roman"/>
                <w:b/>
                <w:bCs/>
                <w:color w:val="000000" w:themeColor="text1"/>
                <w:sz w:val="24"/>
                <w:u w:val="single"/>
                <w:lang w:eastAsia="zh-CN"/>
                <w14:textFill>
                  <w14:solidFill>
                    <w14:schemeClr w14:val="tx1"/>
                  </w14:solidFill>
                </w14:textFill>
              </w:rPr>
              <w:t>废气处理设施发生故障，部分废气未经处理直接排放，会出现污染物排放浓度超标，影响周边环境空气质量。</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6.4环境风险分析</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t>①泄漏事故风险影响分析</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t>项目生产过程中使用的甲醇泄漏及火灾的风险，且遇明火、高热能引起燃烧。燃烧产物一般主要为CO</w:t>
            </w:r>
            <w:r>
              <w:rPr>
                <w:rFonts w:hint="default" w:ascii="Times New Roman" w:hAnsi="Times New Roman" w:eastAsia="宋体" w:cs="Times New Roman"/>
                <w:b w:val="0"/>
                <w:bCs w:val="0"/>
                <w:color w:val="000000" w:themeColor="text1"/>
                <w:sz w:val="24"/>
                <w:vertAlign w:val="subscript"/>
                <w:lang w:val="en-US" w:eastAsia="zh-CN"/>
                <w14:textFill>
                  <w14:solidFill>
                    <w14:schemeClr w14:val="tx1"/>
                  </w14:solidFill>
                </w14:textFill>
              </w:rPr>
              <w:t>2</w:t>
            </w:r>
            <w:r>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t>、CO等，燃烧产物特别是烟雾也会对周围人员造成危害。烟雾中含有大量的CO等有毒气体，能使人窒息死亡，同时烟雾刺激眼睛，造成人员伤害。因此，建设单位应重视使用危险物品的安全措施；对各类原料的包装须定期进行检查，一旦发现有老化、破损现象须及时更换包装，杜绝风险事故的发生。</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t>②危险废物暂存、转移事故影响分析</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t>本项目产生的危险废物，若处置不当，如露天堆放，危险废物极易受雨水淋溶而渗入土壤，产生二次污染。同时，在危险废物转移过程中，如包装发生破裂等原因导致危险废物遗失于环境中，则可能造成附近水体或土壤污染。因此，厂区内危险废物贮存场所应按照规定做好防风、防雨、防晒、防渗漏措施，各类危险废物平时收集后妥善贮存于危废贮存场所，定期委托有资质单位处置。</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t>③废气处理设施故障影响分析</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lang w:val="en-US" w:eastAsia="zh-CN"/>
                <w14:textFill>
                  <w14:solidFill>
                    <w14:schemeClr w14:val="tx1"/>
                  </w14:solidFill>
                </w14:textFill>
              </w:rPr>
              <w:t>如果废气处理设施发生故障，部分废气未经处理直接排放，会导致污染物排放浓度超标，严重影响周边环境空气质量。事故排放持续时间通常为1小时以内，随着废气处理设施故障的排除，其影响也随之消失，此类事故一旦发生应尽快找出原因，启动应急预案，尽量减少对周围环境的影响，将非正常排放的影响降至最低。</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default" w:ascii="Times New Roman" w:hAnsi="Times New Roman" w:eastAsia="宋体" w:cs="Times New Roman"/>
                <w:b/>
                <w:bCs/>
                <w:color w:val="000000" w:themeColor="text1"/>
                <w:sz w:val="24"/>
                <w:lang w:val="en-US" w:eastAsia="zh-CN"/>
                <w14:textFill>
                  <w14:solidFill>
                    <w14:schemeClr w14:val="tx1"/>
                  </w14:solidFill>
                </w14:textFill>
              </w:rPr>
              <w:t>6.5风险防范措施</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①强化风险意识、加强安全管理</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安全生产是企业立厂之本，因此首先一定要强化风险意识，加强安全管理，具体要求如下：</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必须将“安全第一，预防为主”作为公司经营的基本原则。必须进行广泛系统的培训，使所有操作人员熟悉自己的岗位，树立严谨规范的操作作风，并且在任何紧急状况下都能随时对工艺装置进行控制，并及时、独立、正确地实施相关应急措施。设立安全生产领导小组，形成领导负总责，全公司参与的管理模式。按《劳动法》有关规定，为职工提供劳动安全条件和劳动防护用品。</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②贮存过程风险防范</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原料设置专门的</w:t>
            </w:r>
            <w:r>
              <w:rPr>
                <w:rFonts w:hint="default" w:ascii="Times New Roman" w:hAnsi="Times New Roman" w:eastAsia="宋体" w:cs="Times New Roman"/>
                <w:color w:val="000000" w:themeColor="text1"/>
                <w:sz w:val="24"/>
                <w:lang w:val="en-US" w:eastAsia="zh-CN"/>
                <w14:textFill>
                  <w14:solidFill>
                    <w14:schemeClr w14:val="tx1"/>
                  </w14:solidFill>
                </w14:textFill>
              </w:rPr>
              <w:t>原料</w:t>
            </w:r>
            <w:r>
              <w:rPr>
                <w:rFonts w:hint="default" w:ascii="Times New Roman" w:hAnsi="Times New Roman" w:eastAsia="宋体" w:cs="Times New Roman"/>
                <w:color w:val="000000" w:themeColor="text1"/>
                <w:sz w:val="24"/>
                <w:lang w:eastAsia="zh-CN"/>
                <w14:textFill>
                  <w14:solidFill>
                    <w14:schemeClr w14:val="tx1"/>
                  </w14:solidFill>
                </w14:textFill>
              </w:rPr>
              <w:t>库并定期检查，危废设置专门的暂存场所，针对危废类别选用合适的包装容器，危废暂存前需检查包装容器的完整性，严禁将危废暂存于破损的包装容器内，以免物料泄露污染周围环境，同时对危废暂存区域进行定期检查，以便及时发现泄露事故并进行处理。</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③生产过程风险防范</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生产过程事故风险防范是安全生产的核心，要严格采取措施加以防范，尽可能降低事故概率。必须组织专门人员每天每班多次进行周期性巡回检査，有跑冒滴漏或其他异常现象的应及时检修，必要时按照“生产服从安全”原则停车检修，严禁带病或不正常运转。与维修保养，防祸于未然。必须组织专门人员每天每班多次进行周期性巡回检查，发现异常现象的应及时检修，必要时按照“生产服从安全”原则停车检修，严禁带病或不正常。</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④末端处置风险防范措施</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lang w:eastAsia="zh-CN"/>
                <w14:textFill>
                  <w14:solidFill>
                    <w14:schemeClr w14:val="tx1"/>
                  </w14:solidFill>
                </w14:textFill>
              </w:rPr>
            </w:pPr>
            <w:r>
              <w:rPr>
                <w:rFonts w:hint="default" w:ascii="Times New Roman" w:hAnsi="Times New Roman" w:eastAsia="宋体" w:cs="Times New Roman"/>
                <w:b/>
                <w:bCs/>
                <w:color w:val="000000" w:themeColor="text1"/>
                <w:sz w:val="24"/>
                <w:lang w:eastAsia="zh-CN"/>
                <w14:textFill>
                  <w14:solidFill>
                    <w14:schemeClr w14:val="tx1"/>
                  </w14:solidFill>
                </w14:textFill>
              </w:rPr>
              <w:t>危险暂存间</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加强对危废储存场所的管理，危险废物贮存场所外要设置危险废物警示标志，危险废物容器和包装物上要设置危险废物标签。危险废物应当委托具有相应危险废物经营资质的单位利用处置，严格执行危险废物转移计划审批和转移联单制度。 危险废物存贮设施底部必须高于地下水最高水位，设施地面与裙脚要用坚固、防渗的材料建造，地面必须硬化、耐腐蚀，且表面无裂缝，贮存设施周围应设置围墙或其它防护栅栏，并防风、防雨、防晒、防漏，做好危险废物的入库、存放、出库记录，不得随意堆置，委托资质单位处置等。</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2" w:firstLineChars="196"/>
              <w:textAlignment w:val="auto"/>
              <w:rPr>
                <w:rFonts w:hint="default" w:ascii="Times New Roman" w:hAnsi="Times New Roman" w:eastAsia="宋体" w:cs="Times New Roman"/>
                <w:b/>
                <w:bCs/>
                <w:color w:val="000000" w:themeColor="text1"/>
                <w:sz w:val="24"/>
                <w:lang w:eastAsia="zh-CN"/>
                <w14:textFill>
                  <w14:solidFill>
                    <w14:schemeClr w14:val="tx1"/>
                  </w14:solidFill>
                </w14:textFill>
              </w:rPr>
            </w:pPr>
            <w:r>
              <w:rPr>
                <w:rFonts w:hint="default" w:ascii="Times New Roman" w:hAnsi="Times New Roman" w:eastAsia="宋体" w:cs="Times New Roman"/>
                <w:b/>
                <w:bCs/>
                <w:color w:val="000000" w:themeColor="text1"/>
                <w:sz w:val="24"/>
                <w:lang w:eastAsia="zh-CN"/>
                <w14:textFill>
                  <w14:solidFill>
                    <w14:schemeClr w14:val="tx1"/>
                  </w14:solidFill>
                </w14:textFill>
              </w:rPr>
              <w:t>废气处理设施</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应定期检查废气处理装置的有效性，保证处理效率，确保废气处理能够达标排放。末端治理措施必须确保日常运行，如发现人为原因不开启治理措施，责任人应受行政和经济处罚，并承担事故排放责任。若末端治理措施因故不能运行，则生产必须停止。</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⑤突发环境事故应急预案</w:t>
            </w:r>
          </w:p>
          <w:p>
            <w:pPr>
              <w:keepNext w:val="0"/>
              <w:keepLines w:val="0"/>
              <w:pageBreakBefore w:val="0"/>
              <w:widowControl w:val="0"/>
              <w:tabs>
                <w:tab w:val="left" w:pos="3060"/>
              </w:tabs>
              <w:kinsoku/>
              <w:wordWrap/>
              <w:overflowPunct/>
              <w:topLinePunct w:val="0"/>
              <w:autoSpaceDE/>
              <w:autoSpaceDN/>
              <w:bidi w:val="0"/>
              <w:adjustRightInd/>
              <w:snapToGrid/>
              <w:spacing w:line="360" w:lineRule="auto"/>
              <w:ind w:left="0" w:firstLine="470" w:firstLineChars="196"/>
              <w:textAlignment w:val="auto"/>
              <w:rPr>
                <w:rFonts w:hint="default" w:ascii="Times New Roman" w:hAnsi="Times New Roman" w:eastAsia="宋体" w:cs="Times New Roman"/>
                <w:color w:val="000000" w:themeColor="text1"/>
                <w:sz w:val="24"/>
                <w:lang w:eastAsia="zh-CN"/>
                <w14:textFill>
                  <w14:solidFill>
                    <w14:schemeClr w14:val="tx1"/>
                  </w14:solidFill>
                </w14:textFill>
              </w:rPr>
            </w:pPr>
            <w:r>
              <w:rPr>
                <w:rFonts w:hint="default" w:ascii="Times New Roman" w:hAnsi="Times New Roman" w:eastAsia="宋体" w:cs="Times New Roman"/>
                <w:color w:val="000000" w:themeColor="text1"/>
                <w:sz w:val="24"/>
                <w:lang w:eastAsia="zh-CN"/>
                <w14:textFill>
                  <w14:solidFill>
                    <w14:schemeClr w14:val="tx1"/>
                  </w14:solidFill>
                </w14:textFill>
              </w:rPr>
              <w:t>根据《突发环境事件应急管理办法》（环境保护部 部令第34号）要求，企业事业单位应当按照国务院环境保护主管部门的规定，在开展突发环境事件风险评估和应急资源调查的基础上制定突发环境事件应急预案，并按照分类分级管理的原则，报区级以上环境保护主管部门备案，并与园区及园区企业建立应急联动。</w:t>
            </w: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4"/>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项目环境风险简单分析表</w:t>
            </w:r>
          </w:p>
          <w:tbl>
            <w:tblPr>
              <w:tblStyle w:val="16"/>
              <w:tblW w:w="767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22"/>
              <w:gridCol w:w="62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2" w:type="dxa"/>
                  <w:vAlign w:val="center"/>
                </w:tcPr>
                <w:p>
                  <w:pPr>
                    <w:pStyle w:val="49"/>
                    <w:spacing w:line="240" w:lineRule="auto"/>
                    <w:rPr>
                      <w:rFonts w:hint="default" w:ascii="Times New Roman" w:hAnsi="Times New Roman" w:eastAsia="宋体" w:cs="Times New Roman"/>
                      <w:color w:val="000000" w:themeColor="text1"/>
                      <w:sz w:val="21"/>
                      <w:highlight w:val="none"/>
                      <w14:textFill>
                        <w14:solidFill>
                          <w14:schemeClr w14:val="tx1"/>
                        </w14:solidFill>
                      </w14:textFill>
                    </w:rPr>
                  </w:pPr>
                  <w:r>
                    <w:rPr>
                      <w:rFonts w:hint="default" w:ascii="Times New Roman" w:hAnsi="Times New Roman" w:eastAsia="宋体" w:cs="Times New Roman"/>
                      <w:color w:val="000000" w:themeColor="text1"/>
                      <w:sz w:val="21"/>
                      <w:highlight w:val="none"/>
                      <w14:textFill>
                        <w14:solidFill>
                          <w14:schemeClr w14:val="tx1"/>
                        </w14:solidFill>
                      </w14:textFill>
                    </w:rPr>
                    <w:t>建设项目名称</w:t>
                  </w:r>
                </w:p>
              </w:tc>
              <w:tc>
                <w:tcPr>
                  <w:tcW w:w="6248" w:type="dxa"/>
                  <w:vAlign w:val="center"/>
                </w:tcPr>
                <w:p>
                  <w:pPr>
                    <w:pStyle w:val="49"/>
                    <w:spacing w:line="240" w:lineRule="auto"/>
                    <w:rPr>
                      <w:rFonts w:hint="default" w:ascii="Times New Roman" w:hAnsi="Times New Roman" w:eastAsia="宋体" w:cs="Times New Roman"/>
                      <w:color w:val="000000" w:themeColor="text1"/>
                      <w:sz w:val="21"/>
                      <w:highlight w:val="none"/>
                      <w:lang w:eastAsia="zh-CN"/>
                      <w14:textFill>
                        <w14:solidFill>
                          <w14:schemeClr w14:val="tx1"/>
                        </w14:solidFill>
                      </w14:textFill>
                    </w:rPr>
                  </w:pPr>
                  <w:r>
                    <w:rPr>
                      <w:rFonts w:hint="default" w:ascii="Times New Roman" w:hAnsi="Times New Roman" w:eastAsia="宋体" w:cs="Times New Roman"/>
                      <w:color w:val="000000" w:themeColor="text1"/>
                      <w:sz w:val="21"/>
                      <w:highlight w:val="none"/>
                      <w:lang w:eastAsia="zh-CN"/>
                      <w14:textFill>
                        <w14:solidFill>
                          <w14:schemeClr w14:val="tx1"/>
                        </w14:solidFill>
                      </w14:textFill>
                    </w:rPr>
                    <w:t>国胜机械内燃机滤芯及钻采配件项目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2" w:type="dxa"/>
                  <w:vAlign w:val="center"/>
                </w:tcPr>
                <w:p>
                  <w:pPr>
                    <w:pStyle w:val="49"/>
                    <w:spacing w:line="240" w:lineRule="auto"/>
                    <w:rPr>
                      <w:rFonts w:hint="default" w:ascii="Times New Roman" w:hAnsi="Times New Roman" w:eastAsia="宋体" w:cs="Times New Roman"/>
                      <w:color w:val="000000" w:themeColor="text1"/>
                      <w:sz w:val="21"/>
                      <w:highlight w:val="none"/>
                      <w14:textFill>
                        <w14:solidFill>
                          <w14:schemeClr w14:val="tx1"/>
                        </w14:solidFill>
                      </w14:textFill>
                    </w:rPr>
                  </w:pPr>
                  <w:r>
                    <w:rPr>
                      <w:rFonts w:hint="default" w:ascii="Times New Roman" w:hAnsi="Times New Roman" w:eastAsia="宋体" w:cs="Times New Roman"/>
                      <w:color w:val="000000" w:themeColor="text1"/>
                      <w:sz w:val="21"/>
                      <w:highlight w:val="none"/>
                      <w14:textFill>
                        <w14:solidFill>
                          <w14:schemeClr w14:val="tx1"/>
                        </w14:solidFill>
                      </w14:textFill>
                    </w:rPr>
                    <w:t>建设地点</w:t>
                  </w:r>
                </w:p>
              </w:tc>
              <w:tc>
                <w:tcPr>
                  <w:tcW w:w="6248" w:type="dxa"/>
                  <w:vAlign w:val="center"/>
                </w:tcPr>
                <w:p>
                  <w:pPr>
                    <w:jc w:val="center"/>
                    <w:rPr>
                      <w:rFonts w:hint="default"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eastAsia="宋体" w:cs="Times New Roman"/>
                      <w:color w:val="000000" w:themeColor="text1"/>
                      <w:szCs w:val="21"/>
                      <w:highlight w:val="none"/>
                      <w:lang w:eastAsia="zh-CN"/>
                      <w14:textFill>
                        <w14:solidFill>
                          <w14:schemeClr w14:val="tx1"/>
                        </w14:solidFill>
                      </w14:textFill>
                    </w:rPr>
                    <w:t>濮阳市华龙区惠寨路西、高阳大道北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trPr>
              <w:tc>
                <w:tcPr>
                  <w:tcW w:w="1422" w:type="dxa"/>
                  <w:vAlign w:val="center"/>
                </w:tcPr>
                <w:p>
                  <w:pPr>
                    <w:pStyle w:val="49"/>
                    <w:spacing w:line="240" w:lineRule="auto"/>
                    <w:rPr>
                      <w:rFonts w:hint="default" w:ascii="Times New Roman" w:hAnsi="Times New Roman" w:eastAsia="宋体" w:cs="Times New Roman"/>
                      <w:color w:val="000000" w:themeColor="text1"/>
                      <w:sz w:val="21"/>
                      <w:highlight w:val="none"/>
                      <w14:textFill>
                        <w14:solidFill>
                          <w14:schemeClr w14:val="tx1"/>
                        </w14:solidFill>
                      </w14:textFill>
                    </w:rPr>
                  </w:pPr>
                  <w:r>
                    <w:rPr>
                      <w:rFonts w:hint="default" w:ascii="Times New Roman" w:hAnsi="Times New Roman" w:eastAsia="宋体" w:cs="Times New Roman"/>
                      <w:color w:val="000000" w:themeColor="text1"/>
                      <w:sz w:val="21"/>
                      <w:highlight w:val="none"/>
                      <w14:textFill>
                        <w14:solidFill>
                          <w14:schemeClr w14:val="tx1"/>
                        </w14:solidFill>
                      </w14:textFill>
                    </w:rPr>
                    <w:t>地理坐标</w:t>
                  </w:r>
                </w:p>
              </w:tc>
              <w:tc>
                <w:tcPr>
                  <w:tcW w:w="6248" w:type="dxa"/>
                  <w:vAlign w:val="center"/>
                </w:tcPr>
                <w:p>
                  <w:pPr>
                    <w:jc w:val="center"/>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（115度0</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Cs w:val="21"/>
                      <w:highlight w:val="none"/>
                      <w14:textFill>
                        <w14:solidFill>
                          <w14:schemeClr w14:val="tx1"/>
                        </w14:solidFill>
                      </w14:textFill>
                    </w:rPr>
                    <w:t>分</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49.841</w:t>
                  </w:r>
                  <w:r>
                    <w:rPr>
                      <w:rFonts w:hint="default" w:ascii="Times New Roman" w:hAnsi="Times New Roman" w:eastAsia="宋体" w:cs="Times New Roman"/>
                      <w:color w:val="000000" w:themeColor="text1"/>
                      <w:szCs w:val="21"/>
                      <w:highlight w:val="none"/>
                      <w14:textFill>
                        <w14:solidFill>
                          <w14:schemeClr w14:val="tx1"/>
                        </w14:solidFill>
                      </w14:textFill>
                    </w:rPr>
                    <w:t>秒，35度4</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8</w:t>
                  </w:r>
                  <w:r>
                    <w:rPr>
                      <w:rFonts w:hint="default" w:ascii="Times New Roman" w:hAnsi="Times New Roman" w:eastAsia="宋体" w:cs="Times New Roman"/>
                      <w:color w:val="000000" w:themeColor="text1"/>
                      <w:szCs w:val="21"/>
                      <w:highlight w:val="none"/>
                      <w14:textFill>
                        <w14:solidFill>
                          <w14:schemeClr w14:val="tx1"/>
                        </w14:solidFill>
                      </w14:textFill>
                    </w:rPr>
                    <w:t>分</w:t>
                  </w:r>
                  <w:r>
                    <w:rPr>
                      <w:rFonts w:hint="default" w:ascii="Times New Roman" w:hAnsi="Times New Roman" w:eastAsia="宋体" w:cs="Times New Roman"/>
                      <w:color w:val="000000" w:themeColor="text1"/>
                      <w:szCs w:val="21"/>
                      <w:highlight w:val="none"/>
                      <w:lang w:val="en-US" w:eastAsia="zh-CN"/>
                      <w14:textFill>
                        <w14:solidFill>
                          <w14:schemeClr w14:val="tx1"/>
                        </w14:solidFill>
                      </w14:textFill>
                    </w:rPr>
                    <w:t>27.770</w:t>
                  </w:r>
                  <w:r>
                    <w:rPr>
                      <w:rFonts w:hint="default" w:ascii="Times New Roman" w:hAnsi="Times New Roman" w:eastAsia="宋体" w:cs="Times New Roman"/>
                      <w:color w:val="000000" w:themeColor="text1"/>
                      <w:szCs w:val="21"/>
                      <w:highlight w:val="none"/>
                      <w14:textFill>
                        <w14:solidFill>
                          <w14:schemeClr w14:val="tx1"/>
                        </w14:solidFill>
                      </w14:textFill>
                    </w:rPr>
                    <w:t>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2" w:type="dxa"/>
                  <w:vAlign w:val="center"/>
                </w:tcPr>
                <w:p>
                  <w:pPr>
                    <w:pStyle w:val="49"/>
                    <w:spacing w:line="240" w:lineRule="auto"/>
                    <w:rPr>
                      <w:rFonts w:hint="default" w:ascii="Times New Roman" w:hAnsi="Times New Roman" w:eastAsia="宋体" w:cs="Times New Roman"/>
                      <w:color w:val="000000" w:themeColor="text1"/>
                      <w:sz w:val="21"/>
                      <w:highlight w:val="none"/>
                      <w14:textFill>
                        <w14:solidFill>
                          <w14:schemeClr w14:val="tx1"/>
                        </w14:solidFill>
                      </w14:textFill>
                    </w:rPr>
                  </w:pPr>
                  <w:r>
                    <w:rPr>
                      <w:rFonts w:hint="default" w:ascii="Times New Roman" w:hAnsi="Times New Roman" w:eastAsia="宋体" w:cs="Times New Roman"/>
                      <w:color w:val="000000" w:themeColor="text1"/>
                      <w:sz w:val="21"/>
                      <w:highlight w:val="none"/>
                      <w14:textFill>
                        <w14:solidFill>
                          <w14:schemeClr w14:val="tx1"/>
                        </w14:solidFill>
                      </w14:textFill>
                    </w:rPr>
                    <w:t>主要危险物质及分布</w:t>
                  </w:r>
                </w:p>
              </w:tc>
              <w:tc>
                <w:tcPr>
                  <w:tcW w:w="6248" w:type="dxa"/>
                  <w:vAlign w:val="center"/>
                </w:tcPr>
                <w:p>
                  <w:pPr>
                    <w:pStyle w:val="49"/>
                    <w:spacing w:line="240" w:lineRule="auto"/>
                    <w:rPr>
                      <w:rFonts w:hint="default" w:ascii="Times New Roman" w:hAnsi="Times New Roman" w:eastAsia="宋体" w:cs="Times New Roman"/>
                      <w:color w:val="000000" w:themeColor="text1"/>
                      <w:sz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highlight w:val="none"/>
                      <w14:textFill>
                        <w14:solidFill>
                          <w14:schemeClr w14:val="tx1"/>
                        </w14:solidFill>
                      </w14:textFill>
                    </w:rPr>
                    <w:t>主要危险物质：</w:t>
                  </w:r>
                  <w:r>
                    <w:rPr>
                      <w:rFonts w:hint="default" w:ascii="Times New Roman" w:hAnsi="Times New Roman" w:eastAsia="宋体" w:cs="Times New Roman"/>
                      <w:color w:val="000000" w:themeColor="text1"/>
                      <w:sz w:val="21"/>
                      <w:highlight w:val="none"/>
                      <w:lang w:val="en-US" w:eastAsia="zh-CN"/>
                      <w14:textFill>
                        <w14:solidFill>
                          <w14:schemeClr w14:val="tx1"/>
                        </w14:solidFill>
                      </w14:textFill>
                    </w:rPr>
                    <w:t>甲醇及危险废物</w:t>
                  </w:r>
                </w:p>
                <w:p>
                  <w:pPr>
                    <w:pStyle w:val="49"/>
                    <w:spacing w:line="240" w:lineRule="auto"/>
                    <w:rPr>
                      <w:rFonts w:hint="default" w:ascii="Times New Roman" w:hAnsi="Times New Roman" w:eastAsia="宋体" w:cs="Times New Roman"/>
                      <w:color w:val="000000" w:themeColor="text1"/>
                      <w:sz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highlight w:val="none"/>
                      <w14:textFill>
                        <w14:solidFill>
                          <w14:schemeClr w14:val="tx1"/>
                        </w14:solidFill>
                      </w14:textFill>
                    </w:rPr>
                    <w:t>分布：</w:t>
                  </w:r>
                  <w:r>
                    <w:rPr>
                      <w:rFonts w:hint="default" w:ascii="Times New Roman" w:hAnsi="Times New Roman" w:eastAsia="宋体" w:cs="Times New Roman"/>
                      <w:color w:val="000000" w:themeColor="text1"/>
                      <w:sz w:val="21"/>
                      <w:highlight w:val="none"/>
                      <w:lang w:val="en-US" w:eastAsia="zh-CN"/>
                      <w14:textFill>
                        <w14:solidFill>
                          <w14:schemeClr w14:val="tx1"/>
                        </w14:solidFill>
                      </w14:textFill>
                    </w:rPr>
                    <w:t>原料库、生产区、危废暂存间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2" w:type="dxa"/>
                  <w:vAlign w:val="center"/>
                </w:tcPr>
                <w:p>
                  <w:pPr>
                    <w:pStyle w:val="49"/>
                    <w:spacing w:line="240" w:lineRule="auto"/>
                    <w:rPr>
                      <w:rFonts w:hint="default" w:ascii="Times New Roman" w:hAnsi="Times New Roman" w:eastAsia="宋体" w:cs="Times New Roman"/>
                      <w:color w:val="000000" w:themeColor="text1"/>
                      <w:sz w:val="21"/>
                      <w:highlight w:val="none"/>
                      <w14:textFill>
                        <w14:solidFill>
                          <w14:schemeClr w14:val="tx1"/>
                        </w14:solidFill>
                      </w14:textFill>
                    </w:rPr>
                  </w:pPr>
                  <w:r>
                    <w:rPr>
                      <w:rFonts w:hint="default" w:ascii="Times New Roman" w:hAnsi="Times New Roman" w:eastAsia="宋体" w:cs="Times New Roman"/>
                      <w:color w:val="000000" w:themeColor="text1"/>
                      <w:sz w:val="21"/>
                      <w:highlight w:val="none"/>
                      <w14:textFill>
                        <w14:solidFill>
                          <w14:schemeClr w14:val="tx1"/>
                        </w14:solidFill>
                      </w14:textFill>
                    </w:rPr>
                    <w:t>环境影响途径及危害后果</w:t>
                  </w:r>
                </w:p>
              </w:tc>
              <w:tc>
                <w:tcPr>
                  <w:tcW w:w="6248" w:type="dxa"/>
                  <w:vAlign w:val="center"/>
                </w:tcPr>
                <w:p>
                  <w:pPr>
                    <w:jc w:val="left"/>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①原料泄露，造成的地表水、地下水及土壤环境污染事故；</w:t>
                  </w:r>
                </w:p>
                <w:p>
                  <w:pPr>
                    <w:jc w:val="left"/>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②危险废物贮存场所管理不善，导致无组织流散，造成的地表水、地下水及土壤环境污染事故；</w:t>
                  </w:r>
                </w:p>
                <w:p>
                  <w:pPr>
                    <w:jc w:val="left"/>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③废气处理系统发生故障或损坏而不能运行，会造成生产废气不能被收集净化或者净化效果达不到环保要求，对大气环境产生影响。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22" w:type="dxa"/>
                  <w:vAlign w:val="center"/>
                </w:tcPr>
                <w:p>
                  <w:pPr>
                    <w:pStyle w:val="49"/>
                    <w:spacing w:line="240" w:lineRule="auto"/>
                    <w:rPr>
                      <w:rFonts w:hint="default" w:ascii="Times New Roman" w:hAnsi="Times New Roman" w:eastAsia="宋体" w:cs="Times New Roman"/>
                      <w:color w:val="000000" w:themeColor="text1"/>
                      <w:sz w:val="21"/>
                      <w:highlight w:val="none"/>
                      <w14:textFill>
                        <w14:solidFill>
                          <w14:schemeClr w14:val="tx1"/>
                        </w14:solidFill>
                      </w14:textFill>
                    </w:rPr>
                  </w:pPr>
                  <w:r>
                    <w:rPr>
                      <w:rFonts w:hint="default" w:ascii="Times New Roman" w:hAnsi="Times New Roman" w:eastAsia="宋体" w:cs="Times New Roman"/>
                      <w:color w:val="000000" w:themeColor="text1"/>
                      <w:sz w:val="21"/>
                      <w:highlight w:val="none"/>
                      <w14:textFill>
                        <w14:solidFill>
                          <w14:schemeClr w14:val="tx1"/>
                        </w14:solidFill>
                      </w14:textFill>
                    </w:rPr>
                    <w:t>风险防范措施要求</w:t>
                  </w:r>
                </w:p>
              </w:tc>
              <w:tc>
                <w:tcPr>
                  <w:tcW w:w="6248" w:type="dxa"/>
                  <w:vAlign w:val="center"/>
                </w:tcPr>
                <w:p>
                  <w:pPr>
                    <w:jc w:val="left"/>
                    <w:rPr>
                      <w:rFonts w:hint="default" w:ascii="Times New Roman" w:hAnsi="Times New Roman" w:eastAsia="宋体" w:cs="Times New Roman"/>
                      <w:color w:val="000000" w:themeColor="text1"/>
                      <w:szCs w:val="21"/>
                      <w:highlight w:val="none"/>
                      <w14:textFill>
                        <w14:solidFill>
                          <w14:schemeClr w14:val="tx1"/>
                        </w14:solidFill>
                      </w14:textFill>
                    </w:rPr>
                  </w:pPr>
                  <w:r>
                    <w:rPr>
                      <w:rFonts w:hint="default" w:ascii="Times New Roman" w:hAnsi="Times New Roman" w:eastAsia="宋体" w:cs="Times New Roman"/>
                      <w:color w:val="000000" w:themeColor="text1"/>
                      <w:szCs w:val="21"/>
                      <w:highlight w:val="none"/>
                      <w14:textFill>
                        <w14:solidFill>
                          <w14:schemeClr w14:val="tx1"/>
                        </w14:solidFill>
                      </w14:textFill>
                    </w:rPr>
                    <w:t>详见风险防范措施</w:t>
                  </w:r>
                </w:p>
              </w:tc>
            </w:tr>
          </w:tbl>
          <w:p>
            <w:pPr>
              <w:pStyle w:val="15"/>
              <w:keepNext w:val="0"/>
              <w:keepLines w:val="0"/>
              <w:pageBreakBefore w:val="0"/>
              <w:widowControl w:val="0"/>
              <w:kinsoku/>
              <w:wordWrap/>
              <w:overflowPunct/>
              <w:topLinePunct w:val="0"/>
              <w:autoSpaceDE/>
              <w:autoSpaceDN/>
              <w:bidi w:val="0"/>
              <w:adjustRightInd/>
              <w:snapToGrid/>
              <w:spacing w:line="360" w:lineRule="auto"/>
              <w:ind w:left="0"/>
              <w:textAlignment w:val="auto"/>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none"/>
                <w:lang w:val="en-US" w:eastAsia="zh-CN"/>
                <w14:textFill>
                  <w14:solidFill>
                    <w14:schemeClr w14:val="tx1"/>
                  </w14:solidFill>
                </w14:textFill>
              </w:rPr>
              <w:t>7、</w:t>
            </w:r>
            <w:r>
              <w:rPr>
                <w:rFonts w:hint="default" w:ascii="Times New Roman" w:hAnsi="Times New Roman" w:eastAsia="宋体" w:cs="Times New Roman"/>
                <w:b/>
                <w:bCs/>
                <w:color w:val="000000" w:themeColor="text1"/>
                <w:sz w:val="24"/>
                <w:szCs w:val="32"/>
                <w:vertAlign w:val="baseline"/>
                <w:lang w:val="en-US" w:eastAsia="zh-CN"/>
                <w14:textFill>
                  <w14:solidFill>
                    <w14:schemeClr w14:val="tx1"/>
                  </w14:solidFill>
                </w14:textFill>
              </w:rPr>
              <w:t>污染物产排“三本账”</w:t>
            </w:r>
          </w:p>
          <w:p>
            <w:pPr>
              <w:pStyle w:val="15"/>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b w:val="0"/>
                <w:bCs w:val="0"/>
                <w:color w:val="000000" w:themeColor="text1"/>
                <w:sz w:val="24"/>
                <w:szCs w:val="32"/>
                <w:u w:val="none"/>
                <w:vertAlign w:val="baseli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32"/>
                <w:u w:val="none"/>
                <w:vertAlign w:val="baseline"/>
                <w:lang w:val="en-US" w:eastAsia="zh-CN"/>
                <w14:textFill>
                  <w14:solidFill>
                    <w14:schemeClr w14:val="tx1"/>
                  </w14:solidFill>
                </w14:textFill>
              </w:rPr>
              <w:t>新建（迁建）完成后，院区各污染物产排“三本账”详见下表。</w:t>
            </w:r>
          </w:p>
          <w:p>
            <w:pPr>
              <w:pStyle w:val="7"/>
              <w:keepNext w:val="0"/>
              <w:keepLines w:val="0"/>
              <w:pageBreakBefore w:val="0"/>
              <w:widowControl w:val="0"/>
              <w:numPr>
                <w:ilvl w:val="0"/>
                <w:numId w:val="15"/>
              </w:numPr>
              <w:kinsoku/>
              <w:wordWrap/>
              <w:overflowPunct/>
              <w:topLinePunct w:val="0"/>
              <w:autoSpaceDE/>
              <w:autoSpaceDN/>
              <w:bidi w:val="0"/>
              <w:adjustRightInd/>
              <w:snapToGrid/>
              <w:spacing w:line="360" w:lineRule="auto"/>
              <w:ind w:left="0" w:leftChars="0" w:right="0" w:firstLine="0" w:firstLineChars="0"/>
              <w:jc w:val="center"/>
              <w:textAlignment w:val="auto"/>
              <w:outlineLvl w:val="9"/>
              <w:rPr>
                <w:rFonts w:hint="default" w:ascii="Times New Roman" w:hAnsi="Times New Roman" w:eastAsia="宋体" w:cs="Times New Roman"/>
                <w:b/>
                <w:bCs/>
                <w:color w:val="000000" w:themeColor="text1"/>
                <w:sz w:val="21"/>
                <w:szCs w:val="24"/>
                <w:highlight w:val="none"/>
                <w:u w:val="non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4"/>
                <w:vertAlign w:val="baseline"/>
                <w:lang w:val="en-US" w:eastAsia="zh-CN"/>
                <w14:textFill>
                  <w14:solidFill>
                    <w14:schemeClr w14:val="tx1"/>
                  </w14:solidFill>
                </w14:textFill>
              </w:rPr>
              <w:t>项目“三本账”一览表</w:t>
            </w:r>
          </w:p>
          <w:tbl>
            <w:tblPr>
              <w:tblStyle w:val="16"/>
              <w:tblW w:w="4846"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683"/>
              <w:gridCol w:w="1027"/>
              <w:gridCol w:w="1027"/>
              <w:gridCol w:w="1132"/>
              <w:gridCol w:w="1027"/>
              <w:gridCol w:w="1132"/>
              <w:gridCol w:w="113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tcBorders>
                    <w:tl2br w:val="single" w:color="auto" w:sz="4" w:space="0"/>
                  </w:tcBorders>
                  <w:tcMar>
                    <w:left w:w="28" w:type="dxa"/>
                    <w:right w:w="28" w:type="dxa"/>
                  </w:tcMar>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jc w:val="righ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t>项目</w:t>
                  </w:r>
                </w:p>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jc w:val="lef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t>分类</w:t>
                  </w:r>
                </w:p>
              </w:tc>
              <w:tc>
                <w:tcPr>
                  <w:tcW w:w="444" w:type="pct"/>
                  <w:tcMar>
                    <w:left w:w="28" w:type="dxa"/>
                    <w:right w:w="28" w:type="dxa"/>
                  </w:tcMar>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t>污染物名称</w:t>
                  </w:r>
                </w:p>
              </w:tc>
              <w:tc>
                <w:tcPr>
                  <w:tcW w:w="676" w:type="pct"/>
                  <w:tcMar>
                    <w:left w:w="28" w:type="dxa"/>
                    <w:right w:w="28" w:type="dxa"/>
                  </w:tcMar>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eastAsia="zh-CN"/>
                      <w14:textFill>
                        <w14:solidFill>
                          <w14:schemeClr w14:val="tx1"/>
                        </w14:solidFill>
                      </w14:textFill>
                    </w:rPr>
                    <w:t>原有</w:t>
                  </w:r>
                  <w:r>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t>工程排放量</w:t>
                  </w:r>
                </w:p>
              </w:tc>
              <w:tc>
                <w:tcPr>
                  <w:tcW w:w="676" w:type="pct"/>
                  <w:tcMar>
                    <w:left w:w="28" w:type="dxa"/>
                    <w:right w:w="28" w:type="dxa"/>
                  </w:tcMar>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eastAsia="zh-CN"/>
                      <w14:textFill>
                        <w14:solidFill>
                          <w14:schemeClr w14:val="tx1"/>
                        </w14:solidFill>
                      </w14:textFill>
                    </w:rPr>
                    <w:t>原有</w:t>
                  </w:r>
                  <w:r>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t>工程许可排放量</w:t>
                  </w:r>
                </w:p>
              </w:tc>
              <w:tc>
                <w:tcPr>
                  <w:tcW w:w="746" w:type="pct"/>
                  <w:tcMar>
                    <w:left w:w="28" w:type="dxa"/>
                    <w:right w:w="28" w:type="dxa"/>
                  </w:tcMar>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t>本项目</w:t>
                  </w:r>
                </w:p>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t>排放量</w:t>
                  </w:r>
                </w:p>
              </w:tc>
              <w:tc>
                <w:tcPr>
                  <w:tcW w:w="676" w:type="pct"/>
                  <w:tcMar>
                    <w:left w:w="28" w:type="dxa"/>
                    <w:right w:w="28" w:type="dxa"/>
                  </w:tcMar>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t>以新带老削减量</w:t>
                  </w:r>
                </w:p>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p>
              </w:tc>
              <w:tc>
                <w:tcPr>
                  <w:tcW w:w="746" w:type="pct"/>
                  <w:tcMar>
                    <w:left w:w="28" w:type="dxa"/>
                    <w:right w:w="28" w:type="dxa"/>
                  </w:tcMar>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t>本项目建成后全厂排放量</w:t>
                  </w:r>
                </w:p>
              </w:tc>
              <w:tc>
                <w:tcPr>
                  <w:tcW w:w="746" w:type="pct"/>
                  <w:tcMar>
                    <w:left w:w="28" w:type="dxa"/>
                    <w:right w:w="28" w:type="dxa"/>
                  </w:tcMar>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t>变化量</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restar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t>废气</w:t>
                  </w:r>
                </w:p>
              </w:tc>
              <w:tc>
                <w:tcPr>
                  <w:tcW w:w="444" w:type="pct"/>
                  <w:tcBorders>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颗粒物</w:t>
                  </w:r>
                </w:p>
              </w:tc>
              <w:tc>
                <w:tcPr>
                  <w:tcW w:w="676" w:type="pct"/>
                  <w:tcBorders>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0.0159t/a</w:t>
                  </w:r>
                </w:p>
              </w:tc>
              <w:tc>
                <w:tcPr>
                  <w:tcW w:w="676" w:type="pct"/>
                  <w:tcBorders>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0.025t/a</w:t>
                  </w:r>
                </w:p>
              </w:tc>
              <w:tc>
                <w:tcPr>
                  <w:tcW w:w="746" w:type="pct"/>
                  <w:tcBorders>
                    <w:bottom w:val="single" w:color="000000" w:sz="6" w:space="0"/>
                  </w:tcBorders>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0.0261t/a</w:t>
                  </w:r>
                </w:p>
              </w:tc>
              <w:tc>
                <w:tcPr>
                  <w:tcW w:w="676" w:type="pct"/>
                  <w:tcBorders>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highlight w:val="yellow"/>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0.0159t/a</w:t>
                  </w:r>
                </w:p>
              </w:tc>
              <w:tc>
                <w:tcPr>
                  <w:tcW w:w="746" w:type="pct"/>
                  <w:tcBorders>
                    <w:bottom w:val="single" w:color="000000" w:sz="6" w:space="0"/>
                  </w:tcBorders>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0.0261t/a</w:t>
                  </w:r>
                </w:p>
              </w:tc>
              <w:tc>
                <w:tcPr>
                  <w:tcW w:w="746" w:type="pct"/>
                  <w:tcBorders>
                    <w:bottom w:val="single" w:color="000000" w:sz="6" w:space="0"/>
                  </w:tcBorders>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0.0102t/a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p>
              </w:tc>
              <w:tc>
                <w:tcPr>
                  <w:tcW w:w="444" w:type="pct"/>
                  <w:tcBorders>
                    <w:top w:val="single" w:color="000000" w:sz="6"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非甲烷总烃</w:t>
                  </w: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（含甲醇）</w:t>
                  </w:r>
                </w:p>
              </w:tc>
              <w:tc>
                <w:tcPr>
                  <w:tcW w:w="676" w:type="pct"/>
                  <w:tcBorders>
                    <w:top w:val="single" w:color="000000" w:sz="6"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0.087t/a</w:t>
                  </w:r>
                </w:p>
              </w:tc>
              <w:tc>
                <w:tcPr>
                  <w:tcW w:w="676" w:type="pct"/>
                  <w:tcBorders>
                    <w:top w:val="single" w:color="000000" w:sz="6"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tcBorders>
                    <w:top w:val="single" w:color="000000" w:sz="6" w:space="0"/>
                    <w:bottom w:val="single" w:color="auto" w:sz="4" w:space="0"/>
                  </w:tcBorders>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0.0032t/a</w:t>
                  </w:r>
                </w:p>
              </w:tc>
              <w:tc>
                <w:tcPr>
                  <w:tcW w:w="676" w:type="pct"/>
                  <w:tcBorders>
                    <w:top w:val="single" w:color="000000" w:sz="6"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highlight w:val="yellow"/>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0.087t/a</w:t>
                  </w:r>
                </w:p>
              </w:tc>
              <w:tc>
                <w:tcPr>
                  <w:tcW w:w="746" w:type="pct"/>
                  <w:tcBorders>
                    <w:top w:val="single" w:color="000000" w:sz="6" w:space="0"/>
                    <w:bottom w:val="single" w:color="auto" w:sz="4" w:space="0"/>
                  </w:tcBorders>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0.0032t/a</w:t>
                  </w:r>
                </w:p>
              </w:tc>
              <w:tc>
                <w:tcPr>
                  <w:tcW w:w="746" w:type="pct"/>
                  <w:tcBorders>
                    <w:top w:val="single" w:color="000000" w:sz="6" w:space="0"/>
                    <w:bottom w:val="single" w:color="auto" w:sz="4" w:space="0"/>
                  </w:tcBorders>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-0.0838t/a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p>
              </w:tc>
              <w:tc>
                <w:tcPr>
                  <w:tcW w:w="444" w:type="pct"/>
                  <w:tcBorders>
                    <w:top w:val="single" w:color="auto" w:sz="4"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甲醇</w:t>
                  </w:r>
                </w:p>
              </w:tc>
              <w:tc>
                <w:tcPr>
                  <w:tcW w:w="676" w:type="pct"/>
                  <w:tcBorders>
                    <w:top w:val="single" w:color="auto" w:sz="4"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676" w:type="pct"/>
                  <w:tcBorders>
                    <w:top w:val="single" w:color="auto" w:sz="4"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tcBorders>
                    <w:top w:val="single" w:color="auto" w:sz="4" w:space="0"/>
                    <w:bottom w:val="single" w:color="auto" w:sz="4" w:space="0"/>
                  </w:tcBorders>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0.0011t/a</w:t>
                  </w:r>
                </w:p>
              </w:tc>
              <w:tc>
                <w:tcPr>
                  <w:tcW w:w="676" w:type="pct"/>
                  <w:tcBorders>
                    <w:top w:val="single" w:color="auto" w:sz="4"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color w:val="000000" w:themeColor="text1"/>
                      <w:sz w:val="21"/>
                      <w:szCs w:val="21"/>
                      <w:highlight w:val="yellow"/>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tcBorders>
                    <w:top w:val="single" w:color="auto" w:sz="4" w:space="0"/>
                    <w:bottom w:val="single" w:color="auto" w:sz="4" w:space="0"/>
                  </w:tcBorders>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0.0011t/a</w:t>
                  </w:r>
                </w:p>
              </w:tc>
              <w:tc>
                <w:tcPr>
                  <w:tcW w:w="746" w:type="pct"/>
                  <w:tcBorders>
                    <w:top w:val="single" w:color="auto" w:sz="4" w:space="0"/>
                    <w:bottom w:val="single" w:color="auto" w:sz="4" w:space="0"/>
                  </w:tcBorders>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0.0011t/a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p>
              </w:tc>
              <w:tc>
                <w:tcPr>
                  <w:tcW w:w="444" w:type="pct"/>
                  <w:tcBorders>
                    <w:top w:val="single" w:color="auto" w:sz="4" w:space="0"/>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CO</w:t>
                  </w:r>
                </w:p>
              </w:tc>
              <w:tc>
                <w:tcPr>
                  <w:tcW w:w="676" w:type="pct"/>
                  <w:tcBorders>
                    <w:top w:val="single" w:color="auto" w:sz="4" w:space="0"/>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676" w:type="pct"/>
                  <w:tcBorders>
                    <w:top w:val="single" w:color="auto" w:sz="4" w:space="0"/>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tcBorders>
                    <w:top w:val="single" w:color="auto" w:sz="4" w:space="0"/>
                    <w:bottom w:val="single" w:color="000000" w:sz="6" w:space="0"/>
                  </w:tcBorders>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0.0031t/a</w:t>
                  </w:r>
                </w:p>
              </w:tc>
              <w:tc>
                <w:tcPr>
                  <w:tcW w:w="676" w:type="pct"/>
                  <w:tcBorders>
                    <w:top w:val="single" w:color="auto" w:sz="4" w:space="0"/>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p>
              </w:tc>
              <w:tc>
                <w:tcPr>
                  <w:tcW w:w="746" w:type="pct"/>
                  <w:tcBorders>
                    <w:top w:val="single" w:color="auto" w:sz="4" w:space="0"/>
                    <w:bottom w:val="single" w:color="000000" w:sz="6" w:space="0"/>
                  </w:tcBorders>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0.0031t/a</w:t>
                  </w:r>
                </w:p>
              </w:tc>
              <w:tc>
                <w:tcPr>
                  <w:tcW w:w="746" w:type="pct"/>
                  <w:tcBorders>
                    <w:top w:val="single" w:color="auto" w:sz="4" w:space="0"/>
                    <w:bottom w:val="single" w:color="000000" w:sz="6" w:space="0"/>
                  </w:tcBorders>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0.0031t/a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restar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t>废水</w:t>
                  </w:r>
                </w:p>
              </w:tc>
              <w:tc>
                <w:tcPr>
                  <w:tcW w:w="444"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COD</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0.016t/a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0.0186t/a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ind w:left="0" w:leftChars="0"/>
                    <w:jc w:val="cente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0.0176t/a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highlight w:val="yellow"/>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0.016t/a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ind w:left="0" w:leftChars="0"/>
                    <w:jc w:val="center"/>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0.0176t/a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0.0016t/a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p>
              </w:tc>
              <w:tc>
                <w:tcPr>
                  <w:tcW w:w="444"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氨氮</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0.0008t/a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0.0009t/a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ind w:left="0" w:leftChars="0"/>
                    <w:jc w:val="cente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0.0009t/a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highlight w:val="yellow"/>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0.0008t/a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ind w:left="0" w:leftChars="0"/>
                    <w:jc w:val="center"/>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0.0009t/a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0.0001t/a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restar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t>一般工业固体废物</w:t>
                  </w:r>
                </w:p>
              </w:tc>
              <w:tc>
                <w:tcPr>
                  <w:tcW w:w="44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废边角料</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1t/a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17.5t/a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1t/a</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17.5t/a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16.5t/a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p>
              </w:tc>
              <w:tc>
                <w:tcPr>
                  <w:tcW w:w="44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废钢屑</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0.86t/a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0.85t/a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0.86t/a</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0.85t/a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p>
              </w:tc>
              <w:tc>
                <w:tcPr>
                  <w:tcW w:w="44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不合格品</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1t/a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3t/a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1t/a</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3t/a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p>
              </w:tc>
              <w:tc>
                <w:tcPr>
                  <w:tcW w:w="44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废包装材料</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2t/a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2t/a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p>
              </w:tc>
              <w:tc>
                <w:tcPr>
                  <w:tcW w:w="44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除尘器收集粉尘</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10.7347t/a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10.7347t/a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10.7347t/a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p>
              </w:tc>
              <w:tc>
                <w:tcPr>
                  <w:tcW w:w="44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废焊材</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0.1t/a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0.1t/a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restar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t>危险废物</w:t>
                  </w:r>
                </w:p>
              </w:tc>
              <w:tc>
                <w:tcPr>
                  <w:tcW w:w="44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废切削液</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0.01t/a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0.02t/a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0.01t/a</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0.02t/a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p>
              </w:tc>
              <w:tc>
                <w:tcPr>
                  <w:tcW w:w="44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废润滑油</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0.02t/a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0.1t/a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0.02t/a</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0.1t/a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0.08t/a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p>
              </w:tc>
              <w:tc>
                <w:tcPr>
                  <w:tcW w:w="44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废活性炭</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u w:val="single"/>
                      <w:lang w:val="en-US" w:eastAsia="zh-CN"/>
                      <w14:textFill>
                        <w14:solidFill>
                          <w14:schemeClr w14:val="tx1"/>
                        </w14:solidFill>
                      </w14:textFill>
                    </w:rPr>
                    <w:t>0.1825</w:t>
                  </w: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eastAsia" w:ascii="Times New Roman" w:hAnsi="Times New Roman" w:cs="Times New Roman"/>
                      <w:b/>
                      <w:bCs/>
                      <w:color w:val="000000" w:themeColor="text1"/>
                      <w:sz w:val="21"/>
                      <w:szCs w:val="21"/>
                      <w:highlight w:val="none"/>
                      <w:u w:val="single"/>
                      <w:lang w:val="en-US" w:eastAsia="zh-CN"/>
                      <w14:textFill>
                        <w14:solidFill>
                          <w14:schemeClr w14:val="tx1"/>
                        </w14:solidFill>
                      </w14:textFill>
                    </w:rPr>
                    <w:t>0.1825</w:t>
                  </w: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eastAsia" w:ascii="Times New Roman" w:hAnsi="Times New Roman" w:cs="Times New Roman"/>
                      <w:b/>
                      <w:bCs/>
                      <w:snapToGrid w:val="0"/>
                      <w:color w:val="000000" w:themeColor="text1"/>
                      <w:spacing w:val="0"/>
                      <w:kern w:val="21"/>
                      <w:sz w:val="21"/>
                      <w:szCs w:val="21"/>
                      <w:u w:val="single"/>
                      <w:lang w:val="en-US" w:eastAsia="zh-CN"/>
                      <w14:textFill>
                        <w14:solidFill>
                          <w14:schemeClr w14:val="tx1"/>
                        </w14:solidFill>
                      </w14:textFill>
                    </w:rPr>
                    <w:t>0.1825</w:t>
                  </w: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p>
              </w:tc>
              <w:tc>
                <w:tcPr>
                  <w:tcW w:w="44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废包装桶</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0.112t/a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0.112t/a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0.112t/a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p>
              </w:tc>
              <w:tc>
                <w:tcPr>
                  <w:tcW w:w="44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废油</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0.324t/a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0.324t/a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0.324t/a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286" w:type="pct"/>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14:textFill>
                        <w14:solidFill>
                          <w14:schemeClr w14:val="tx1"/>
                        </w14:solidFill>
                      </w14:textFill>
                    </w:rPr>
                  </w:pPr>
                </w:p>
              </w:tc>
              <w:tc>
                <w:tcPr>
                  <w:tcW w:w="444" w:type="pct"/>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0" w:leftChars="0" w:firstLine="0" w:firstLineChars="0"/>
                    <w:jc w:val="center"/>
                    <w:textAlignment w:val="auto"/>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vertAlign w:val="baseline"/>
                      <w:lang w:val="en-US" w:eastAsia="zh-CN"/>
                      <w14:textFill>
                        <w14:solidFill>
                          <w14:schemeClr w14:val="tx1"/>
                        </w14:solidFill>
                      </w14:textFill>
                    </w:rPr>
                    <w:t>废滤材</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0.15t/a</w:t>
                  </w:r>
                </w:p>
              </w:tc>
              <w:tc>
                <w:tcPr>
                  <w:tcW w:w="676" w:type="pc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60" w:lineRule="exact"/>
                    <w:textAlignment w:val="auto"/>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t>/</w:t>
                  </w:r>
                </w:p>
              </w:tc>
              <w:tc>
                <w:tcPr>
                  <w:tcW w:w="746" w:type="pct"/>
                  <w:vAlign w:val="center"/>
                </w:tcPr>
                <w:p>
                  <w:pPr>
                    <w:pStyle w:val="43"/>
                    <w:keepNext w:val="0"/>
                    <w:keepLines w:val="0"/>
                    <w:pageBreakBefore w:val="0"/>
                    <w:kinsoku/>
                    <w:wordWrap/>
                    <w:overflowPunct/>
                    <w:topLinePunct w:val="0"/>
                    <w:autoSpaceDE/>
                    <w:autoSpaceDN/>
                    <w:bidi w:val="0"/>
                    <w:adjustRightInd/>
                    <w:snapToGrid/>
                    <w:spacing w:line="360" w:lineRule="exact"/>
                    <w:ind w:firstLine="0" w:firstLineChars="0"/>
                    <w:jc w:val="center"/>
                    <w:rPr>
                      <w:rFonts w:hint="default" w:ascii="Times New Roman" w:hAnsi="Times New Roman" w:eastAsia="宋体" w:cs="Times New Roman"/>
                      <w:b/>
                      <w:bCs/>
                      <w:color w:val="000000" w:themeColor="text1"/>
                      <w:sz w:val="21"/>
                      <w:szCs w:val="21"/>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1"/>
                      <w:szCs w:val="21"/>
                      <w:highlight w:val="none"/>
                      <w:u w:val="single"/>
                      <w:lang w:val="en-US" w:eastAsia="zh-CN"/>
                      <w14:textFill>
                        <w14:solidFill>
                          <w14:schemeClr w14:val="tx1"/>
                        </w14:solidFill>
                      </w14:textFill>
                    </w:rPr>
                    <w:t>0.15t/a</w:t>
                  </w:r>
                </w:p>
              </w:tc>
              <w:tc>
                <w:tcPr>
                  <w:tcW w:w="746" w:type="pct"/>
                  <w:vAlign w:val="center"/>
                </w:tcPr>
                <w:p>
                  <w:pPr>
                    <w:keepNext w:val="0"/>
                    <w:keepLines w:val="0"/>
                    <w:pageBreakBefore w:val="0"/>
                    <w:tabs>
                      <w:tab w:val="left" w:pos="540"/>
                    </w:tabs>
                    <w:kinsoku/>
                    <w:wordWrap/>
                    <w:overflowPunct/>
                    <w:topLinePunct w:val="0"/>
                    <w:autoSpaceDE/>
                    <w:autoSpaceDN/>
                    <w:bidi w:val="0"/>
                    <w:adjustRightInd/>
                    <w:snapToGrid/>
                    <w:spacing w:line="360" w:lineRule="exact"/>
                    <w:jc w:val="cente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21"/>
                      <w:szCs w:val="21"/>
                      <w:u w:val="single"/>
                      <w:lang w:val="en-US" w:eastAsia="zh-CN"/>
                      <w14:textFill>
                        <w14:solidFill>
                          <w14:schemeClr w14:val="tx1"/>
                        </w14:solidFill>
                      </w14:textFill>
                    </w:rPr>
                    <w:t>0.15t/a</w:t>
                  </w:r>
                </w:p>
              </w:tc>
            </w:tr>
          </w:tbl>
          <w:p>
            <w:pPr>
              <w:pStyle w:val="7"/>
              <w:rPr>
                <w:rFonts w:hint="default" w:ascii="Times New Roman" w:hAnsi="Times New Roman" w:eastAsia="宋体" w:cs="Times New Roman"/>
                <w:color w:val="000000" w:themeColor="text1"/>
                <w:vertAlign w:val="baseline"/>
                <w:lang w:val="en-US" w:eastAsia="zh-CN"/>
                <w14:textFill>
                  <w14:solidFill>
                    <w14:schemeClr w14:val="tx1"/>
                  </w14:solidFill>
                </w14:textFill>
              </w:rPr>
            </w:pPr>
          </w:p>
        </w:tc>
      </w:tr>
    </w:tbl>
    <w:p>
      <w:pPr>
        <w:pStyle w:val="7"/>
        <w:rPr>
          <w:rFonts w:hint="default" w:ascii="Times New Roman" w:hAnsi="Times New Roman" w:eastAsia="宋体" w:cs="Times New Roman"/>
          <w:color w:val="000000" w:themeColor="text1"/>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jc w:val="center"/>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sz w:val="28"/>
          <w:szCs w:val="36"/>
          <w:lang w:val="en-US" w:eastAsia="zh-CN"/>
          <w14:textFill>
            <w14:solidFill>
              <w14:schemeClr w14:val="tx1"/>
            </w14:solidFill>
          </w14:textFill>
        </w:rPr>
        <w:t>五、环境保护措施监督检查清单</w:t>
      </w:r>
    </w:p>
    <w:tbl>
      <w:tblPr>
        <w:tblStyle w:val="16"/>
        <w:tblW w:w="850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62"/>
        <w:gridCol w:w="1696"/>
        <w:gridCol w:w="1366"/>
        <w:gridCol w:w="1562"/>
        <w:gridCol w:w="261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62" w:type="dxa"/>
            <w:tcBorders>
              <w:tl2br w:val="single" w:color="auto" w:sz="4" w:space="0"/>
            </w:tcBorders>
            <w:vAlign w:val="top"/>
          </w:tcPr>
          <w:p>
            <w:pPr>
              <w:jc w:val="right"/>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内容</w:t>
            </w:r>
          </w:p>
          <w:p>
            <w:pP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要素</w:t>
            </w:r>
          </w:p>
        </w:tc>
        <w:tc>
          <w:tcPr>
            <w:tcW w:w="1696"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排放口(编号、</w:t>
            </w:r>
          </w:p>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名称)/污染源</w:t>
            </w:r>
          </w:p>
        </w:tc>
        <w:tc>
          <w:tcPr>
            <w:tcW w:w="1366"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污染物项目</w:t>
            </w:r>
          </w:p>
        </w:tc>
        <w:tc>
          <w:tcPr>
            <w:tcW w:w="1562"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环境保护措施</w:t>
            </w:r>
          </w:p>
        </w:tc>
        <w:tc>
          <w:tcPr>
            <w:tcW w:w="2618"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执行标准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0" w:hRule="atLeast"/>
          <w:jc w:val="center"/>
        </w:trPr>
        <w:tc>
          <w:tcPr>
            <w:tcW w:w="1262" w:type="dxa"/>
            <w:vMerge w:val="restart"/>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大气环境</w:t>
            </w:r>
          </w:p>
        </w:tc>
        <w:tc>
          <w:tcPr>
            <w:tcW w:w="1696" w:type="dxa"/>
            <w:vAlign w:val="center"/>
          </w:tcPr>
          <w:p>
            <w:pPr>
              <w:pStyle w:val="9"/>
              <w:autoSpaceDE w:val="0"/>
              <w:autoSpaceDN w:val="0"/>
              <w:snapToGrid/>
              <w:spacing w:line="240" w:lineRule="auto"/>
              <w:ind w:left="0" w:right="0" w:firstLine="0"/>
              <w:jc w:val="center"/>
              <w:rPr>
                <w:rFonts w:hint="default" w:ascii="Times New Roman" w:hAnsi="Times New Roman" w:eastAsia="宋体" w:cs="Times New Roman"/>
                <w:b/>
                <w:bCs/>
                <w:color w:val="000000" w:themeColor="text1"/>
                <w:kern w:val="21"/>
                <w:szCs w:val="24"/>
                <w:highlight w:val="none"/>
                <w:u w:val="single"/>
                <w14:textFill>
                  <w14:solidFill>
                    <w14:schemeClr w14:val="tx1"/>
                  </w14:solidFill>
                </w14:textFill>
              </w:rPr>
            </w:pPr>
            <w:r>
              <w:rPr>
                <w:rFonts w:hint="default" w:ascii="Times New Roman" w:hAnsi="Times New Roman" w:eastAsia="宋体" w:cs="Times New Roman"/>
                <w:b/>
                <w:bCs/>
                <w:color w:val="000000" w:themeColor="text1"/>
                <w:szCs w:val="24"/>
                <w:highlight w:val="none"/>
                <w:u w:val="single"/>
                <w14:textFill>
                  <w14:solidFill>
                    <w14:schemeClr w14:val="tx1"/>
                  </w14:solidFill>
                </w14:textFill>
              </w:rPr>
              <w:t>DA001</w:t>
            </w:r>
          </w:p>
        </w:tc>
        <w:tc>
          <w:tcPr>
            <w:tcW w:w="1366" w:type="dxa"/>
            <w:vAlign w:val="center"/>
          </w:tcPr>
          <w:p>
            <w:pPr>
              <w:jc w:val="center"/>
              <w:rPr>
                <w:rFonts w:hint="default" w:ascii="Times New Roman" w:hAnsi="Times New Roman" w:eastAsia="宋体" w:cs="Times New Roman"/>
                <w:b/>
                <w:bCs/>
                <w:color w:val="000000" w:themeColor="text1"/>
                <w:kern w:val="2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14:textFill>
                  <w14:solidFill>
                    <w14:schemeClr w14:val="tx1"/>
                  </w14:solidFill>
                </w14:textFill>
              </w:rPr>
              <w:t>颗粒物</w:t>
            </w:r>
          </w:p>
        </w:tc>
        <w:tc>
          <w:tcPr>
            <w:tcW w:w="1562" w:type="dxa"/>
            <w:vAlign w:val="center"/>
          </w:tcPr>
          <w:p>
            <w:pPr>
              <w:pStyle w:val="9"/>
              <w:autoSpaceDE w:val="0"/>
              <w:autoSpaceDN w:val="0"/>
              <w:snapToGrid/>
              <w:spacing w:line="240" w:lineRule="auto"/>
              <w:ind w:left="0" w:right="0" w:firstLine="0"/>
              <w:jc w:val="center"/>
              <w:rPr>
                <w:rFonts w:hint="default" w:ascii="Times New Roman" w:hAnsi="Times New Roman" w:eastAsia="宋体" w:cs="Times New Roman"/>
                <w:b/>
                <w:bCs/>
                <w:color w:val="000000" w:themeColor="text1"/>
                <w:szCs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4"/>
                <w:highlight w:val="none"/>
                <w:u w:val="single"/>
                <w:lang w:val="en-US" w:eastAsia="zh-CN"/>
                <w14:textFill>
                  <w14:solidFill>
                    <w14:schemeClr w14:val="tx1"/>
                  </w14:solidFill>
                </w14:textFill>
              </w:rPr>
              <w:t>集气装置+覆膜袋式除尘器+15m排气筒（其中打磨粉尘采取滤筒除尘器+膜袋式除尘器处理）</w:t>
            </w:r>
          </w:p>
        </w:tc>
        <w:tc>
          <w:tcPr>
            <w:tcW w:w="2618" w:type="dxa"/>
            <w:vMerge w:val="restart"/>
            <w:vAlign w:val="center"/>
          </w:tcPr>
          <w:p>
            <w:pPr>
              <w:pStyle w:val="9"/>
              <w:autoSpaceDE w:val="0"/>
              <w:autoSpaceDN w:val="0"/>
              <w:snapToGrid/>
              <w:spacing w:line="240" w:lineRule="auto"/>
              <w:ind w:left="0" w:right="0" w:firstLine="0"/>
              <w:jc w:val="center"/>
              <w:rPr>
                <w:rFonts w:hint="default" w:ascii="Times New Roman" w:hAnsi="Times New Roman" w:eastAsia="宋体" w:cs="Times New Roman"/>
                <w:b/>
                <w:bCs/>
                <w:color w:val="000000" w:themeColor="text1"/>
                <w:szCs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4"/>
                <w:highlight w:val="none"/>
                <w:u w:val="single"/>
                <w:lang w:val="en-US" w:eastAsia="zh-CN"/>
                <w14:textFill>
                  <w14:solidFill>
                    <w14:schemeClr w14:val="tx1"/>
                  </w14:solidFill>
                </w14:textFill>
              </w:rPr>
              <w:t>《大气污染物综合排放标准》（GB16297-1996）表2二级标准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6" w:hRule="atLeast"/>
          <w:jc w:val="center"/>
        </w:trPr>
        <w:tc>
          <w:tcPr>
            <w:tcW w:w="1262" w:type="dxa"/>
            <w:vMerge w:val="continue"/>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p>
        </w:tc>
        <w:tc>
          <w:tcPr>
            <w:tcW w:w="1696" w:type="dxa"/>
            <w:vMerge w:val="restart"/>
            <w:vAlign w:val="center"/>
          </w:tcPr>
          <w:p>
            <w:pPr>
              <w:pStyle w:val="9"/>
              <w:autoSpaceDE w:val="0"/>
              <w:autoSpaceDN w:val="0"/>
              <w:snapToGrid/>
              <w:spacing w:line="240" w:lineRule="auto"/>
              <w:ind w:left="0" w:right="0" w:firstLine="0"/>
              <w:jc w:val="center"/>
              <w:rPr>
                <w:rFonts w:hint="default" w:ascii="Times New Roman" w:hAnsi="Times New Roman" w:eastAsia="宋体" w:cs="Times New Roman"/>
                <w:b/>
                <w:bCs/>
                <w:color w:val="000000" w:themeColor="text1"/>
                <w:szCs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4"/>
                <w:highlight w:val="none"/>
                <w:u w:val="single"/>
                <w:lang w:val="en-US" w:eastAsia="zh-CN"/>
                <w14:textFill>
                  <w14:solidFill>
                    <w14:schemeClr w14:val="tx1"/>
                  </w14:solidFill>
                </w14:textFill>
              </w:rPr>
              <w:t>DA002</w:t>
            </w:r>
          </w:p>
        </w:tc>
        <w:tc>
          <w:tcPr>
            <w:tcW w:w="1366" w:type="dxa"/>
            <w:vAlign w:val="center"/>
          </w:tcPr>
          <w:p>
            <w:pPr>
              <w:jc w:val="cente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油雾（颗粒物）</w:t>
            </w:r>
          </w:p>
        </w:tc>
        <w:tc>
          <w:tcPr>
            <w:tcW w:w="1562" w:type="dxa"/>
            <w:vAlign w:val="center"/>
          </w:tcPr>
          <w:p>
            <w:pPr>
              <w:pStyle w:val="9"/>
              <w:autoSpaceDE w:val="0"/>
              <w:autoSpaceDN w:val="0"/>
              <w:snapToGrid/>
              <w:spacing w:line="240" w:lineRule="auto"/>
              <w:ind w:left="0" w:right="0" w:firstLine="0"/>
              <w:jc w:val="center"/>
              <w:rPr>
                <w:rFonts w:hint="default" w:ascii="Times New Roman" w:hAnsi="Times New Roman" w:eastAsia="宋体" w:cs="Times New Roman"/>
                <w:b/>
                <w:bCs/>
                <w:color w:val="000000" w:themeColor="text1"/>
                <w:szCs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4"/>
                <w:highlight w:val="none"/>
                <w:u w:val="single"/>
                <w:lang w:val="en-US" w:eastAsia="zh-CN"/>
                <w14:textFill>
                  <w14:solidFill>
                    <w14:schemeClr w14:val="tx1"/>
                  </w14:solidFill>
                </w14:textFill>
              </w:rPr>
              <w:t>集气装置+油雾净化器+干式过滤器+二级活性炭装置+15m排气筒</w:t>
            </w:r>
          </w:p>
        </w:tc>
        <w:tc>
          <w:tcPr>
            <w:tcW w:w="2618" w:type="dxa"/>
            <w:vMerge w:val="continue"/>
            <w:vAlign w:val="center"/>
          </w:tcPr>
          <w:p>
            <w:pPr>
              <w:pStyle w:val="9"/>
              <w:autoSpaceDE w:val="0"/>
              <w:autoSpaceDN w:val="0"/>
              <w:snapToGrid/>
              <w:spacing w:line="240" w:lineRule="auto"/>
              <w:ind w:left="0" w:right="0" w:firstLine="0"/>
              <w:jc w:val="center"/>
              <w:rPr>
                <w:rFonts w:hint="default" w:ascii="Times New Roman" w:hAnsi="Times New Roman" w:eastAsia="宋体" w:cs="Times New Roman"/>
                <w:b/>
                <w:bCs/>
                <w:color w:val="000000" w:themeColor="text1"/>
                <w:szCs w:val="24"/>
                <w:highlight w:val="none"/>
                <w:u w:val="single"/>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262" w:type="dxa"/>
            <w:vMerge w:val="continue"/>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p>
        </w:tc>
        <w:tc>
          <w:tcPr>
            <w:tcW w:w="1696" w:type="dxa"/>
            <w:vMerge w:val="continue"/>
            <w:vAlign w:val="center"/>
          </w:tcPr>
          <w:p>
            <w:pPr>
              <w:pStyle w:val="9"/>
              <w:autoSpaceDE w:val="0"/>
              <w:autoSpaceDN w:val="0"/>
              <w:snapToGrid/>
              <w:spacing w:line="240" w:lineRule="auto"/>
              <w:ind w:left="0" w:right="0" w:firstLine="0"/>
              <w:jc w:val="center"/>
              <w:rPr>
                <w:rFonts w:hint="default" w:ascii="Times New Roman" w:hAnsi="Times New Roman" w:eastAsia="宋体" w:cs="Times New Roman"/>
                <w:b/>
                <w:bCs/>
                <w:color w:val="000000" w:themeColor="text1"/>
                <w:szCs w:val="24"/>
                <w:highlight w:val="none"/>
                <w:u w:val="single"/>
                <w:lang w:val="en-US" w:eastAsia="zh-CN"/>
                <w14:textFill>
                  <w14:solidFill>
                    <w14:schemeClr w14:val="tx1"/>
                  </w14:solidFill>
                </w14:textFill>
              </w:rPr>
            </w:pPr>
          </w:p>
        </w:tc>
        <w:tc>
          <w:tcPr>
            <w:tcW w:w="1366" w:type="dxa"/>
            <w:vAlign w:val="center"/>
          </w:tcPr>
          <w:p>
            <w:pPr>
              <w:jc w:val="cente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非甲烷总烃（含甲醇）</w:t>
            </w:r>
          </w:p>
        </w:tc>
        <w:tc>
          <w:tcPr>
            <w:tcW w:w="1562" w:type="dxa"/>
            <w:vMerge w:val="restart"/>
            <w:vAlign w:val="center"/>
          </w:tcPr>
          <w:p>
            <w:pPr>
              <w:pStyle w:val="9"/>
              <w:autoSpaceDE w:val="0"/>
              <w:autoSpaceDN w:val="0"/>
              <w:snapToGrid/>
              <w:spacing w:line="240" w:lineRule="auto"/>
              <w:ind w:left="0" w:leftChars="0" w:right="0" w:rightChars="0" w:firstLine="0" w:firstLineChars="0"/>
              <w:jc w:val="center"/>
              <w:rPr>
                <w:rFonts w:hint="default" w:ascii="Times New Roman" w:hAnsi="Times New Roman" w:eastAsia="宋体" w:cs="Times New Roman"/>
                <w:b/>
                <w:bCs/>
                <w:color w:val="000000" w:themeColor="text1"/>
                <w:szCs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4"/>
                <w:highlight w:val="none"/>
                <w:u w:val="single"/>
                <w:lang w:val="en-US" w:eastAsia="zh-CN"/>
                <w14:textFill>
                  <w14:solidFill>
                    <w14:schemeClr w14:val="tx1"/>
                  </w14:solidFill>
                </w14:textFill>
              </w:rPr>
              <w:t>集气装置+干式过滤器+二级活性炭装置+15m排气筒</w:t>
            </w:r>
          </w:p>
        </w:tc>
        <w:tc>
          <w:tcPr>
            <w:tcW w:w="2618" w:type="dxa"/>
            <w:vMerge w:val="restart"/>
            <w:vAlign w:val="center"/>
          </w:tcPr>
          <w:p>
            <w:pPr>
              <w:pStyle w:val="9"/>
              <w:autoSpaceDE w:val="0"/>
              <w:autoSpaceDN w:val="0"/>
              <w:snapToGrid/>
              <w:spacing w:line="240" w:lineRule="auto"/>
              <w:ind w:left="0" w:leftChars="0" w:right="0" w:rightChars="0" w:firstLine="0" w:firstLineChars="0"/>
              <w:jc w:val="center"/>
              <w:rPr>
                <w:rFonts w:hint="default" w:ascii="Times New Roman" w:hAnsi="Times New Roman" w:eastAsia="宋体" w:cs="Times New Roman"/>
                <w:b/>
                <w:bCs/>
                <w:color w:val="000000" w:themeColor="text1"/>
                <w:szCs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Cs w:val="24"/>
                <w:highlight w:val="none"/>
                <w:u w:val="single"/>
                <w:lang w:val="en-US" w:eastAsia="zh-CN"/>
                <w14:textFill>
                  <w14:solidFill>
                    <w14:schemeClr w14:val="tx1"/>
                  </w14:solidFill>
                </w14:textFill>
              </w:rPr>
              <w:t>《关于全省开展工业企业挥发性有机物专项治理工作中排放建议值的通知》（豫环攻坚办〔2017〕162号）“其他行业”要求</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04" w:hRule="atLeast"/>
          <w:jc w:val="center"/>
        </w:trPr>
        <w:tc>
          <w:tcPr>
            <w:tcW w:w="1262" w:type="dxa"/>
            <w:vMerge w:val="continue"/>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p>
        </w:tc>
        <w:tc>
          <w:tcPr>
            <w:tcW w:w="1696" w:type="dxa"/>
            <w:vMerge w:val="continue"/>
            <w:vAlign w:val="center"/>
          </w:tcPr>
          <w:p>
            <w:pPr>
              <w:pStyle w:val="9"/>
              <w:autoSpaceDE w:val="0"/>
              <w:autoSpaceDN w:val="0"/>
              <w:snapToGrid/>
              <w:spacing w:line="240" w:lineRule="auto"/>
              <w:ind w:left="0" w:right="0" w:firstLine="0"/>
              <w:jc w:val="cente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p>
        </w:tc>
        <w:tc>
          <w:tcPr>
            <w:tcW w:w="1366" w:type="dxa"/>
            <w:vAlign w:val="center"/>
          </w:tcPr>
          <w:p>
            <w:pPr>
              <w:jc w:val="cente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甲醇</w:t>
            </w:r>
          </w:p>
        </w:tc>
        <w:tc>
          <w:tcPr>
            <w:tcW w:w="1562" w:type="dxa"/>
            <w:vMerge w:val="continue"/>
            <w:vAlign w:val="center"/>
          </w:tcPr>
          <w:p>
            <w:pPr>
              <w:pStyle w:val="9"/>
              <w:autoSpaceDE w:val="0"/>
              <w:autoSpaceDN w:val="0"/>
              <w:snapToGrid/>
              <w:spacing w:line="240" w:lineRule="auto"/>
              <w:ind w:left="0" w:right="0" w:firstLine="0"/>
              <w:jc w:val="cente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p>
        </w:tc>
        <w:tc>
          <w:tcPr>
            <w:tcW w:w="2618" w:type="dxa"/>
            <w:vMerge w:val="continue"/>
            <w:vAlign w:val="center"/>
          </w:tcPr>
          <w:p>
            <w:pPr>
              <w:pStyle w:val="9"/>
              <w:autoSpaceDE w:val="0"/>
              <w:autoSpaceDN w:val="0"/>
              <w:snapToGrid/>
              <w:spacing w:line="240" w:lineRule="auto"/>
              <w:ind w:left="0" w:right="0" w:firstLine="0"/>
              <w:jc w:val="cente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1262" w:type="dxa"/>
            <w:vMerge w:val="continue"/>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p>
        </w:tc>
        <w:tc>
          <w:tcPr>
            <w:tcW w:w="1696" w:type="dxa"/>
            <w:vMerge w:val="continue"/>
            <w:vAlign w:val="center"/>
          </w:tcPr>
          <w:p>
            <w:pPr>
              <w:pStyle w:val="9"/>
              <w:autoSpaceDE w:val="0"/>
              <w:autoSpaceDN w:val="0"/>
              <w:snapToGrid/>
              <w:spacing w:line="240" w:lineRule="auto"/>
              <w:ind w:left="0" w:right="0" w:firstLine="0"/>
              <w:jc w:val="cente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p>
        </w:tc>
        <w:tc>
          <w:tcPr>
            <w:tcW w:w="1366" w:type="dxa"/>
            <w:vAlign w:val="center"/>
          </w:tcPr>
          <w:p>
            <w:pPr>
              <w:jc w:val="cente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pPr>
            <w:r>
              <w:rPr>
                <w:rFonts w:hint="default" w:ascii="Times New Roman" w:hAnsi="Times New Roman" w:eastAsia="宋体" w:cs="Times New Roman"/>
                <w:b/>
                <w:bCs/>
                <w:color w:val="000000" w:themeColor="text1"/>
                <w:sz w:val="24"/>
                <w:highlight w:val="none"/>
                <w:u w:val="single"/>
                <w:lang w:val="en-US" w:eastAsia="zh-CN"/>
                <w14:textFill>
                  <w14:solidFill>
                    <w14:schemeClr w14:val="tx1"/>
                  </w14:solidFill>
                </w14:textFill>
              </w:rPr>
              <w:t>CO</w:t>
            </w:r>
          </w:p>
        </w:tc>
        <w:tc>
          <w:tcPr>
            <w:tcW w:w="1562" w:type="dxa"/>
            <w:vMerge w:val="continue"/>
            <w:vAlign w:val="center"/>
          </w:tcPr>
          <w:p>
            <w:pPr>
              <w:pStyle w:val="9"/>
              <w:autoSpaceDE w:val="0"/>
              <w:autoSpaceDN w:val="0"/>
              <w:snapToGrid/>
              <w:spacing w:line="240" w:lineRule="auto"/>
              <w:ind w:left="0" w:right="0" w:firstLine="0"/>
              <w:jc w:val="cente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p>
        </w:tc>
        <w:tc>
          <w:tcPr>
            <w:tcW w:w="2618" w:type="dxa"/>
            <w:vMerge w:val="continue"/>
            <w:vAlign w:val="center"/>
          </w:tcPr>
          <w:p>
            <w:pPr>
              <w:pStyle w:val="9"/>
              <w:autoSpaceDE w:val="0"/>
              <w:autoSpaceDN w:val="0"/>
              <w:snapToGrid/>
              <w:spacing w:line="240" w:lineRule="auto"/>
              <w:ind w:left="0" w:right="0" w:firstLine="0"/>
              <w:jc w:val="center"/>
              <w:rPr>
                <w:rFonts w:hint="default" w:ascii="Times New Roman" w:hAnsi="Times New Roman" w:eastAsia="宋体" w:cs="Times New Roman"/>
                <w:color w:val="000000" w:themeColor="text1"/>
                <w:szCs w:val="24"/>
                <w:highlight w:val="none"/>
                <w:lang w:val="en-US" w:eastAsia="zh-CN"/>
                <w14:textFill>
                  <w14:solidFill>
                    <w14:schemeClr w14:val="tx1"/>
                  </w14:solidFill>
                </w14:textFill>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62"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地表水环境</w:t>
            </w:r>
          </w:p>
        </w:tc>
        <w:tc>
          <w:tcPr>
            <w:tcW w:w="1696"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DW001</w:t>
            </w:r>
          </w:p>
        </w:tc>
        <w:tc>
          <w:tcPr>
            <w:tcW w:w="1366" w:type="dxa"/>
            <w:vAlign w:val="center"/>
          </w:tcPr>
          <w:p>
            <w:pPr>
              <w:jc w:val="center"/>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COD、氨氮、SS</w:t>
            </w:r>
          </w:p>
        </w:tc>
        <w:tc>
          <w:tcPr>
            <w:tcW w:w="1562" w:type="dxa"/>
            <w:vAlign w:val="center"/>
          </w:tcPr>
          <w:p>
            <w:pPr>
              <w:jc w:val="center"/>
              <w:rPr>
                <w:rFonts w:hint="default" w:ascii="Times New Roman" w:hAnsi="Times New Roman" w:eastAsia="宋体" w:cs="Times New Roman"/>
                <w:color w:val="000000" w:themeColor="text1"/>
                <w:kern w:val="2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1"/>
                <w:sz w:val="24"/>
                <w:highlight w:val="none"/>
                <w:lang w:val="en-US" w:eastAsia="zh-CN"/>
                <w14:textFill>
                  <w14:solidFill>
                    <w14:schemeClr w14:val="tx1"/>
                  </w14:solidFill>
                </w14:textFill>
              </w:rPr>
              <w:t>化粪池</w:t>
            </w:r>
          </w:p>
        </w:tc>
        <w:tc>
          <w:tcPr>
            <w:tcW w:w="2618"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《污水综合排放标准》（GB8978-1996）表4三级排放标准要求和濮阳市第三污水处理厂收纳水质标准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62"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声环境</w:t>
            </w:r>
          </w:p>
        </w:tc>
        <w:tc>
          <w:tcPr>
            <w:tcW w:w="1696"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设备噪声</w:t>
            </w:r>
          </w:p>
        </w:tc>
        <w:tc>
          <w:tcPr>
            <w:tcW w:w="1366"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Leq（A）</w:t>
            </w:r>
          </w:p>
        </w:tc>
        <w:tc>
          <w:tcPr>
            <w:tcW w:w="1562"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选用低噪声设备，厂区合理布局，增强建筑隔声等措施</w:t>
            </w:r>
          </w:p>
        </w:tc>
        <w:tc>
          <w:tcPr>
            <w:tcW w:w="2618"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《工业企业厂界环境噪声排放标准》（GB12348-2008）中的</w:t>
            </w:r>
            <w:r>
              <w:rPr>
                <w:rFonts w:hint="default" w:ascii="Times New Roman" w:hAnsi="Times New Roman" w:eastAsia="宋体" w:cs="Times New Roman"/>
                <w:color w:val="000000" w:themeColor="text1"/>
                <w:kern w:val="21"/>
                <w:sz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kern w:val="21"/>
                <w:sz w:val="24"/>
                <w:highlight w:val="none"/>
                <w14:textFill>
                  <w14:solidFill>
                    <w14:schemeClr w14:val="tx1"/>
                  </w14:solidFill>
                </w14:textFill>
              </w:rPr>
              <w:t>类标准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62"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电磁辐射</w:t>
            </w:r>
          </w:p>
        </w:tc>
        <w:tc>
          <w:tcPr>
            <w:tcW w:w="7242" w:type="dxa"/>
            <w:gridSpan w:val="4"/>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62"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固体废物</w:t>
            </w:r>
          </w:p>
        </w:tc>
        <w:tc>
          <w:tcPr>
            <w:tcW w:w="7242" w:type="dxa"/>
            <w:gridSpan w:val="4"/>
            <w:vAlign w:val="center"/>
          </w:tcPr>
          <w:p>
            <w:pPr>
              <w:jc w:val="center"/>
              <w:rPr>
                <w:rFonts w:hint="default" w:ascii="Times New Roman" w:hAnsi="Times New Roman" w:eastAsia="宋体" w:cs="Times New Roman"/>
                <w:color w:val="000000" w:themeColor="text1"/>
                <w:kern w:val="2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21"/>
                <w:sz w:val="24"/>
                <w:highlight w:val="none"/>
                <w:lang w:val="en-US" w:eastAsia="zh-CN"/>
                <w14:textFill>
                  <w14:solidFill>
                    <w14:schemeClr w14:val="tx1"/>
                  </w14:solidFill>
                </w14:textFill>
              </w:rPr>
              <w:t>废边角料、废钢屑、不合格品、废包装材料、除尘器收集粉尘、废焊材集中收集后外售；废切削液、废润滑油、废活性炭、废包装桶收集后委托有资质单位处置；生活垃圾委托环卫部门统一清运处置。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62"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土壤及地下水污染防治措施</w:t>
            </w:r>
          </w:p>
        </w:tc>
        <w:tc>
          <w:tcPr>
            <w:tcW w:w="7242" w:type="dxa"/>
            <w:gridSpan w:val="4"/>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62"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生态保护措施</w:t>
            </w:r>
          </w:p>
        </w:tc>
        <w:tc>
          <w:tcPr>
            <w:tcW w:w="7242" w:type="dxa"/>
            <w:gridSpan w:val="4"/>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62"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环境风险防范措施</w:t>
            </w:r>
          </w:p>
        </w:tc>
        <w:tc>
          <w:tcPr>
            <w:tcW w:w="7242" w:type="dxa"/>
            <w:gridSpan w:val="4"/>
            <w:vAlign w:val="center"/>
          </w:tcPr>
          <w:p>
            <w:pPr>
              <w:numPr>
                <w:ilvl w:val="0"/>
                <w:numId w:val="0"/>
              </w:numPr>
              <w:jc w:val="both"/>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①加强对工人的安全生产和环境保护教育及管理，特别是危险岗位的操作工，必须按规定经过安全操作的技术培训，取得合格证后才能上岗。</w:t>
            </w:r>
          </w:p>
          <w:p>
            <w:pPr>
              <w:numPr>
                <w:ilvl w:val="0"/>
                <w:numId w:val="0"/>
              </w:numPr>
              <w:jc w:val="both"/>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②项目各建（构）筑物间距满足消防安全要求；车间及库房等建筑的防火等级基本满足消防的有关规定。</w:t>
            </w:r>
          </w:p>
          <w:p>
            <w:pPr>
              <w:numPr>
                <w:ilvl w:val="0"/>
                <w:numId w:val="0"/>
              </w:numPr>
              <w:jc w:val="both"/>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③加强对废气治理设施的运行管理，定期对废气处理设施进行维护、修理，使其处于正常运转状态，杜绝事故性排放。</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22" w:hRule="atLeast"/>
          <w:jc w:val="center"/>
        </w:trPr>
        <w:tc>
          <w:tcPr>
            <w:tcW w:w="1262" w:type="dxa"/>
            <w:vAlign w:val="center"/>
          </w:tcPr>
          <w:p>
            <w:pPr>
              <w:jc w:val="center"/>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其他环境管理要求</w:t>
            </w:r>
          </w:p>
        </w:tc>
        <w:tc>
          <w:tcPr>
            <w:tcW w:w="7242" w:type="dxa"/>
            <w:gridSpan w:val="4"/>
            <w:vAlign w:val="center"/>
          </w:tcPr>
          <w:p>
            <w:pPr>
              <w:jc w:val="left"/>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①建设单位作为本项目的环境责任主体，应建立各项环境管理制度，配备环保人员，负责环境管理工作，确保各类污染防治措施有效运行，各污染物稳定达标排放。</w:t>
            </w:r>
          </w:p>
          <w:p>
            <w:pPr>
              <w:jc w:val="left"/>
              <w:rPr>
                <w:rFonts w:hint="default" w:ascii="Times New Roman" w:hAnsi="Times New Roman" w:eastAsia="宋体" w:cs="Times New Roman"/>
                <w:color w:val="000000" w:themeColor="text1"/>
                <w:kern w:val="21"/>
                <w:sz w:val="24"/>
                <w:highlight w:val="none"/>
                <w14:textFill>
                  <w14:solidFill>
                    <w14:schemeClr w14:val="tx1"/>
                  </w14:solidFill>
                </w14:textFill>
              </w:rPr>
            </w:pPr>
            <w:r>
              <w:rPr>
                <w:rFonts w:hint="default" w:ascii="Times New Roman" w:hAnsi="Times New Roman" w:eastAsia="宋体" w:cs="Times New Roman"/>
                <w:color w:val="000000" w:themeColor="text1"/>
                <w:kern w:val="21"/>
                <w:sz w:val="24"/>
                <w:highlight w:val="none"/>
                <w14:textFill>
                  <w14:solidFill>
                    <w14:schemeClr w14:val="tx1"/>
                  </w14:solidFill>
                </w14:textFill>
              </w:rPr>
              <w:t>②按照相关技术规范开展自行监测。</w:t>
            </w:r>
          </w:p>
        </w:tc>
      </w:tr>
    </w:tbl>
    <w:p>
      <w:pPr>
        <w:jc w:val="center"/>
        <w:rPr>
          <w:rFonts w:hint="default" w:ascii="Times New Roman" w:hAnsi="Times New Roman" w:eastAsia="宋体" w:cs="Times New Roman"/>
          <w:color w:val="000000" w:themeColor="text1"/>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jc w:val="center"/>
        <w:rPr>
          <w:rFonts w:hint="default" w:ascii="Times New Roman" w:hAnsi="Times New Roman" w:eastAsia="宋体" w:cs="Times New Roman"/>
          <w:b/>
          <w:bCs/>
          <w:color w:val="000000" w:themeColor="text1"/>
          <w:lang w:val="en-US" w:eastAsia="zh-CN"/>
          <w14:textFill>
            <w14:solidFill>
              <w14:schemeClr w14:val="tx1"/>
            </w14:solidFill>
          </w14:textFill>
        </w:rPr>
      </w:pPr>
      <w:r>
        <w:rPr>
          <w:rFonts w:hint="default" w:ascii="Times New Roman" w:hAnsi="Times New Roman" w:eastAsia="宋体" w:cs="Times New Roman"/>
          <w:b/>
          <w:bCs/>
          <w:color w:val="000000" w:themeColor="text1"/>
          <w:sz w:val="28"/>
          <w:szCs w:val="36"/>
          <w:lang w:val="en-US" w:eastAsia="zh-CN"/>
          <w14:textFill>
            <w14:solidFill>
              <w14:schemeClr w14:val="tx1"/>
            </w14:solidFill>
          </w14:textFill>
        </w:rPr>
        <w:t>六、结论</w:t>
      </w:r>
    </w:p>
    <w:tbl>
      <w:tblPr>
        <w:tblStyle w:val="16"/>
        <w:tblW w:w="850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50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26" w:hRule="atLeast"/>
          <w:jc w:val="center"/>
        </w:trPr>
        <w:tc>
          <w:tcPr>
            <w:tcW w:w="8504" w:type="dxa"/>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both"/>
              <w:textAlignment w:val="auto"/>
              <w:rPr>
                <w:rFonts w:hint="default" w:ascii="Times New Roman" w:hAnsi="Times New Roman" w:eastAsia="宋体" w:cs="Times New Roman"/>
                <w:color w:val="000000" w:themeColor="text1"/>
                <w:spacing w:val="0"/>
                <w:kern w:val="21"/>
                <w:sz w:val="24"/>
                <w:lang w:eastAsia="zh-CN"/>
                <w14:textFill>
                  <w14:solidFill>
                    <w14:schemeClr w14:val="tx1"/>
                  </w14:solidFill>
                </w14:textFill>
              </w:rPr>
            </w:pPr>
            <w:r>
              <w:rPr>
                <w:rFonts w:hint="default" w:ascii="Times New Roman" w:hAnsi="Times New Roman" w:eastAsia="宋体" w:cs="Times New Roman"/>
                <w:b w:val="0"/>
                <w:bCs w:val="0"/>
                <w:color w:val="000000" w:themeColor="text1"/>
                <w:spacing w:val="0"/>
                <w:kern w:val="21"/>
                <w:sz w:val="24"/>
                <w:u w:val="none"/>
                <w14:textFill>
                  <w14:solidFill>
                    <w14:schemeClr w14:val="tx1"/>
                  </w14:solidFill>
                </w14:textFill>
              </w:rPr>
              <w:t>本项目符合国家当前的产业政策，选址合理，项目运营期产生的废气、废水、噪声、固废等在采取评价提出的相应污染防治措施后，均可得到有效的治理或综合利用，实现达标排放。风险能够得到有效控制，环境影响较小，从环境保护角度分析，项目建设可行。</w:t>
            </w:r>
          </w:p>
        </w:tc>
      </w:tr>
    </w:tbl>
    <w:p>
      <w:pPr>
        <w:pStyle w:val="15"/>
        <w:rPr>
          <w:rFonts w:hint="default" w:ascii="Times New Roman" w:hAnsi="Times New Roman" w:eastAsia="宋体" w:cs="Times New Roman"/>
          <w:color w:val="000000" w:themeColor="text1"/>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13"/>
        <w:keepNext w:val="0"/>
        <w:keepLines w:val="0"/>
        <w:pageBreakBefore w:val="0"/>
        <w:widowControl/>
        <w:kinsoku/>
        <w:wordWrap/>
        <w:overflowPunct/>
        <w:topLinePunct w:val="0"/>
        <w:autoSpaceDE/>
        <w:autoSpaceDN/>
        <w:bidi w:val="0"/>
        <w:adjustRightInd/>
        <w:snapToGrid/>
        <w:spacing w:before="0" w:beforeAutospacing="0" w:after="0" w:afterAutospacing="0" w:line="360" w:lineRule="auto"/>
        <w:jc w:val="center"/>
        <w:textAlignment w:val="auto"/>
        <w:outlineLvl w:val="0"/>
        <w:rPr>
          <w:rFonts w:hint="default" w:ascii="Times New Roman" w:hAnsi="Times New Roman" w:eastAsia="宋体" w:cs="Times New Roman"/>
          <w:b/>
          <w:bCs/>
          <w:snapToGrid w:val="0"/>
          <w:color w:val="000000" w:themeColor="text1"/>
          <w:spacing w:val="0"/>
          <w:kern w:val="21"/>
          <w:sz w:val="38"/>
          <w:szCs w:val="38"/>
          <w14:textFill>
            <w14:solidFill>
              <w14:schemeClr w14:val="tx1"/>
            </w14:solidFill>
          </w14:textFill>
        </w:rPr>
      </w:pPr>
      <w:r>
        <w:rPr>
          <w:rFonts w:hint="default" w:ascii="Times New Roman" w:hAnsi="Times New Roman" w:eastAsia="宋体" w:cs="Times New Roman"/>
          <w:b/>
          <w:bCs/>
          <w:snapToGrid w:val="0"/>
          <w:color w:val="000000" w:themeColor="text1"/>
          <w:spacing w:val="0"/>
          <w:kern w:val="21"/>
          <w:sz w:val="38"/>
          <w:szCs w:val="38"/>
          <w14:textFill>
            <w14:solidFill>
              <w14:schemeClr w14:val="tx1"/>
            </w14:solidFill>
          </w14:textFill>
        </w:rPr>
        <w:t>建设项目污染物排放量汇总表</w:t>
      </w:r>
    </w:p>
    <w:tbl>
      <w:tblPr>
        <w:tblStyle w:val="16"/>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59"/>
        <w:gridCol w:w="2119"/>
        <w:gridCol w:w="1586"/>
        <w:gridCol w:w="1238"/>
        <w:gridCol w:w="1562"/>
        <w:gridCol w:w="1525"/>
        <w:gridCol w:w="1775"/>
        <w:gridCol w:w="1763"/>
        <w:gridCol w:w="1561"/>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tcBorders>
              <w:tl2br w:val="single" w:color="auto" w:sz="4" w:space="0"/>
            </w:tcBorders>
            <w:tcMar>
              <w:left w:w="28" w:type="dxa"/>
              <w:right w:w="28" w:type="dxa"/>
            </w:tcMar>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jc w:val="righ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项目</w:t>
            </w:r>
          </w:p>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jc w:val="lef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分类</w:t>
            </w:r>
          </w:p>
        </w:tc>
        <w:tc>
          <w:tcPr>
            <w:tcW w:w="2119" w:type="dxa"/>
            <w:tcMar>
              <w:left w:w="28" w:type="dxa"/>
              <w:right w:w="28" w:type="dxa"/>
            </w:tcMar>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污染物名称</w:t>
            </w:r>
          </w:p>
        </w:tc>
        <w:tc>
          <w:tcPr>
            <w:tcW w:w="1586" w:type="dxa"/>
            <w:tcMar>
              <w:left w:w="28" w:type="dxa"/>
              <w:right w:w="28" w:type="dxa"/>
            </w:tcMar>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eastAsia="zh-CN"/>
                <w14:textFill>
                  <w14:solidFill>
                    <w14:schemeClr w14:val="tx1"/>
                  </w14:solidFill>
                </w14:textFill>
              </w:rPr>
              <w:t>原有</w: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工程</w:t>
            </w:r>
          </w:p>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1"/>
                <w:sz w:val="21"/>
                <w:szCs w:val="21"/>
                <w14:textFill>
                  <w14:solidFill>
                    <w14:schemeClr w14:val="tx1"/>
                  </w14:solidFill>
                </w14:textFill>
              </w:rPr>
              <w:t>①</w: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end"/>
            </w:r>
          </w:p>
        </w:tc>
        <w:tc>
          <w:tcPr>
            <w:tcW w:w="1238" w:type="dxa"/>
            <w:tcMar>
              <w:left w:w="28" w:type="dxa"/>
              <w:right w:w="28" w:type="dxa"/>
            </w:tcMar>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eastAsia="zh-CN"/>
                <w14:textFill>
                  <w14:solidFill>
                    <w14:schemeClr w14:val="tx1"/>
                  </w14:solidFill>
                </w14:textFill>
              </w:rPr>
              <w:t>原有</w: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工程</w:t>
            </w:r>
          </w:p>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许可排放量</w:t>
            </w:r>
          </w:p>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instrText xml:space="preserve"> = 2 \* GB3 \* MERGEFORMAT </w:instrTex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separate"/>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②</w: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end"/>
            </w:r>
          </w:p>
        </w:tc>
        <w:tc>
          <w:tcPr>
            <w:tcW w:w="1562" w:type="dxa"/>
            <w:tcMar>
              <w:left w:w="28" w:type="dxa"/>
              <w:right w:w="28" w:type="dxa"/>
            </w:tcMar>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在建工程</w:t>
            </w:r>
          </w:p>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instrText xml:space="preserve"> = 3 \* GB3 \* MERGEFORMAT </w:instrTex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1"/>
                <w:sz w:val="21"/>
                <w:szCs w:val="21"/>
                <w14:textFill>
                  <w14:solidFill>
                    <w14:schemeClr w14:val="tx1"/>
                  </w14:solidFill>
                </w14:textFill>
              </w:rPr>
              <w:t>③</w: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end"/>
            </w:r>
          </w:p>
        </w:tc>
        <w:tc>
          <w:tcPr>
            <w:tcW w:w="1525" w:type="dxa"/>
            <w:tcMar>
              <w:left w:w="28" w:type="dxa"/>
              <w:right w:w="28" w:type="dxa"/>
            </w:tcMar>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本项目</w:t>
            </w:r>
          </w:p>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排放量（固体废物产生量）</w: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instrText xml:space="preserve"> = 4 \* GB3 \* MERGEFORMAT </w:instrTex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1"/>
                <w:sz w:val="21"/>
                <w:szCs w:val="21"/>
                <w14:textFill>
                  <w14:solidFill>
                    <w14:schemeClr w14:val="tx1"/>
                  </w14:solidFill>
                </w14:textFill>
              </w:rPr>
              <w:t>④</w: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end"/>
            </w:r>
          </w:p>
        </w:tc>
        <w:tc>
          <w:tcPr>
            <w:tcW w:w="1775" w:type="dxa"/>
            <w:tcMar>
              <w:left w:w="28" w:type="dxa"/>
              <w:right w:w="28" w:type="dxa"/>
            </w:tcMar>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以新带老削减量</w:t>
            </w:r>
          </w:p>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（新建项目不填）</w: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instrText xml:space="preserve"> = 5 \* GB3 \* MERGEFORMAT </w:instrTex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1"/>
                <w:sz w:val="21"/>
                <w:szCs w:val="21"/>
                <w14:textFill>
                  <w14:solidFill>
                    <w14:schemeClr w14:val="tx1"/>
                  </w14:solidFill>
                </w14:textFill>
              </w:rPr>
              <w:t>⑤</w: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end"/>
            </w:r>
          </w:p>
        </w:tc>
        <w:tc>
          <w:tcPr>
            <w:tcW w:w="1763" w:type="dxa"/>
            <w:tcMar>
              <w:left w:w="28" w:type="dxa"/>
              <w:right w:w="28" w:type="dxa"/>
            </w:tcMar>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本项目建成后</w:t>
            </w:r>
          </w:p>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全厂排放量（固体废物产生量）</w: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1"/>
                <w:sz w:val="21"/>
                <w:szCs w:val="21"/>
                <w14:textFill>
                  <w14:solidFill>
                    <w14:schemeClr w14:val="tx1"/>
                  </w14:solidFill>
                </w14:textFill>
              </w:rPr>
              <w:t>⑥</w: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end"/>
            </w:r>
          </w:p>
        </w:tc>
        <w:tc>
          <w:tcPr>
            <w:tcW w:w="1561" w:type="dxa"/>
            <w:tcMar>
              <w:left w:w="28" w:type="dxa"/>
              <w:right w:w="28" w:type="dxa"/>
            </w:tcMar>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变化量</w:t>
            </w:r>
          </w:p>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instrText xml:space="preserve"> = 7 \* GB3 \* MERGEFORMAT </w:instrTex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1"/>
                <w:sz w:val="21"/>
                <w:szCs w:val="21"/>
                <w14:textFill>
                  <w14:solidFill>
                    <w14:schemeClr w14:val="tx1"/>
                  </w14:solidFill>
                </w14:textFill>
              </w:rPr>
              <w:t>⑦</w:t>
            </w: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restar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废气</w:t>
            </w:r>
          </w:p>
        </w:tc>
        <w:tc>
          <w:tcPr>
            <w:tcW w:w="2119" w:type="dxa"/>
            <w:tcBorders>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颗粒物</w:t>
            </w:r>
          </w:p>
        </w:tc>
        <w:tc>
          <w:tcPr>
            <w:tcW w:w="1586" w:type="dxa"/>
            <w:tcBorders>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0.0159t/a</w:t>
            </w:r>
          </w:p>
        </w:tc>
        <w:tc>
          <w:tcPr>
            <w:tcW w:w="1238" w:type="dxa"/>
            <w:tcBorders>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0.025t/a</w:t>
            </w:r>
          </w:p>
        </w:tc>
        <w:tc>
          <w:tcPr>
            <w:tcW w:w="1562" w:type="dxa"/>
            <w:tcBorders>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tcBorders>
              <w:bottom w:val="single" w:color="000000" w:sz="6" w:space="0"/>
            </w:tcBorders>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0.0261t/a</w:t>
            </w:r>
          </w:p>
        </w:tc>
        <w:tc>
          <w:tcPr>
            <w:tcW w:w="1775" w:type="dxa"/>
            <w:tcBorders>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highlight w:val="yellow"/>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0.0159t/a</w:t>
            </w:r>
          </w:p>
        </w:tc>
        <w:tc>
          <w:tcPr>
            <w:tcW w:w="1763" w:type="dxa"/>
            <w:tcBorders>
              <w:bottom w:val="single" w:color="000000" w:sz="6" w:space="0"/>
            </w:tcBorders>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0.0261t/a</w:t>
            </w:r>
          </w:p>
        </w:tc>
        <w:tc>
          <w:tcPr>
            <w:tcW w:w="1561" w:type="dxa"/>
            <w:tcBorders>
              <w:bottom w:val="single" w:color="000000" w:sz="6" w:space="0"/>
            </w:tcBorders>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0.0102t/a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p>
        </w:tc>
        <w:tc>
          <w:tcPr>
            <w:tcW w:w="2119" w:type="dxa"/>
            <w:tcBorders>
              <w:top w:val="single" w:color="000000" w:sz="6"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非甲烷总烃</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（含甲醇）</w:t>
            </w:r>
          </w:p>
        </w:tc>
        <w:tc>
          <w:tcPr>
            <w:tcW w:w="1586" w:type="dxa"/>
            <w:tcBorders>
              <w:top w:val="single" w:color="000000" w:sz="6"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0.087t/a</w:t>
            </w:r>
          </w:p>
        </w:tc>
        <w:tc>
          <w:tcPr>
            <w:tcW w:w="1238" w:type="dxa"/>
            <w:tcBorders>
              <w:top w:val="single" w:color="000000" w:sz="6"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62" w:type="dxa"/>
            <w:tcBorders>
              <w:top w:val="single" w:color="000000" w:sz="6"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tcBorders>
              <w:top w:val="single" w:color="000000" w:sz="6" w:space="0"/>
              <w:bottom w:val="single" w:color="auto" w:sz="4" w:space="0"/>
            </w:tcBorders>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0.0032t/a</w:t>
            </w:r>
          </w:p>
        </w:tc>
        <w:tc>
          <w:tcPr>
            <w:tcW w:w="1775" w:type="dxa"/>
            <w:tcBorders>
              <w:top w:val="single" w:color="000000" w:sz="6"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highlight w:val="yellow"/>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0.087t/a</w:t>
            </w:r>
          </w:p>
        </w:tc>
        <w:tc>
          <w:tcPr>
            <w:tcW w:w="1763" w:type="dxa"/>
            <w:tcBorders>
              <w:top w:val="single" w:color="000000" w:sz="6" w:space="0"/>
              <w:bottom w:val="single" w:color="auto" w:sz="4" w:space="0"/>
            </w:tcBorders>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0.0032t/a</w:t>
            </w:r>
          </w:p>
        </w:tc>
        <w:tc>
          <w:tcPr>
            <w:tcW w:w="1561" w:type="dxa"/>
            <w:tcBorders>
              <w:top w:val="single" w:color="000000" w:sz="6" w:space="0"/>
              <w:bottom w:val="single" w:color="auto" w:sz="4" w:space="0"/>
            </w:tcBorders>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-0.0838t/a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p>
        </w:tc>
        <w:tc>
          <w:tcPr>
            <w:tcW w:w="2119" w:type="dxa"/>
            <w:tcBorders>
              <w:top w:val="single" w:color="auto" w:sz="4"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甲醇</w:t>
            </w:r>
          </w:p>
        </w:tc>
        <w:tc>
          <w:tcPr>
            <w:tcW w:w="1586" w:type="dxa"/>
            <w:tcBorders>
              <w:top w:val="single" w:color="auto" w:sz="4"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238" w:type="dxa"/>
            <w:tcBorders>
              <w:top w:val="single" w:color="auto" w:sz="4"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62" w:type="dxa"/>
            <w:tcBorders>
              <w:top w:val="single" w:color="auto" w:sz="4"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tcBorders>
              <w:top w:val="single" w:color="auto" w:sz="4" w:space="0"/>
              <w:bottom w:val="single" w:color="auto" w:sz="4" w:space="0"/>
            </w:tcBorders>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0.0011t/a</w:t>
            </w:r>
          </w:p>
        </w:tc>
        <w:tc>
          <w:tcPr>
            <w:tcW w:w="1775" w:type="dxa"/>
            <w:tcBorders>
              <w:top w:val="single" w:color="auto" w:sz="4" w:space="0"/>
              <w:bottom w:val="single" w:color="auto" w:sz="4"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b w:val="0"/>
                <w:bCs w:val="0"/>
                <w:color w:val="000000" w:themeColor="text1"/>
                <w:sz w:val="21"/>
                <w:szCs w:val="21"/>
                <w:highlight w:val="yellow"/>
                <w:u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763" w:type="dxa"/>
            <w:tcBorders>
              <w:top w:val="single" w:color="auto" w:sz="4" w:space="0"/>
              <w:bottom w:val="single" w:color="auto" w:sz="4" w:space="0"/>
            </w:tcBorders>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0.0011t/a</w:t>
            </w:r>
          </w:p>
        </w:tc>
        <w:tc>
          <w:tcPr>
            <w:tcW w:w="1561" w:type="dxa"/>
            <w:tcBorders>
              <w:top w:val="single" w:color="auto" w:sz="4" w:space="0"/>
              <w:bottom w:val="single" w:color="auto" w:sz="4" w:space="0"/>
            </w:tcBorders>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0.0011t/a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p>
        </w:tc>
        <w:tc>
          <w:tcPr>
            <w:tcW w:w="2119" w:type="dxa"/>
            <w:tcBorders>
              <w:top w:val="single" w:color="auto" w:sz="4" w:space="0"/>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CO</w:t>
            </w:r>
          </w:p>
        </w:tc>
        <w:tc>
          <w:tcPr>
            <w:tcW w:w="1586" w:type="dxa"/>
            <w:tcBorders>
              <w:top w:val="single" w:color="auto" w:sz="4" w:space="0"/>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238" w:type="dxa"/>
            <w:tcBorders>
              <w:top w:val="single" w:color="auto" w:sz="4" w:space="0"/>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62" w:type="dxa"/>
            <w:tcBorders>
              <w:top w:val="single" w:color="auto" w:sz="4" w:space="0"/>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tcBorders>
              <w:top w:val="single" w:color="auto" w:sz="4" w:space="0"/>
              <w:bottom w:val="single" w:color="000000" w:sz="6" w:space="0"/>
            </w:tcBorders>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0.0031t/a</w:t>
            </w:r>
          </w:p>
        </w:tc>
        <w:tc>
          <w:tcPr>
            <w:tcW w:w="1775" w:type="dxa"/>
            <w:tcBorders>
              <w:top w:val="single" w:color="auto" w:sz="4" w:space="0"/>
              <w:bottom w:val="single" w:color="000000" w:sz="6" w:space="0"/>
            </w:tcBorders>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p>
        </w:tc>
        <w:tc>
          <w:tcPr>
            <w:tcW w:w="1763" w:type="dxa"/>
            <w:tcBorders>
              <w:top w:val="single" w:color="auto" w:sz="4" w:space="0"/>
              <w:bottom w:val="single" w:color="000000" w:sz="6" w:space="0"/>
            </w:tcBorders>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0.0031t/a</w:t>
            </w:r>
          </w:p>
        </w:tc>
        <w:tc>
          <w:tcPr>
            <w:tcW w:w="1561" w:type="dxa"/>
            <w:tcBorders>
              <w:top w:val="single" w:color="auto" w:sz="4" w:space="0"/>
              <w:bottom w:val="single" w:color="000000" w:sz="6" w:space="0"/>
            </w:tcBorders>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0.0031t/a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restar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废水</w:t>
            </w:r>
          </w:p>
        </w:tc>
        <w:tc>
          <w:tcPr>
            <w:tcW w:w="2119"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COD</w:t>
            </w:r>
          </w:p>
        </w:tc>
        <w:tc>
          <w:tcPr>
            <w:tcW w:w="1586"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0.016t/a</w:t>
            </w:r>
          </w:p>
        </w:tc>
        <w:tc>
          <w:tcPr>
            <w:tcW w:w="1238"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0.0186t/a</w:t>
            </w:r>
          </w:p>
        </w:tc>
        <w:tc>
          <w:tcPr>
            <w:tcW w:w="1562"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ind w:left="0" w:leftChars="0"/>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0.0176t/a</w:t>
            </w:r>
          </w:p>
        </w:tc>
        <w:tc>
          <w:tcPr>
            <w:tcW w:w="1775"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highlight w:val="yellow"/>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0.016t/a</w:t>
            </w:r>
          </w:p>
        </w:tc>
        <w:tc>
          <w:tcPr>
            <w:tcW w:w="1763"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ind w:left="0" w:leftChars="0"/>
              <w:jc w:val="center"/>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0.0176t/a</w:t>
            </w:r>
          </w:p>
        </w:tc>
        <w:tc>
          <w:tcPr>
            <w:tcW w:w="1561"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0.0016t/a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p>
        </w:tc>
        <w:tc>
          <w:tcPr>
            <w:tcW w:w="2119"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氨氮</w:t>
            </w:r>
          </w:p>
        </w:tc>
        <w:tc>
          <w:tcPr>
            <w:tcW w:w="1586"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0.0008t/a</w:t>
            </w:r>
          </w:p>
        </w:tc>
        <w:tc>
          <w:tcPr>
            <w:tcW w:w="1238"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0.0009t/a</w:t>
            </w:r>
          </w:p>
        </w:tc>
        <w:tc>
          <w:tcPr>
            <w:tcW w:w="1562"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ind w:left="0" w:leftChars="0"/>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0.0009t/a</w:t>
            </w:r>
          </w:p>
        </w:tc>
        <w:tc>
          <w:tcPr>
            <w:tcW w:w="1775"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highlight w:val="yellow"/>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0.0008t/a</w:t>
            </w:r>
          </w:p>
        </w:tc>
        <w:tc>
          <w:tcPr>
            <w:tcW w:w="1763"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ind w:left="0" w:leftChars="0"/>
              <w:jc w:val="center"/>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0.0009t/a</w:t>
            </w:r>
          </w:p>
        </w:tc>
        <w:tc>
          <w:tcPr>
            <w:tcW w:w="1561"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0.0001t/a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restar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一般工业固体废物</w:t>
            </w:r>
          </w:p>
        </w:tc>
        <w:tc>
          <w:tcPr>
            <w:tcW w:w="21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废边角料</w:t>
            </w:r>
          </w:p>
        </w:tc>
        <w:tc>
          <w:tcPr>
            <w:tcW w:w="1586"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1t/a</w:t>
            </w:r>
          </w:p>
        </w:tc>
        <w:tc>
          <w:tcPr>
            <w:tcW w:w="1238"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62"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17.5t/a</w:t>
            </w:r>
          </w:p>
        </w:tc>
        <w:tc>
          <w:tcPr>
            <w:tcW w:w="1775"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1t/a</w:t>
            </w:r>
          </w:p>
        </w:tc>
        <w:tc>
          <w:tcPr>
            <w:tcW w:w="1763"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17.5t/a</w:t>
            </w:r>
          </w:p>
        </w:tc>
        <w:tc>
          <w:tcPr>
            <w:tcW w:w="1561"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16.5t/a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p>
        </w:tc>
        <w:tc>
          <w:tcPr>
            <w:tcW w:w="21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废钢屑</w:t>
            </w:r>
          </w:p>
        </w:tc>
        <w:tc>
          <w:tcPr>
            <w:tcW w:w="1586"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0.86t/a</w:t>
            </w:r>
          </w:p>
        </w:tc>
        <w:tc>
          <w:tcPr>
            <w:tcW w:w="1238"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62"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0.85t/a</w:t>
            </w:r>
          </w:p>
        </w:tc>
        <w:tc>
          <w:tcPr>
            <w:tcW w:w="1775"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0.86t/a</w:t>
            </w:r>
          </w:p>
        </w:tc>
        <w:tc>
          <w:tcPr>
            <w:tcW w:w="1763"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0.85t/a</w:t>
            </w:r>
          </w:p>
        </w:tc>
        <w:tc>
          <w:tcPr>
            <w:tcW w:w="1561"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p>
        </w:tc>
        <w:tc>
          <w:tcPr>
            <w:tcW w:w="21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不合格品</w:t>
            </w:r>
          </w:p>
        </w:tc>
        <w:tc>
          <w:tcPr>
            <w:tcW w:w="1586"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1t/a</w:t>
            </w:r>
          </w:p>
        </w:tc>
        <w:tc>
          <w:tcPr>
            <w:tcW w:w="1238"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62"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3t/a</w:t>
            </w:r>
          </w:p>
        </w:tc>
        <w:tc>
          <w:tcPr>
            <w:tcW w:w="1775"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1t/a</w:t>
            </w:r>
          </w:p>
        </w:tc>
        <w:tc>
          <w:tcPr>
            <w:tcW w:w="1763"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3t/a</w:t>
            </w:r>
          </w:p>
        </w:tc>
        <w:tc>
          <w:tcPr>
            <w:tcW w:w="1561"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p>
        </w:tc>
        <w:tc>
          <w:tcPr>
            <w:tcW w:w="21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废包装材料</w:t>
            </w:r>
          </w:p>
        </w:tc>
        <w:tc>
          <w:tcPr>
            <w:tcW w:w="1586"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238"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62"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2t/a</w:t>
            </w:r>
          </w:p>
        </w:tc>
        <w:tc>
          <w:tcPr>
            <w:tcW w:w="1775"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763"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2t/a</w:t>
            </w:r>
          </w:p>
        </w:tc>
        <w:tc>
          <w:tcPr>
            <w:tcW w:w="1561"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p>
        </w:tc>
        <w:tc>
          <w:tcPr>
            <w:tcW w:w="21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除尘器收集粉尘</w:t>
            </w:r>
          </w:p>
        </w:tc>
        <w:tc>
          <w:tcPr>
            <w:tcW w:w="1586"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238"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62"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10.7347t/a</w:t>
            </w:r>
          </w:p>
        </w:tc>
        <w:tc>
          <w:tcPr>
            <w:tcW w:w="1775"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763"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10.7347t/a</w:t>
            </w:r>
          </w:p>
        </w:tc>
        <w:tc>
          <w:tcPr>
            <w:tcW w:w="1561"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10.7347t/a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p>
        </w:tc>
        <w:tc>
          <w:tcPr>
            <w:tcW w:w="21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废焊材</w:t>
            </w:r>
          </w:p>
        </w:tc>
        <w:tc>
          <w:tcPr>
            <w:tcW w:w="1586"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238"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62"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0.1t/a</w:t>
            </w:r>
          </w:p>
        </w:tc>
        <w:tc>
          <w:tcPr>
            <w:tcW w:w="1775"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763"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0.1t/a</w:t>
            </w:r>
          </w:p>
        </w:tc>
        <w:tc>
          <w:tcPr>
            <w:tcW w:w="1561"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restart"/>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t>危险废物</w:t>
            </w:r>
          </w:p>
        </w:tc>
        <w:tc>
          <w:tcPr>
            <w:tcW w:w="21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废切削液</w:t>
            </w:r>
          </w:p>
        </w:tc>
        <w:tc>
          <w:tcPr>
            <w:tcW w:w="1586"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0.01t/a</w:t>
            </w:r>
          </w:p>
        </w:tc>
        <w:tc>
          <w:tcPr>
            <w:tcW w:w="1238"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62"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0.02t/a</w:t>
            </w:r>
          </w:p>
        </w:tc>
        <w:tc>
          <w:tcPr>
            <w:tcW w:w="1775"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0.01t/a</w:t>
            </w:r>
          </w:p>
        </w:tc>
        <w:tc>
          <w:tcPr>
            <w:tcW w:w="1763"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0.02t/a</w:t>
            </w:r>
          </w:p>
        </w:tc>
        <w:tc>
          <w:tcPr>
            <w:tcW w:w="1561"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0.01t/a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p>
        </w:tc>
        <w:tc>
          <w:tcPr>
            <w:tcW w:w="21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废润滑油</w:t>
            </w:r>
          </w:p>
        </w:tc>
        <w:tc>
          <w:tcPr>
            <w:tcW w:w="1586"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0.02t/a</w:t>
            </w:r>
          </w:p>
        </w:tc>
        <w:tc>
          <w:tcPr>
            <w:tcW w:w="1238"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62"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0.1t/a</w:t>
            </w:r>
          </w:p>
        </w:tc>
        <w:tc>
          <w:tcPr>
            <w:tcW w:w="1775"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0.02t/a</w:t>
            </w:r>
          </w:p>
        </w:tc>
        <w:tc>
          <w:tcPr>
            <w:tcW w:w="1763"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0.1t/a</w:t>
            </w:r>
          </w:p>
        </w:tc>
        <w:tc>
          <w:tcPr>
            <w:tcW w:w="1561"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0.08t/a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p>
        </w:tc>
        <w:tc>
          <w:tcPr>
            <w:tcW w:w="21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default" w:ascii="Times New Roman" w:hAnsi="Times New Roman" w:eastAsia="宋体" w:cs="Times New Roman"/>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废活性炭</w:t>
            </w:r>
          </w:p>
        </w:tc>
        <w:tc>
          <w:tcPr>
            <w:tcW w:w="1586"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w:t>
            </w:r>
          </w:p>
        </w:tc>
        <w:tc>
          <w:tcPr>
            <w:tcW w:w="1238"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62"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0.1825</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t/a</w:t>
            </w:r>
          </w:p>
        </w:tc>
        <w:tc>
          <w:tcPr>
            <w:tcW w:w="1775"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w:t>
            </w:r>
          </w:p>
        </w:tc>
        <w:tc>
          <w:tcPr>
            <w:tcW w:w="1763"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eastAsia" w:ascii="Times New Roman" w:hAnsi="Times New Roman" w:cs="Times New Roman"/>
                <w:color w:val="000000" w:themeColor="text1"/>
                <w:sz w:val="21"/>
                <w:szCs w:val="21"/>
                <w:highlight w:val="none"/>
                <w:lang w:val="en-US" w:eastAsia="zh-CN"/>
                <w14:textFill>
                  <w14:solidFill>
                    <w14:schemeClr w14:val="tx1"/>
                  </w14:solidFill>
                </w14:textFill>
              </w:rPr>
              <w:t>0.1825</w:t>
            </w: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t/a</w:t>
            </w:r>
          </w:p>
        </w:tc>
        <w:tc>
          <w:tcPr>
            <w:tcW w:w="1561"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eastAsia" w:ascii="Times New Roman" w:hAnsi="Times New Roman" w:cs="Times New Roman"/>
                <w:snapToGrid w:val="0"/>
                <w:color w:val="000000" w:themeColor="text1"/>
                <w:spacing w:val="0"/>
                <w:kern w:val="21"/>
                <w:sz w:val="21"/>
                <w:szCs w:val="21"/>
                <w:lang w:val="en-US" w:eastAsia="zh-CN"/>
                <w14:textFill>
                  <w14:solidFill>
                    <w14:schemeClr w14:val="tx1"/>
                  </w14:solidFill>
                </w14:textFill>
              </w:rPr>
              <w:t>0.1825</w:t>
            </w: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p>
        </w:tc>
        <w:tc>
          <w:tcPr>
            <w:tcW w:w="21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废包装桶</w:t>
            </w:r>
          </w:p>
        </w:tc>
        <w:tc>
          <w:tcPr>
            <w:tcW w:w="1586"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w:t>
            </w:r>
          </w:p>
        </w:tc>
        <w:tc>
          <w:tcPr>
            <w:tcW w:w="1238"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62"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0.112t/a</w:t>
            </w:r>
          </w:p>
        </w:tc>
        <w:tc>
          <w:tcPr>
            <w:tcW w:w="1775"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w:t>
            </w:r>
          </w:p>
        </w:tc>
        <w:tc>
          <w:tcPr>
            <w:tcW w:w="1763"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0.112t/a</w:t>
            </w:r>
          </w:p>
        </w:tc>
        <w:tc>
          <w:tcPr>
            <w:tcW w:w="1561"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0.112t/a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p>
        </w:tc>
        <w:tc>
          <w:tcPr>
            <w:tcW w:w="21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废油</w:t>
            </w:r>
          </w:p>
        </w:tc>
        <w:tc>
          <w:tcPr>
            <w:tcW w:w="1586"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w:t>
            </w:r>
          </w:p>
        </w:tc>
        <w:tc>
          <w:tcPr>
            <w:tcW w:w="1238"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62"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0.324t/a</w:t>
            </w:r>
          </w:p>
        </w:tc>
        <w:tc>
          <w:tcPr>
            <w:tcW w:w="1775"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w:t>
            </w:r>
          </w:p>
        </w:tc>
        <w:tc>
          <w:tcPr>
            <w:tcW w:w="1763"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0.324t/a</w:t>
            </w:r>
          </w:p>
        </w:tc>
        <w:tc>
          <w:tcPr>
            <w:tcW w:w="1561"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0.324t/a</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59" w:type="dxa"/>
            <w:vMerge w:val="continue"/>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14:textFill>
                  <w14:solidFill>
                    <w14:schemeClr w14:val="tx1"/>
                  </w14:solidFill>
                </w14:textFill>
              </w:rPr>
            </w:pPr>
          </w:p>
        </w:tc>
        <w:tc>
          <w:tcPr>
            <w:tcW w:w="2119"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20" w:lineRule="exact"/>
              <w:ind w:left="0" w:leftChars="0" w:firstLine="0" w:firstLineChars="0"/>
              <w:jc w:val="center"/>
              <w:textAlignment w:val="auto"/>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b w:val="0"/>
                <w:bCs/>
                <w:color w:val="000000" w:themeColor="text1"/>
                <w:sz w:val="21"/>
                <w:szCs w:val="21"/>
                <w:vertAlign w:val="baseline"/>
                <w:lang w:val="en-US" w:eastAsia="zh-CN"/>
                <w14:textFill>
                  <w14:solidFill>
                    <w14:schemeClr w14:val="tx1"/>
                  </w14:solidFill>
                </w14:textFill>
              </w:rPr>
              <w:t>废滤材</w:t>
            </w:r>
          </w:p>
        </w:tc>
        <w:tc>
          <w:tcPr>
            <w:tcW w:w="1586"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w:t>
            </w:r>
          </w:p>
        </w:tc>
        <w:tc>
          <w:tcPr>
            <w:tcW w:w="1238"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62"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w:t>
            </w:r>
          </w:p>
        </w:tc>
        <w:tc>
          <w:tcPr>
            <w:tcW w:w="1525"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0.15t/a</w:t>
            </w:r>
          </w:p>
        </w:tc>
        <w:tc>
          <w:tcPr>
            <w:tcW w:w="1775" w:type="dxa"/>
            <w:vAlign w:val="center"/>
          </w:tcPr>
          <w:p>
            <w:pPr>
              <w:pStyle w:val="19"/>
              <w:keepNext w:val="0"/>
              <w:keepLines w:val="0"/>
              <w:pageBreakBefore w:val="0"/>
              <w:widowControl w:val="0"/>
              <w:kinsoku/>
              <w:wordWrap/>
              <w:overflowPunct/>
              <w:topLinePunct w:val="0"/>
              <w:autoSpaceDE/>
              <w:autoSpaceDN/>
              <w:bidi w:val="0"/>
              <w:adjustRightInd/>
              <w:snapToGrid/>
              <w:spacing w:beforeLines="0" w:afterLines="0" w:line="320" w:lineRule="exact"/>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t>/</w:t>
            </w:r>
          </w:p>
        </w:tc>
        <w:tc>
          <w:tcPr>
            <w:tcW w:w="1763" w:type="dxa"/>
            <w:vAlign w:val="center"/>
          </w:tcPr>
          <w:p>
            <w:pPr>
              <w:pStyle w:val="43"/>
              <w:keepNext w:val="0"/>
              <w:keepLines w:val="0"/>
              <w:pageBreakBefore w:val="0"/>
              <w:widowControl w:val="0"/>
              <w:kinsoku/>
              <w:wordWrap/>
              <w:overflowPunct/>
              <w:topLinePunct w:val="0"/>
              <w:autoSpaceDE/>
              <w:autoSpaceDN/>
              <w:bidi w:val="0"/>
              <w:adjustRightInd/>
              <w:snapToGrid/>
              <w:spacing w:line="320" w:lineRule="exact"/>
              <w:ind w:firstLine="0" w:firstLineChars="0"/>
              <w:jc w:val="center"/>
              <w:textAlignment w:val="auto"/>
              <w:rPr>
                <w:rFonts w:hint="default" w:ascii="Times New Roman" w:hAnsi="Times New Roman" w:eastAsia="宋体" w:cs="Times New Roman"/>
                <w:b w:val="0"/>
                <w:bCs w:val="0"/>
                <w:color w:val="000000" w:themeColor="text1"/>
                <w:sz w:val="21"/>
                <w:szCs w:val="21"/>
                <w:u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0.15t/a</w:t>
            </w:r>
          </w:p>
        </w:tc>
        <w:tc>
          <w:tcPr>
            <w:tcW w:w="1561" w:type="dxa"/>
            <w:vAlign w:val="center"/>
          </w:tcPr>
          <w:p>
            <w:pPr>
              <w:keepNext w:val="0"/>
              <w:keepLines w:val="0"/>
              <w:pageBreakBefore w:val="0"/>
              <w:widowControl w:val="0"/>
              <w:tabs>
                <w:tab w:val="left" w:pos="540"/>
              </w:tabs>
              <w:kinsoku/>
              <w:wordWrap/>
              <w:overflowPunct/>
              <w:topLinePunct w:val="0"/>
              <w:autoSpaceDE/>
              <w:autoSpaceDN/>
              <w:bidi w:val="0"/>
              <w:adjustRightInd/>
              <w:snapToGrid/>
              <w:spacing w:line="320" w:lineRule="exact"/>
              <w:jc w:val="center"/>
              <w:textAlignment w:val="auto"/>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pPr>
            <w:r>
              <w:rPr>
                <w:rFonts w:hint="default" w:ascii="Times New Roman" w:hAnsi="Times New Roman" w:eastAsia="宋体" w:cs="Times New Roman"/>
                <w:snapToGrid w:val="0"/>
                <w:color w:val="000000" w:themeColor="text1"/>
                <w:spacing w:val="0"/>
                <w:kern w:val="21"/>
                <w:sz w:val="21"/>
                <w:szCs w:val="21"/>
                <w:lang w:val="en-US" w:eastAsia="zh-CN"/>
                <w14:textFill>
                  <w14:solidFill>
                    <w14:schemeClr w14:val="tx1"/>
                  </w14:solidFill>
                </w14:textFill>
              </w:rPr>
              <w:t>0.15t/a</w:t>
            </w:r>
          </w:p>
        </w:tc>
      </w:tr>
    </w:tbl>
    <w:p>
      <w:pPr>
        <w:pStyle w:val="19"/>
        <w:spacing w:before="192" w:beforeLines="80" w:after="24"/>
        <w:jc w:val="left"/>
        <w:rPr>
          <w:rFonts w:hint="default" w:ascii="Times New Roman" w:hAnsi="Times New Roman" w:eastAsia="宋体" w:cs="Times New Roman"/>
          <w:snapToGrid w:val="0"/>
          <w:color w:val="000000" w:themeColor="text1"/>
          <w:spacing w:val="0"/>
          <w:kern w:val="21"/>
          <w:szCs w:val="2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注：</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1"/>
          <w:szCs w:val="21"/>
          <w14:textFill>
            <w14:solidFill>
              <w14:schemeClr w14:val="tx1"/>
            </w14:solidFill>
          </w14:textFill>
        </w:rPr>
        <w:t>⑥</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1"/>
          <w:szCs w:val="21"/>
          <w14:textFill>
            <w14:solidFill>
              <w14:schemeClr w14:val="tx1"/>
            </w14:solidFill>
          </w14:textFill>
        </w:rPr>
        <w:t>①</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instrText xml:space="preserve"> = 3 \* GB3 \* MERGEFORMAT </w:instrTex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1"/>
          <w:szCs w:val="21"/>
          <w14:textFill>
            <w14:solidFill>
              <w14:schemeClr w14:val="tx1"/>
            </w14:solidFill>
          </w14:textFill>
        </w:rPr>
        <w:t>③</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instrText xml:space="preserve"> = 4 \* GB3 \* MERGEFORMAT </w:instrTex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1"/>
          <w:szCs w:val="21"/>
          <w14:textFill>
            <w14:solidFill>
              <w14:schemeClr w14:val="tx1"/>
            </w14:solidFill>
          </w14:textFill>
        </w:rPr>
        <w:t>④</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instrText xml:space="preserve"> = 5 \* GB3 \* MERGEFORMAT </w:instrTex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1"/>
          <w:szCs w:val="21"/>
          <w14:textFill>
            <w14:solidFill>
              <w14:schemeClr w14:val="tx1"/>
            </w14:solidFill>
          </w14:textFill>
        </w:rPr>
        <w:t>⑤</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instrText xml:space="preserve"> = 7 \* GB3 \* MERGEFORMAT </w:instrTex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1"/>
          <w:szCs w:val="21"/>
          <w14:textFill>
            <w14:solidFill>
              <w14:schemeClr w14:val="tx1"/>
            </w14:solidFill>
          </w14:textFill>
        </w:rPr>
        <w:t>⑦</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instrText xml:space="preserve"> = 6 \* GB3 \* MERGEFORMAT </w:instrTex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1"/>
          <w:szCs w:val="21"/>
          <w14:textFill>
            <w14:solidFill>
              <w14:schemeClr w14:val="tx1"/>
            </w14:solidFill>
          </w14:textFill>
        </w:rPr>
        <w:t>⑥</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end"/>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t>-</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begin"/>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instrText xml:space="preserve"> = 1 \* GB3 \* MERGEFORMAT </w:instrTex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separate"/>
      </w:r>
      <w:r>
        <w:rPr>
          <w:rFonts w:hint="default" w:ascii="Times New Roman" w:hAnsi="Times New Roman" w:eastAsia="宋体" w:cs="Times New Roman"/>
          <w:color w:val="000000" w:themeColor="text1"/>
          <w:spacing w:val="0"/>
          <w:kern w:val="21"/>
          <w:szCs w:val="21"/>
          <w14:textFill>
            <w14:solidFill>
              <w14:schemeClr w14:val="tx1"/>
            </w14:solidFill>
          </w14:textFill>
        </w:rPr>
        <w:t>①</w:t>
      </w:r>
      <w:r>
        <w:rPr>
          <w:rFonts w:hint="default" w:ascii="Times New Roman" w:hAnsi="Times New Roman" w:eastAsia="宋体" w:cs="Times New Roman"/>
          <w:snapToGrid w:val="0"/>
          <w:color w:val="000000" w:themeColor="text1"/>
          <w:spacing w:val="0"/>
          <w:kern w:val="21"/>
          <w:szCs w:val="21"/>
          <w14:textFill>
            <w14:solidFill>
              <w14:schemeClr w14:val="tx1"/>
            </w14:solidFill>
          </w14:textFill>
        </w:rPr>
        <w:fldChar w:fldCharType="end"/>
      </w:r>
    </w:p>
    <w:p>
      <w:pPr>
        <w:rPr>
          <w:rFonts w:hint="default" w:ascii="Times New Roman" w:hAnsi="Times New Roman" w:eastAsia="宋体" w:cs="Times New Roman"/>
          <w:color w:val="000000" w:themeColor="text1"/>
          <w:lang w:val="en-US" w:eastAsia="zh-CN"/>
          <w14:textFill>
            <w14:solidFill>
              <w14:schemeClr w14:val="tx1"/>
            </w14:solidFill>
          </w14:textFill>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2691765</wp:posOffset>
                </wp:positionH>
                <wp:positionV relativeFrom="paragraph">
                  <wp:posOffset>2212975</wp:posOffset>
                </wp:positionV>
                <wp:extent cx="843280" cy="304800"/>
                <wp:effectExtent l="153670" t="854710" r="12700" b="2540"/>
                <wp:wrapNone/>
                <wp:docPr id="7" name="圆角矩形标注 7"/>
                <wp:cNvGraphicFramePr/>
                <a:graphic xmlns:a="http://schemas.openxmlformats.org/drawingml/2006/main">
                  <a:graphicData uri="http://schemas.microsoft.com/office/word/2010/wordprocessingShape">
                    <wps:wsp>
                      <wps:cNvSpPr/>
                      <wps:spPr>
                        <a:xfrm>
                          <a:off x="4219575" y="4569460"/>
                          <a:ext cx="843280" cy="304800"/>
                        </a:xfrm>
                        <a:prstGeom prst="wedgeRoundRectCallout">
                          <a:avLst>
                            <a:gd name="adj1" fmla="val -68222"/>
                            <a:gd name="adj2" fmla="val -330416"/>
                            <a:gd name="adj3" fmla="val 16667"/>
                          </a:avLst>
                        </a:prstGeom>
                        <a:solidFill>
                          <a:srgbClr val="E7E6E6"/>
                        </a:solidFill>
                        <a:ln w="12700" cap="flat" cmpd="sng" algn="ctr">
                          <a:noFill/>
                          <a:prstDash val="solid"/>
                          <a:miter lim="800000"/>
                        </a:ln>
                        <a:effectLst/>
                      </wps:spPr>
                      <wps:txbx>
                        <w:txbxContent>
                          <w:p>
                            <w:pPr>
                              <w:adjustRightInd w:val="0"/>
                              <w:snapToGrid w:val="0"/>
                              <w:jc w:val="center"/>
                              <w:rPr>
                                <w:color w:val="C00000"/>
                                <w:sz w:val="24"/>
                              </w:rPr>
                            </w:pPr>
                            <w:r>
                              <w:rPr>
                                <w:rFonts w:hint="eastAsia"/>
                                <w:color w:val="C00000"/>
                                <w:sz w:val="24"/>
                              </w:rPr>
                              <w:t>本项目位置</w:t>
                            </w:r>
                          </w:p>
                        </w:txbxContent>
                      </wps:txbx>
                      <wps:bodyPr rot="0" spcFirstLastPara="0" vertOverflow="overflow" horzOverflow="overflow" vert="horz" wrap="square" lIns="0" tIns="0" rIns="0" bIns="0" numCol="1" spcCol="0" rtlCol="0" fromWordArt="0" anchor="ctr" anchorCtr="0" forceAA="0" compatLnSpc="1">
                        <a:noAutofit/>
                      </wps:bodyPr>
                    </wps:wsp>
                  </a:graphicData>
                </a:graphic>
              </wp:anchor>
            </w:drawing>
          </mc:Choice>
          <mc:Fallback>
            <w:pict>
              <v:shape id="_x0000_s1026" o:spid="_x0000_s1026" o:spt="62" type="#_x0000_t62" style="position:absolute;left:0pt;margin-left:211.95pt;margin-top:174.25pt;height:24pt;width:66.4pt;z-index:251662336;v-text-anchor:middle;mso-width-relative:page;mso-height-relative:page;" fillcolor="#E7E6E6" filled="t" stroked="f" coordsize="21600,21600" o:gfxdata="UEsDBAoAAAAAAIdO4kAAAAAAAAAAAAAAAAAEAAAAZHJzL1BLAwQUAAAACACHTuJAwnG/5NwAAAAL&#10;AQAADwAAAGRycy9kb3ducmV2LnhtbE2PTU/DMAyG70j8h8hI3Fi6dS1baToB0sRlSDAmPm5ZY9qK&#10;xqmSbCv/HnOCo+1Hr5+3XI22F0f0oXOkYDpJQCDVznTUKNi9rK8WIELUZHTvCBV8Y4BVdX5W6sK4&#10;Ez3jcRsbwSEUCq2gjXEopAx1i1aHiRuQ+PbpvNWRR99I4/WJw20vZ0mSS6s74g+tHvC+xfpre7AK&#10;Hkf6SO9eN5u3zj+QW7/f7ih5UuryYprcgIg4xj8YfvVZHSp22rsDmSB6BfNZumRUQTpfZCCYyLL8&#10;GsSeN8s8A1mV8n+H6gdQSwMEFAAAAAgAh07iQKYYqKHNAgAAdAUAAA4AAABkcnMvZTJvRG9jLnht&#10;bK1UzW4TMRC+I/EOlu/tJpt0k0bdVFHSIqSKRi2Is+P1Zo38h+1kUx4A7pyRQFyAM2cep4XHYOzd&#10;9JdDD+TgfLZnv5n5ZsYHhxsp0JpZx7XKcXe3gxFTVBdcLXP86uXxzhAj54kqiNCK5fiCOXw4fvrk&#10;oDYjlupKi4JZBCTKjWqT48p7M0oSRysmidvVhim4LLWVxMPWLpPCkhrYpUjSTidLam0LYzVlzsHp&#10;rLnELaN9DKEuS07ZTNOVZMo3rJYJ4iElV3Hj8DhGW5aM+tOydMwjkWPI1McVnABehDUZH5DR0hJT&#10;cdqGQB4Twr2cJOEKnF5TzYgnaGX5AyrJqdVOl36Xapk0iURFIItu55425xUxLOYCUjtzLbr7f7T0&#10;xXpuES9yPMBIEQkFv/z0/s+3j78//7j89fXqy4ern9/RIOhUGzcC83Mzt+3OAQxJb0orwz+kgzY5&#10;7qfd/b3BHkYXgPey/X7W6sw2HlEwGPZ76RAqQMGg1+kPO/E+uSEy1vlnTEsUQI5rVizZmV6p4gwK&#10;OiVC6JWPcpP1ifNR96KNnhRvuhiVUkAZ10SgnWyYpmlb51tG6R2jHoTRzR5a9W5bdbMsi0pApK1j&#10;QNtYQxROC14ccyHixi4XU2ERRJHjo8FRdhQdwCd3zIRCNcxhOgAVECUwUSV0MkBpoCpOLTEiYgmj&#10;Sr2NOSsdPMTGDb5nxFWNj0jb5CC5hyEVXILYnfALx+BZqBAZi4MByoXDUNamkAH5zWLTVnehiwvo&#10;DauboXGGHnPwd0KcnxML8kK88I74U1hKoSEJ3SKMKm3f/es82EPzwi1GNUwdJPh2RSzDSDxX0NZA&#10;6bfAbsFiC9RKTjWICQWGaCKED6wXW1haLV/D8zIJXuCKKAq+GunazdQ30w8PFGWTSTSDUTTEn6hz&#10;QwN5kEjpycrrkl9L1KjR6gXDGOVsH44w7bf30ermsRz/B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AAAAABkcnMvUEsBAhQAFAAAAAgAh07i&#10;QMJxv+TcAAAACwEAAA8AAAAAAAAAAQAgAAAAIgAAAGRycy9kb3ducmV2LnhtbFBLAQIUABQAAAAI&#10;AIdO4kCmGKihzQIAAHQFAAAOAAAAAAAAAAEAIAAAACsBAABkcnMvZTJvRG9jLnhtbFBLBQYAAAAA&#10;BgAGAFkBAABqBgAAAAA=&#10;" adj="-3936,-60570,14400">
                <v:fill on="t" focussize="0,0"/>
                <v:stroke on="f" weight="1pt" miterlimit="8" joinstyle="miter"/>
                <v:imagedata o:title=""/>
                <o:lock v:ext="edit" aspectratio="f"/>
                <v:textbox inset="0mm,0mm,0mm,0mm">
                  <w:txbxContent>
                    <w:p>
                      <w:pPr>
                        <w:adjustRightInd w:val="0"/>
                        <w:snapToGrid w:val="0"/>
                        <w:jc w:val="center"/>
                        <w:rPr>
                          <w:color w:val="C00000"/>
                          <w:sz w:val="24"/>
                        </w:rPr>
                      </w:pPr>
                      <w:r>
                        <w:rPr>
                          <w:rFonts w:hint="eastAsia"/>
                          <w:color w:val="C00000"/>
                          <w:sz w:val="24"/>
                        </w:rPr>
                        <w:t>本项目位置</w:t>
                      </w:r>
                    </w:p>
                  </w:txbxContent>
                </v:textbox>
              </v:shape>
            </w:pict>
          </mc:Fallback>
        </mc:AlternateContent>
      </w: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2486660</wp:posOffset>
                </wp:positionH>
                <wp:positionV relativeFrom="paragraph">
                  <wp:posOffset>1332230</wp:posOffset>
                </wp:positionV>
                <wp:extent cx="74930" cy="66040"/>
                <wp:effectExtent l="6350" t="6350" r="13970" b="22860"/>
                <wp:wrapNone/>
                <wp:docPr id="6" name="椭圆 6"/>
                <wp:cNvGraphicFramePr/>
                <a:graphic xmlns:a="http://schemas.openxmlformats.org/drawingml/2006/main">
                  <a:graphicData uri="http://schemas.microsoft.com/office/word/2010/wordprocessingShape">
                    <wps:wsp>
                      <wps:cNvSpPr/>
                      <wps:spPr>
                        <a:xfrm>
                          <a:off x="4047490" y="4431665"/>
                          <a:ext cx="74930" cy="66040"/>
                        </a:xfrm>
                        <a:prstGeom prst="ellipse">
                          <a:avLst/>
                        </a:prstGeom>
                        <a:solidFill>
                          <a:srgbClr val="C00000"/>
                        </a:solidFill>
                        <a:ln w="12700" cap="flat" cmpd="sng" algn="ctr">
                          <a:solidFill>
                            <a:srgbClr val="C00000"/>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95.8pt;margin-top:104.9pt;height:5.2pt;width:5.9pt;z-index:251660288;v-text-anchor:middle;mso-width-relative:page;mso-height-relative:page;" fillcolor="#C00000" filled="t" stroked="t" coordsize="21600,21600" o:gfxdata="UEsDBAoAAAAAAIdO4kAAAAAAAAAAAAAAAAAEAAAAZHJzL1BLAwQUAAAACACHTuJAJqUl/9oAAAAL&#10;AQAADwAAAGRycy9kb3ducmV2LnhtbE2PwU7DMAyG70i8Q2QkLogl7aZqK013YEMgLojCA2SNaas2&#10;TtVk3djTY05wtP3p9/cX27MbxIxT6DxpSBYKBFLtbUeNhs+Pp/s1iBANWTN4Qg3fGGBbXl8VJrf+&#10;RO84V7ERHEIhNxraGMdcylC36ExY+BGJb19+cibyODXSTubE4W6QqVKZdKYj/tCaER9brPvq6DTg&#10;8JrtLk2/371cqv7uzfTr53mv9e1Noh5ARDzHPxh+9VkdSnY6+CPZIAYNy02SMaohVRvuwMRKLVcg&#10;DrxJVQqyLOT/DuUPUEsDBBQAAAAIAIdO4kAj2X4xgwIAABkFAAAOAAAAZHJzL2Uyb0RvYy54bWyt&#10;VM1uEzEQviPxDpbvdDdpum2jbqooURFSBZUK4ux4vVlL/sN2fsoD8BQcufJY8Bx89m7btHDogRyc&#10;Gc/szHzfzPjicq8V2QofpDU1HR2VlAjDbSPNuqafPl69OaMkRGYapqwRNb0TgV7OXr+62LmpGNvO&#10;qkZ4giAmTHeupl2MbloUgXdCs3BknTAwttZrFqH6ddF4tkN0rYpxWVbFzvrGectFCLhd9kY6RPQv&#10;CWjbVnKxtHyjhYl9VC8Ui4AUOukCneVq21bw+KFtg4hE1RRIYz6RBPIqncXsgk3XnrlO8qEE9pIS&#10;nmHSTBokfQi1ZJGRjZd/hdKSextsG4+41UUPJDMCFKPyGTe3HXMiYwHVwT2QHv5fWP5+e+OJbGpa&#10;UWKYRsN///j56/s3UiVudi5M4XLrbvygBYgJ6L71Ov0DAtnXdFJOTifnYPUO8uR4VFUnPbdiHwmH&#10;A6zHMHPYq6qcZOaLxzDOh/hWWE2SUFOhFNqYsLMp216HiOzwvvdK18Eq2VxJpbLi16uF8mTL0OdF&#10;mX4pPT554qYM2WHmx6cwE84wvS2mBqJ2YCCYNSVMrbEWPPqc+8nX4WVJUpFLFrq+mByhp0LLiM1R&#10;Utf07LBEZRIEkad1gJp475lOUtyv9gP9K9vcoWHe9pMcHL+SyHfNQrxhHqMLYFju+AFHqyzQ2kGi&#10;pLP+67/ukz8mClZKdlgFMPFlw7ygRL0zmLXz0QT9IjErk5PTMRR/aFkdWsxGLyy6MMIz4ngWk39U&#10;92Lrrf6MN2CessLEDEfunvNBWcR+RfGKcDGfZzfsi2Px2tw6noInyoydb6JtZZ6ORFTPDvqeFGxM&#10;noBhu9NKHurZ6/FFm/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JqUl/9oAAAALAQAADwAAAAAA&#10;AAABACAAAAAiAAAAZHJzL2Rvd25yZXYueG1sUEsBAhQAFAAAAAgAh07iQCPZfjGDAgAAGQUAAA4A&#10;AAAAAAAAAQAgAAAAKQEAAGRycy9lMm9Eb2MueG1sUEsFBgAAAAAGAAYAWQEAAB4GAAAAAA==&#10;">
                <v:fill on="t" focussize="0,0"/>
                <v:stroke weight="1pt" color="#C00000" miterlimit="8" joinstyle="miter"/>
                <v:imagedata o:title=""/>
                <o:lock v:ext="edit" aspectratio="f"/>
                <v:textbox>
                  <w:txbxContent>
                    <w:p>
                      <w:pPr>
                        <w:jc w:val="center"/>
                      </w:pPr>
                    </w:p>
                  </w:txbxContent>
                </v:textbox>
              </v:shape>
            </w:pict>
          </mc:Fallback>
        </mc:AlternateContent>
      </w:r>
      <w:r>
        <w:rPr>
          <w:rFonts w:hint="default" w:ascii="Times New Roman" w:hAnsi="Times New Roman" w:eastAsia="宋体" w:cs="Times New Roman"/>
          <w:color w:val="000000" w:themeColor="text1"/>
          <w:sz w:val="21"/>
          <w14:textFill>
            <w14:solidFill>
              <w14:schemeClr w14:val="tx1"/>
            </w14:solidFill>
          </w14:textFill>
        </w:rPr>
        <w:drawing>
          <wp:anchor distT="0" distB="0" distL="114300" distR="114300" simplePos="0" relativeHeight="251668480" behindDoc="0" locked="0" layoutInCell="1" allowOverlap="1">
            <wp:simplePos x="0" y="0"/>
            <wp:positionH relativeFrom="column">
              <wp:posOffset>-1270</wp:posOffset>
            </wp:positionH>
            <wp:positionV relativeFrom="paragraph">
              <wp:posOffset>72390</wp:posOffset>
            </wp:positionV>
            <wp:extent cx="522605" cy="902335"/>
            <wp:effectExtent l="9525" t="9525" r="20320" b="21590"/>
            <wp:wrapNone/>
            <wp:docPr id="71" name="图片 428" descr="1567156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428" descr="1567156309(1)"/>
                    <pic:cNvPicPr>
                      <a:picLocks noChangeAspect="1"/>
                    </pic:cNvPicPr>
                  </pic:nvPicPr>
                  <pic:blipFill>
                    <a:blip r:embed="rId38"/>
                    <a:stretch>
                      <a:fillRect/>
                    </a:stretch>
                  </pic:blipFill>
                  <pic:spPr>
                    <a:xfrm>
                      <a:off x="0" y="0"/>
                      <a:ext cx="522605" cy="90233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1512570</wp:posOffset>
                </wp:positionH>
                <wp:positionV relativeFrom="paragraph">
                  <wp:posOffset>7893050</wp:posOffset>
                </wp:positionV>
                <wp:extent cx="2552700" cy="333375"/>
                <wp:effectExtent l="0" t="0" r="0" b="9525"/>
                <wp:wrapNone/>
                <wp:docPr id="2" name="矩形 2"/>
                <wp:cNvGraphicFramePr/>
                <a:graphic xmlns:a="http://schemas.openxmlformats.org/drawingml/2006/main">
                  <a:graphicData uri="http://schemas.microsoft.com/office/word/2010/wordprocessingShape">
                    <wps:wsp>
                      <wps:cNvSpPr/>
                      <wps:spPr>
                        <a:xfrm>
                          <a:off x="2406650" y="9377045"/>
                          <a:ext cx="2552700" cy="333375"/>
                        </a:xfrm>
                        <a:prstGeom prst="rect">
                          <a:avLst/>
                        </a:prstGeom>
                        <a:solidFill>
                          <a:srgbClr val="FFFFFF"/>
                        </a:solidFill>
                        <a:ln w="25400" cap="flat" cmpd="sng" algn="ctr">
                          <a:noFill/>
                          <a:prstDash val="solid"/>
                        </a:ln>
                        <a:effectLst/>
                      </wps:spPr>
                      <wps:txbx>
                        <w:txbxContent>
                          <w:p>
                            <w:pPr>
                              <w:jc w:val="center"/>
                              <w:rPr>
                                <w:rFonts w:hint="eastAsia" w:eastAsia="宋体"/>
                                <w:sz w:val="24"/>
                                <w:szCs w:val="24"/>
                                <w:lang w:val="en-US" w:eastAsia="zh-CN"/>
                              </w:rPr>
                            </w:pPr>
                            <w:r>
                              <w:rPr>
                                <w:rFonts w:hint="eastAsia"/>
                                <w:sz w:val="24"/>
                                <w:szCs w:val="24"/>
                                <w:lang w:val="en-US" w:eastAsia="zh-CN"/>
                              </w:rPr>
                              <w:t>附图1 项目地理位置图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9.1pt;margin-top:621.5pt;height:26.25pt;width:201pt;z-index:251661312;v-text-anchor:middle;mso-width-relative:page;mso-height-relative:page;" fillcolor="#FFFFFF" filled="t" stroked="f" coordsize="21600,21600" o:gfxdata="UEsDBAoAAAAAAIdO4kAAAAAAAAAAAAAAAAAEAAAAZHJzL1BLAwQUAAAACACHTuJAHNlUZNYAAAAN&#10;AQAADwAAAGRycy9kb3ducmV2LnhtbE2PwU7DMBBE70j8g7VI3KjdJK1KiFMJJMSZturZibdJ1Hgd&#10;2W4b/p7tCY478zQ7U21nN4orhjh40rBcKBBIrbcDdRoO+8+XDYiYDFkzekINPxhhWz8+VKa0/kbf&#10;eN2lTnAIxdJo6FOaSilj26MzceEnJPZOPjiT+AydtMHcONyNMlNqLZ0ZiD/0ZsKPHtvz7uI0yPSF&#10;5/2cHSlXhWnew+lwnKTWz09L9QYi4Zz+YLjX5+pQc6fGX8hGMWrI8k3GKBtZkfMqRtaFYqm5S6+r&#10;Fci6kv9X1L9QSwMEFAAAAAgAh07iQBs7EC91AgAA2QQAAA4AAABkcnMvZTJvRG9jLnhtbK1US27b&#10;MBDdF+gdCO4byY4dN0bkwIjhokDQBEiLrmmKtATwV5K2nF6mQHc9RI5T9Bp9pJRP0y6yqBbUjGb0&#10;ZubNDM/OD1qRvfChtaaio6OSEmG4rVuzreinj+s3bykJkZmaKWtERW9FoOeL16/OOjcXY9tYVQtP&#10;AGLCvHMVbWJ086IIvBGahSPrhIFRWq9ZhOq3Re1ZB3StinFZnhSd9bXzlosQ8HXVG+mA6F8CaKVs&#10;uVhZvtPCxB7VC8UiSgpN6wJd5GylFDxeSRlEJKqiqDTmE0Egb9JZLM7YfOuZa1o+pMBeksKzmjRr&#10;DYI+QK1YZGTn27+gdMu9DVbGI2510ReSGUEVo/IZNzcNcyLXAqqDeyA9/D9Y/mF/7UlbV3RMiWEa&#10;Df/17cfPu+9knLjpXJjD5cZd+0ELEFOhB+l1eqMEcsDfk/LkZApWbyt6ejyblZNpz604RMKTw3Q6&#10;npVw4PA4xjPLDsUjkvMhvhNWkyRU1KN3mVK2vwwR0eF675ICB6vaet0qlRW/3VwoT/YMfV7nJ4XH&#10;L3+4KUO6lMokJ8IwvRJTg5y0AwPBbClhaou14NHn2MamCEDqY69YaPoYGXYIoUyyizxtQ6qJt56p&#10;JMXD5jDQt7H1LQj3tp/E4Pi6RbmXLMRr5jF6YAjLGa9wSGWRrR0kShrrv/7re/LHRMBKSYdRRiVf&#10;dswLStR7g1k5HU0mgI1ZmUxnYyj+qWXz1GJ2+sKCxRGuAcezmPyjuhelt/ozdniZosLEDEfsnrNB&#10;uYj9iuEW4GK5zG6Yd8fipblxPIEnyoxd7qKVbe5uIqpnB31LCiY+d3DYzrRST/Xs9XgjLX4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HNlUZNYAAAANAQAADwAAAAAAAAABACAAAAAiAAAAZHJzL2Rv&#10;d25yZXYueG1sUEsBAhQAFAAAAAgAh07iQBs7EC91AgAA2QQAAA4AAAAAAAAAAQAgAAAAJQEAAGRy&#10;cy9lMm9Eb2MueG1sUEsFBgAAAAAGAAYAWQEAAAwGAAAAAA==&#10;">
                <v:fill on="t" focussize="0,0"/>
                <v:stroke on="f" weight="2pt"/>
                <v:imagedata o:title=""/>
                <o:lock v:ext="edit" aspectratio="f"/>
                <v:textbox>
                  <w:txbxContent>
                    <w:p>
                      <w:pPr>
                        <w:jc w:val="center"/>
                        <w:rPr>
                          <w:rFonts w:hint="eastAsia" w:eastAsia="宋体"/>
                          <w:sz w:val="24"/>
                          <w:szCs w:val="24"/>
                          <w:lang w:val="en-US" w:eastAsia="zh-CN"/>
                        </w:rPr>
                      </w:pPr>
                      <w:r>
                        <w:rPr>
                          <w:rFonts w:hint="eastAsia"/>
                          <w:sz w:val="24"/>
                          <w:szCs w:val="24"/>
                          <w:lang w:val="en-US" w:eastAsia="zh-CN"/>
                        </w:rPr>
                        <w:t>附图1 项目地理位置图</w:t>
                      </w:r>
                    </w:p>
                  </w:txbxContent>
                </v:textbox>
              </v:rect>
            </w:pict>
          </mc:Fallback>
        </mc:AlternateContent>
      </w:r>
      <w:r>
        <w:rPr>
          <w:rFonts w:hint="default" w:ascii="Times New Roman" w:hAnsi="Times New Roman" w:eastAsia="宋体" w:cs="Times New Roman"/>
          <w:color w:val="000000" w:themeColor="text1"/>
          <w:lang w:val="en-US" w:eastAsia="zh-CN"/>
          <w14:textFill>
            <w14:solidFill>
              <w14:schemeClr w14:val="tx1"/>
            </w14:solidFill>
          </w14:textFill>
        </w:rPr>
        <w:drawing>
          <wp:inline distT="0" distB="0" distL="114300" distR="114300">
            <wp:extent cx="5269865" cy="7582535"/>
            <wp:effectExtent l="0" t="0" r="6985" b="18415"/>
            <wp:docPr id="46" name="图片 3" descr="puy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descr="puyang"/>
                    <pic:cNvPicPr>
                      <a:picLocks noChangeAspect="1"/>
                    </pic:cNvPicPr>
                  </pic:nvPicPr>
                  <pic:blipFill>
                    <a:blip r:embed="rId39"/>
                    <a:stretch>
                      <a:fillRect/>
                    </a:stretch>
                  </pic:blipFill>
                  <pic:spPr>
                    <a:xfrm>
                      <a:off x="0" y="0"/>
                      <a:ext cx="5269865" cy="7582535"/>
                    </a:xfrm>
                    <a:prstGeom prst="rect">
                      <a:avLst/>
                    </a:prstGeom>
                    <a:noFill/>
                    <a:ln>
                      <a:noFill/>
                    </a:ln>
                  </pic:spPr>
                </pic:pic>
              </a:graphicData>
            </a:graphic>
          </wp:inline>
        </w:drawing>
      </w:r>
    </w:p>
    <w:p>
      <w:pPr>
        <w:rPr>
          <w:rFonts w:hint="default" w:ascii="Times New Roman" w:hAnsi="Times New Roman" w:eastAsia="宋体" w:cs="Times New Roman"/>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000000" w:themeColor="text1"/>
          <w:sz w:val="21"/>
          <w14:textFill>
            <w14:solidFill>
              <w14:schemeClr w14:val="tx1"/>
            </w14:solidFill>
          </w14:textFill>
        </w:rPr>
        <w:drawing>
          <wp:anchor distT="0" distB="0" distL="114300" distR="114300" simplePos="0" relativeHeight="251669504" behindDoc="0" locked="0" layoutInCell="1" allowOverlap="1">
            <wp:simplePos x="0" y="0"/>
            <wp:positionH relativeFrom="column">
              <wp:posOffset>8312785</wp:posOffset>
            </wp:positionH>
            <wp:positionV relativeFrom="paragraph">
              <wp:posOffset>-1905</wp:posOffset>
            </wp:positionV>
            <wp:extent cx="522605" cy="902335"/>
            <wp:effectExtent l="9525" t="9525" r="20320" b="21590"/>
            <wp:wrapNone/>
            <wp:docPr id="48" name="图片 428" descr="1567156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28" descr="1567156309(1)"/>
                    <pic:cNvPicPr>
                      <a:picLocks noChangeAspect="1"/>
                    </pic:cNvPicPr>
                  </pic:nvPicPr>
                  <pic:blipFill>
                    <a:blip r:embed="rId38"/>
                    <a:stretch>
                      <a:fillRect/>
                    </a:stretch>
                  </pic:blipFill>
                  <pic:spPr>
                    <a:xfrm>
                      <a:off x="0" y="0"/>
                      <a:ext cx="522605" cy="902335"/>
                    </a:xfrm>
                    <a:prstGeom prst="rect">
                      <a:avLst/>
                    </a:prstGeom>
                    <a:noFill/>
                    <a:ln w="9525" cap="flat" cmpd="sng">
                      <a:solidFill>
                        <a:srgbClr val="000000"/>
                      </a:solidFill>
                      <a:prstDash val="solid"/>
                      <a:miter/>
                      <a:headEnd type="none" w="med" len="med"/>
                      <a:tailEnd type="none" w="med" len="med"/>
                    </a:ln>
                  </pic:spPr>
                </pic:pic>
              </a:graphicData>
            </a:graphic>
          </wp:anchor>
        </w:drawing>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7926705</wp:posOffset>
                </wp:positionH>
                <wp:positionV relativeFrom="paragraph">
                  <wp:posOffset>4229735</wp:posOffset>
                </wp:positionV>
                <wp:extent cx="706120" cy="307340"/>
                <wp:effectExtent l="0" t="0" r="0" b="0"/>
                <wp:wrapNone/>
                <wp:docPr id="104" name="矩形 104"/>
                <wp:cNvGraphicFramePr/>
                <a:graphic xmlns:a="http://schemas.openxmlformats.org/drawingml/2006/main">
                  <a:graphicData uri="http://schemas.microsoft.com/office/word/2010/wordprocessingShape">
                    <wps:wsp>
                      <wps:cNvSpPr/>
                      <wps:spPr>
                        <a:xfrm>
                          <a:off x="0" y="0"/>
                          <a:ext cx="706120" cy="3073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eastAsia="宋体"/>
                                <w:color w:val="000000" w:themeColor="text1"/>
                                <w:sz w:val="21"/>
                                <w:szCs w:val="24"/>
                                <w:lang w:val="en-US" w:eastAsia="zh-CN"/>
                                <w14:textFill>
                                  <w14:solidFill>
                                    <w14:schemeClr w14:val="tx1"/>
                                  </w14:solidFill>
                                </w14:textFill>
                              </w:rPr>
                            </w:pPr>
                            <w:r>
                              <w:rPr>
                                <w:rFonts w:hint="eastAsia"/>
                                <w:color w:val="000000" w:themeColor="text1"/>
                                <w:sz w:val="21"/>
                                <w:szCs w:val="24"/>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24.15pt;margin-top:333.05pt;height:24.2pt;width:55.6pt;z-index:251708416;v-text-anchor:middle;mso-width-relative:page;mso-height-relative:page;" filled="f" stroked="f" coordsize="21600,21600" o:gfxdata="UEsDBAoAAAAAAIdO4kAAAAAAAAAAAAAAAAAEAAAAZHJzL1BLAwQUAAAACACHTuJAEtq44dsAAAAN&#10;AQAADwAAAGRycy9kb3ducmV2LnhtbE2PQU+DQBCF7yb+h82YeLMLLWBFlqYxatKjxcR4W9gRUHaW&#10;MFva/nu3Jz2+zJf3vik2JzuIGSfuHSmIFxEIpMaZnloF79XL3RoEe01GD45QwRkZNuX1VaFz4470&#10;hvPetyKUEOdaQef9mEvJTYdW88KNSOH25SarfYhTK82kj6HcDnIZRZm0uqew0OkRnzpsfvYHq4Dr&#10;eVedx+3H9yc39faZbJXsXpW6vYmjRxAeT/4Phot+UIcyONXuQIbFEPIyWa8CqyDLshjEBVmlDymI&#10;WsF9nKQgy0L+/6L8BVBLAwQUAAAACACHTuJA/oEYl1MCAACZBAAADgAAAGRycy9lMm9Eb2MueG1s&#10;rVTNbhMxEL4j8Q6W73Q3adpC1E0VNSpCqqBSQZwdr5215D9sJ5vyMkjceAgeB/EafPZu26hw6IHL&#10;7tgz+81838zs+cXeaLITISpnGzo5qikRlrtW2U1DP328evWakpiYbZl2VjT0TkR6sXj54rz3czF1&#10;ndOtCAQgNs5739AuJT+vqsg7YVg8cl5YOKULhiUcw6ZqA+uBbnQ1revTqneh9cFxESNuV4OTjojh&#10;OYBOSsXFyvGtETYNqEFolkApdspHuijVSil4+iBlFInohoJpKk8kgb3Oz2pxzuabwHyn+FgCe04J&#10;TzgZpiySPkCtWGJkG9RfUEbx4KKT6Yg7Uw1EiiJgMamfaHPbMS8KF0gd/YPo8f/B8ve7m0BUi0mo&#10;Z5RYZtDy399+/Pr5neQb6NP7OEfYrb8J4ynCzGT3Mpj8Bg2yL5rePWgq9olwXJ7Vp5Mp1OZwHddn&#10;x7OiefX4sQ8xvRXOkGw0NKBlRUm2u44JCRF6H5JzWXeltC5t05b0DZ2ezOqMzzCLEjMA03jwiXZD&#10;CdMbDDlPoUAefJshVyx2ZMcwGdFp1WauSKYtXpnzwDJbab/ej9TXrr2DYMENkxQ9v1KAumYx3bCA&#10;0UEpWK70AQ+pHepzo0VJ58LXf93neHQUXkp6jCLq+bJlQVCi31n0+s1kBtVIKofZyVmWMxx61oce&#10;uzWXDpwmWGPPi5njk743ZXDmM3ZwmbPCxSxH7kGl8XCZhhXBFnOxXJYwzKtn6dreep7Bh14st8lJ&#10;VdqUhRrUGfXDxBZBx+3KK3F4LlGPf5TF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BLauOHbAAAA&#10;DQEAAA8AAAAAAAAAAQAgAAAAIgAAAGRycy9kb3ducmV2LnhtbFBLAQIUABQAAAAIAIdO4kD+gRiX&#10;UwIAAJkEAAAOAAAAAAAAAAEAIAAAACoBAABkcnMvZTJvRG9jLnhtbFBLBQYAAAAABgAGAFkBAADv&#10;BQAAAAA=&#10;">
                <v:fill on="f" focussize="0,0"/>
                <v:stroke on="f" weight="2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eastAsia="宋体"/>
                          <w:color w:val="000000" w:themeColor="text1"/>
                          <w:sz w:val="21"/>
                          <w:szCs w:val="24"/>
                          <w:lang w:val="en-US" w:eastAsia="zh-CN"/>
                          <w14:textFill>
                            <w14:solidFill>
                              <w14:schemeClr w14:val="tx1"/>
                            </w14:solidFill>
                          </w14:textFill>
                        </w:rPr>
                      </w:pPr>
                      <w:r>
                        <w:rPr>
                          <w:rFonts w:hint="eastAsia"/>
                          <w:color w:val="000000" w:themeColor="text1"/>
                          <w:sz w:val="21"/>
                          <w:szCs w:val="24"/>
                          <w:lang w:val="en-US" w:eastAsia="zh-CN"/>
                          <w14:textFill>
                            <w14:solidFill>
                              <w14:schemeClr w14:val="tx1"/>
                            </w14:solidFill>
                          </w14:textFill>
                        </w:rPr>
                        <w:t>本项目</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7767955</wp:posOffset>
                </wp:positionH>
                <wp:positionV relativeFrom="paragraph">
                  <wp:posOffset>4333875</wp:posOffset>
                </wp:positionV>
                <wp:extent cx="222885" cy="123190"/>
                <wp:effectExtent l="12700" t="0" r="31115" b="15875"/>
                <wp:wrapNone/>
                <wp:docPr id="101" name="矩形 101"/>
                <wp:cNvGraphicFramePr/>
                <a:graphic xmlns:a="http://schemas.openxmlformats.org/drawingml/2006/main">
                  <a:graphicData uri="http://schemas.microsoft.com/office/word/2010/wordprocessingShape">
                    <wps:wsp>
                      <wps:cNvSpPr/>
                      <wps:spPr>
                        <a:xfrm>
                          <a:off x="8661400" y="5434965"/>
                          <a:ext cx="222885" cy="1231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1.65pt;margin-top:341.25pt;height:9.7pt;width:17.55pt;z-index:251705344;v-text-anchor:middle;mso-width-relative:page;mso-height-relative:page;" filled="f" stroked="t" coordsize="21600,21600" o:gfxdata="UEsDBAoAAAAAAIdO4kAAAAAAAAAAAAAAAAAEAAAAZHJzL1BLAwQUAAAACACHTuJA81xJxtsAAAAN&#10;AQAADwAAAGRycy9kb3ducmV2LnhtbE2PMU/DMBCFdyT+g3VILIjacWgIIU4lKtGBoRKFhc2JjyRq&#10;bEex05R/z3WC8ek+fe9duTnbgZ1wCr13CpKVAIau8aZ3rYLPj9f7HFiI2hk9eIcKfjDAprq+KnVh&#10;/OLe8XSILSOJC4VW0MU4FpyHpkOrw8qP6Oj27SerI8Wp5WbSC8ntwKUQGbe6d9TQ6RG3HTbHw2wV&#10;1LuvaZu/pLs432WkPrZvuF+Uur1JxDOwiOf4B8NlPk2HijbVfnYmsIGylGlKrIIsl2tgF0Su8wdg&#10;tYJHkTwBr0r+/4vqF1BLAwQUAAAACACHTuJAASYehWwCAADDBAAADgAAAGRycy9lMm9Eb2MueG1s&#10;rVRLbtswEN0X6B0I7ht9YruOETkwYrgoELQB0qJrmqIsAfyVpC2nlynQXQ/R4xS9Rh8p5dO0iyzq&#10;BT2jeXrDeTOj84ujkuQgnO+MrmhxklMiNDd1p3cV/fhh82pOiQ9M10waLSp6Kzy9WL58cd7bhShN&#10;a2QtHAGJ9oveVrQNwS6yzPNWKOZPjBUawcY4xQJct8tqx3qwK5mVeT7LeuNq6wwX3uPpegjSkdE9&#10;h9A0TcfF2vC9EjoMrE5IFlCSbzvr6TLdtmkED++bxotAZEVRaUgnksDexjNbnrPFzjHbdny8AnvO&#10;FZ7UpFinkfSeas0CI3vX/UWlOu6MN0044UZlQyFJEVRR5E+0uWmZFakWSO3tvej+/9Hyd4drR7oa&#10;k5AXlGim0PJfX7///PGNxCfQp7d+AdiNvXaj52HGYo+NU/EfZZBjReezWTHJoextRaeT08nZbDro&#10;K46BcADKspzPp5RwAIrytDhL+mcPRNb58EYYRaJRUYf2JVXZ4coHJAf0DhLzarPppEwtlJr0SDBN&#10;+TnDXDaYB6RSFrV5vaOEyR0GngeXKL2RXR1fj0Te7baX0pEDw5hsNjl+8eZI9wcs5l4z3w64FBph&#10;UgMdhRqkidbW1LeQ1plh5rzlmw7vXzEfrpnDkEEorGF4j6ORBrc3o0VJa9yXfz2PePQeUUp6DC0q&#10;+7xnTlAi32pMxVkxmcQpT85k+rqE4x5Hto8jeq8uDQpG33G7ZEZ8kHdm44z6hG1dxawIMc2Re9Bw&#10;dC7DsEzYdy5WqwTDZFsWrvSN5ZF86NRqH0zTpSY+qDOKhtlOYo97GJfnsZ9QD9+e5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zXEnG2wAAAA0BAAAPAAAAAAAAAAEAIAAAACIAAABkcnMvZG93bnJl&#10;di54bWxQSwECFAAUAAAACACHTuJAASYehWwCAADDBAAADgAAAAAAAAABACAAAAAqAQAAZHJzL2Uy&#10;b0RvYy54bWxQSwUGAAAAAAYABgBZAQAACAYAAAAA&#10;">
                <v:fill on="f" focussize="0,0"/>
                <v:stroke weight="2pt" color="#FF0000 [3204]" joinstyle="round"/>
                <v:imagedata o:title=""/>
                <o:lock v:ext="edit" aspectratio="f"/>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710464" behindDoc="0" locked="0" layoutInCell="1" allowOverlap="1">
                <wp:simplePos x="0" y="0"/>
                <wp:positionH relativeFrom="column">
                  <wp:posOffset>7950835</wp:posOffset>
                </wp:positionH>
                <wp:positionV relativeFrom="paragraph">
                  <wp:posOffset>4490085</wp:posOffset>
                </wp:positionV>
                <wp:extent cx="706120" cy="307340"/>
                <wp:effectExtent l="0" t="0" r="0" b="0"/>
                <wp:wrapNone/>
                <wp:docPr id="106" name="矩形 106"/>
                <wp:cNvGraphicFramePr/>
                <a:graphic xmlns:a="http://schemas.openxmlformats.org/drawingml/2006/main">
                  <a:graphicData uri="http://schemas.microsoft.com/office/word/2010/wordprocessingShape">
                    <wps:wsp>
                      <wps:cNvSpPr/>
                      <wps:spPr>
                        <a:xfrm>
                          <a:off x="0" y="0"/>
                          <a:ext cx="706120" cy="3073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eastAsia="宋体"/>
                                <w:color w:val="000000" w:themeColor="text1"/>
                                <w:sz w:val="21"/>
                                <w:szCs w:val="24"/>
                                <w:lang w:val="en-US" w:eastAsia="zh-CN"/>
                                <w14:textFill>
                                  <w14:solidFill>
                                    <w14:schemeClr w14:val="tx1"/>
                                  </w14:solidFill>
                                </w14:textFill>
                              </w:rPr>
                            </w:pPr>
                            <w:r>
                              <w:rPr>
                                <w:rFonts w:hint="eastAsia" w:eastAsia="宋体"/>
                                <w:color w:val="000000" w:themeColor="text1"/>
                                <w:sz w:val="21"/>
                                <w:szCs w:val="24"/>
                                <w:lang w:val="en-US" w:eastAsia="zh-CN"/>
                                <w14:textFill>
                                  <w14:solidFill>
                                    <w14:schemeClr w14:val="tx1"/>
                                  </w14:solidFill>
                                </w14:textFill>
                              </w:rPr>
                              <w:t>敏感区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26.05pt;margin-top:353.55pt;height:24.2pt;width:55.6pt;z-index:251710464;v-text-anchor:middle;mso-width-relative:page;mso-height-relative:page;" filled="f" stroked="f" coordsize="21600,21600" o:gfxdata="UEsDBAoAAAAAAIdO4kAAAAAAAAAAAAAAAAAEAAAAZHJzL1BLAwQUAAAACACHTuJAi8M4XNsAAAAN&#10;AQAADwAAAGRycy9kb3ducmV2LnhtbE2PzU7DMBCE70i8g7VI3KjzQ9oqxKkqBEg90iCh3px4SQLx&#10;OordtH17tie47eyOZr8pNmc7iBkn3ztSEC8iEEiNMz21Cj6q14c1CB80GT04QgUX9LApb28KnRt3&#10;onec96EVHEI+1wq6EMZcSt90aLVfuBGJb19usjqwnFppJn3icDvIJIqW0uqe+EOnR3zusPnZH60C&#10;X8+76jJuP78Pvqm3L2Srx92bUvd3cfQEIuA5/Jnhis/oUDJT7Y5kvBhYJ1kSs1fBKlrxcLWkyzQF&#10;UfMqyzKQZSH/tyh/AVBLAwQUAAAACACHTuJAwrVjvFMCAACZBAAADgAAAGRycy9lMm9Eb2MueG1s&#10;rVTNbhMxEL4j8Q6W73Q3adpC1E0VNSpCqqBSQZwdr5215D9sJ5vyMkjceAgeB/EafPZu26hw6IHL&#10;7tgz+81838zs+cXeaLITISpnGzo5qikRlrtW2U1DP328evWakpiYbZl2VjT0TkR6sXj54rz3czF1&#10;ndOtCAQgNs5739AuJT+vqsg7YVg8cl5YOKULhiUcw6ZqA+uBbnQ1revTqneh9cFxESNuV4OTjojh&#10;OYBOSsXFyvGtETYNqEFolkApdspHuijVSil4+iBlFInohoJpKk8kgb3Oz2pxzuabwHyn+FgCe04J&#10;TzgZpiySPkCtWGJkG9RfUEbx4KKT6Yg7Uw1EiiJgMamfaHPbMS8KF0gd/YPo8f/B8ve7m0BUi0mo&#10;TymxzKDlv7/9+PXzO8k30Kf3cY6wW38TxlOEmcnuZTD5DRpkXzS9e9BU7BPhuDyrTydTqM3hOq7P&#10;jmdF8+rxYx9ieiucIdloaEDLipJsdx0TEiL0PiTnsu5KaV3api3pGzo9mdUZn2EWJWYApvHgE+2G&#10;EqY3GHKeQoE8+DZDrljsyI5hMqLTqs1ckUxbvDLngWW20n69H6mvXXsHwYIbJil6fqUAdc1iumEB&#10;o4NSsFzpAx5SO9TnRouSzoWv/7rP8egovJT0GEXU82XLgqBEv7Po9ZvJDKqRVA6zk7MsZzj0rA89&#10;dmsuHThNsMaeFzPHJ31vyuDMZ+zgMmeFi1mO3INK4+EyDSuCLeZiuSxhmFfP0rW99TyDD71YbpOT&#10;qrQpCzWoM+qHiS2CjtuVV+LwXKIe/yiL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IvDOFzbAAAA&#10;DQEAAA8AAAAAAAAAAQAgAAAAIgAAAGRycy9kb3ducmV2LnhtbFBLAQIUABQAAAAIAIdO4kDCtWO8&#10;UwIAAJkEAAAOAAAAAAAAAAEAIAAAACoBAABkcnMvZTJvRG9jLnhtbFBLBQYAAAAABgAGAFkBAADv&#10;BQAAAAA=&#10;">
                <v:fill on="f" focussize="0,0"/>
                <v:stroke on="f" weight="2pt"/>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eastAsia="宋体"/>
                          <w:color w:val="000000" w:themeColor="text1"/>
                          <w:sz w:val="21"/>
                          <w:szCs w:val="24"/>
                          <w:lang w:val="en-US" w:eastAsia="zh-CN"/>
                          <w14:textFill>
                            <w14:solidFill>
                              <w14:schemeClr w14:val="tx1"/>
                            </w14:solidFill>
                          </w14:textFill>
                        </w:rPr>
                      </w:pPr>
                      <w:r>
                        <w:rPr>
                          <w:rFonts w:hint="eastAsia" w:eastAsia="宋体"/>
                          <w:color w:val="000000" w:themeColor="text1"/>
                          <w:sz w:val="21"/>
                          <w:szCs w:val="24"/>
                          <w:lang w:val="en-US" w:eastAsia="zh-CN"/>
                          <w14:textFill>
                            <w14:solidFill>
                              <w14:schemeClr w14:val="tx1"/>
                            </w14:solidFill>
                          </w14:textFill>
                        </w:rPr>
                        <w:t>敏感区</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999232" behindDoc="0" locked="0" layoutInCell="1" allowOverlap="1">
                <wp:simplePos x="0" y="0"/>
                <wp:positionH relativeFrom="column">
                  <wp:posOffset>711200</wp:posOffset>
                </wp:positionH>
                <wp:positionV relativeFrom="paragraph">
                  <wp:posOffset>332740</wp:posOffset>
                </wp:positionV>
                <wp:extent cx="1029970" cy="635635"/>
                <wp:effectExtent l="0" t="0" r="0" b="0"/>
                <wp:wrapNone/>
                <wp:docPr id="24" name="矩形 24"/>
                <wp:cNvGraphicFramePr/>
                <a:graphic xmlns:a="http://schemas.openxmlformats.org/drawingml/2006/main">
                  <a:graphicData uri="http://schemas.microsoft.com/office/word/2010/wordprocessingShape">
                    <wps:wsp>
                      <wps:cNvSpPr/>
                      <wps:spPr>
                        <a:xfrm>
                          <a:off x="0" y="0"/>
                          <a:ext cx="1029970" cy="6356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FFFF00"/>
                                <w:sz w:val="28"/>
                                <w:szCs w:val="36"/>
                                <w:lang w:val="en-US" w:eastAsia="zh-CN"/>
                              </w:rPr>
                            </w:pPr>
                            <w:r>
                              <w:rPr>
                                <w:rFonts w:hint="eastAsia" w:eastAsia="宋体"/>
                                <w:color w:val="FFFF00"/>
                                <w:sz w:val="28"/>
                                <w:szCs w:val="36"/>
                                <w:lang w:val="en-US" w:eastAsia="zh-CN"/>
                              </w:rPr>
                              <w:t>前铁炉村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6pt;margin-top:26.2pt;height:50.05pt;width:81.1pt;z-index:251999232;v-text-anchor:middle;mso-width-relative:page;mso-height-relative:page;" filled="f" stroked="f" coordsize="21600,21600" o:gfxdata="UEsDBAoAAAAAAIdO4kAAAAAAAAAAAAAAAAAEAAAAZHJzL1BLAwQUAAAACACHTuJACxak0tcAAAAK&#10;AQAADwAAAGRycy9kb3ducmV2LnhtbE2PQUvDQBSE74L/YXmCN7vJkqik2ZQiKvRoI4i3TfY1iWbf&#10;huw2bf+9z5Mehxlmvik3ZzeKBecweNKQrhIQSK23A3Ua3uuXu0cQIRqyZvSEGi4YYFNdX5WmsP5E&#10;b7jsYye4hEJhNPQxToWUoe3RmbDyExJ7Bz87E1nOnbSzOXG5G6VKknvpzEC80JsJn3psv/dHpyE0&#10;y66+TNuPr8/QNttncnW2e9X69iZN1iAinuNfGH7xGR0qZmr8kWwQI+tU8ZeoIVcZCA6oh0yBaNjJ&#10;VQ6yKuX/C9UPUEsDBBQAAAAIAIdO4kAXLy7FUgIAAJgEAAAOAAAAZHJzL2Uyb0RvYy54bWytVM1q&#10;GzEQvhf6DkL3Zm3XSRqTdTAxKYXQBNzSs6yVvAL9VZK9Tl+m0FsfIo9T+hr9pN0kJu0hh4JZz2hm&#10;P833zcyeX+yNJjsRonK2puOjESXCctcou6np509Xb95REhOzDdPOipreiUgv5q9fnXd+JiaudboR&#10;gQDExlnna9qm5GdVFXkrDItHzguLoHTBsAQ3bKomsA7oRleT0eik6lxofHBcxIjTZR+kA2J4CaCT&#10;UnGxdHxrhE09ahCaJVCKrfKRzku1UgqebqSMIhFdUzBN5YlLYK/zs5qfs9kmMN8qPpTAXlLCM06G&#10;KYtLH6GWLDGyDeovKKN4cNHJdMSdqXoiRRGwGI+eabNqmReFC6SO/lH0+P9g+cfdbSCqqelkSoll&#10;Bh3//f3nr/sfBAdQp/NxhqSVvw2DF2FmqnsZTP4HCbIvit49Kir2iXAcjkeTs7NTiM0RO3l7jF8G&#10;rZ7e9iGm98IZko2aBnSsCMl21zH1qQ8p+TLrrpTWOGczbUmHso+no4zPMIoSIwDTeNCJdkMJ0xvM&#10;OE+hQB68myGXLLZkxzAY0WnVDHVpi/Iy6Z5mttJ+vR+4r11zB72C6wcpen6lAHXNYrplAZODUrBb&#10;6QYPqR3qc4NFSevCt3+d53w0FFFKOkwi6vm6ZUFQoj9YtPpsPJ0CNhVnenw6gRMOI+vDiN2aSwdO&#10;Y2yx58XM+Uk/mDI48wUruMi3IsQsx929SoNzmfoNwRJzsViUNIyrZ+narjzP4H0vFtvkpCptykL1&#10;6gz6YWBLo4flyhtx6Jespw/K/A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LFqTS1wAAAAoBAAAP&#10;AAAAAAAAAAEAIAAAACIAAABkcnMvZG93bnJldi54bWxQSwECFAAUAAAACACHTuJAFy8uxVICAACY&#10;BAAADgAAAAAAAAABACAAAAAmAQAAZHJzL2Uyb0RvYy54bWxQSwUGAAAAAAYABgBZAQAA6gUAAAAA&#10;">
                <v:fill on="f" focussize="0,0"/>
                <v:stroke on="f" weight="2pt"/>
                <v:imagedata o:title=""/>
                <o:lock v:ext="edit" aspectratio="f"/>
                <v:textbox>
                  <w:txbxContent>
                    <w:p>
                      <w:pPr>
                        <w:jc w:val="center"/>
                        <w:rPr>
                          <w:rFonts w:hint="default" w:eastAsia="宋体"/>
                          <w:color w:val="FFFF00"/>
                          <w:sz w:val="28"/>
                          <w:szCs w:val="36"/>
                          <w:lang w:val="en-US" w:eastAsia="zh-CN"/>
                        </w:rPr>
                      </w:pPr>
                      <w:r>
                        <w:rPr>
                          <w:rFonts w:hint="eastAsia" w:eastAsia="宋体"/>
                          <w:color w:val="FFFF00"/>
                          <w:sz w:val="28"/>
                          <w:szCs w:val="36"/>
                          <w:lang w:val="en-US" w:eastAsia="zh-CN"/>
                        </w:rPr>
                        <w:t>前铁炉村</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828224" behindDoc="0" locked="0" layoutInCell="1" allowOverlap="1">
                <wp:simplePos x="0" y="0"/>
                <wp:positionH relativeFrom="column">
                  <wp:posOffset>5303520</wp:posOffset>
                </wp:positionH>
                <wp:positionV relativeFrom="paragraph">
                  <wp:posOffset>2323465</wp:posOffset>
                </wp:positionV>
                <wp:extent cx="1029970" cy="635635"/>
                <wp:effectExtent l="0" t="0" r="0" b="0"/>
                <wp:wrapNone/>
                <wp:docPr id="23" name="矩形 23"/>
                <wp:cNvGraphicFramePr/>
                <a:graphic xmlns:a="http://schemas.openxmlformats.org/drawingml/2006/main">
                  <a:graphicData uri="http://schemas.microsoft.com/office/word/2010/wordprocessingShape">
                    <wps:wsp>
                      <wps:cNvSpPr/>
                      <wps:spPr>
                        <a:xfrm>
                          <a:off x="0" y="0"/>
                          <a:ext cx="1029970" cy="6356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FFFF00"/>
                                <w:sz w:val="28"/>
                                <w:szCs w:val="36"/>
                                <w:lang w:val="en-US" w:eastAsia="zh-CN"/>
                              </w:rPr>
                            </w:pPr>
                            <w:r>
                              <w:rPr>
                                <w:rFonts w:hint="eastAsia" w:eastAsia="宋体"/>
                                <w:color w:val="FFFF00"/>
                                <w:sz w:val="28"/>
                                <w:szCs w:val="36"/>
                                <w:lang w:val="en-US" w:eastAsia="zh-CN"/>
                              </w:rPr>
                              <w:t>北寨村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17.6pt;margin-top:182.95pt;height:50.05pt;width:81.1pt;z-index:251828224;v-text-anchor:middle;mso-width-relative:page;mso-height-relative:page;" filled="f" stroked="f" coordsize="21600,21600" o:gfxdata="UEsDBAoAAAAAAIdO4kAAAAAAAAAAAAAAAAAEAAAAZHJzL1BLAwQUAAAACACHTuJAJ/R4X9sAAAAL&#10;AQAADwAAAGRycy9kb3ducmV2LnhtbE2PQU+DQBCF7yb+h82YeLNLW4oFGZrGqEmPFpOmt4UdAWVn&#10;Cbul7b93Pelx8r68902+uZheTDS6zjLCfBaBIK6t7rhB+ChfH9YgnFesVW+ZEK7kYFPc3uQq0/bM&#10;7zTtfSNCCbtMIbTeD5mUrm7JKDezA3HIPu1olA/n2Eg9qnMoN71cRFEijeo4LLRqoOeW6u/9ySC4&#10;atqV12F7+Dq6utq+sCnj3Rvi/d08egLh6eL/YPjVD+pQBKfKnlg70SOsl6tFQBGWySoFEYg0fYxB&#10;VAhxkkQgi1z+/6H4AVBLAwQUAAAACACHTuJAWL3uRFICAACYBAAADgAAAGRycy9lMm9Eb2MueG1s&#10;rVTNahsxEL4X+g5C92Ztx0kak3UwMSmF0ATc0rOslbwC/VWSvU5fptBbH6KPU/oa/aTdJCbtIYeC&#10;Wc9oZj/N983MXlzujSY7EaJytqbjoxElwnLXKLup6aeP12/eUhITsw3Tzoqa3otIL+evX110fiYm&#10;rnW6EYEAxMZZ52vapuRnVRV5KwyLR84Li6B0wbAEN2yqJrAO6EZXk9HotOpcaHxwXMSI02UfpANi&#10;eAmgk1JxsXR8a4RNPWoQmiVQiq3ykc5LtVIKnm6ljCIRXVMwTeWJS2Cv87OaX7DZJjDfKj6UwF5S&#10;wjNOhimLSx+hliwxsg3qLyijeHDRyXTEnal6IkURsBiPnmmzapkXhQukjv5R9Pj/YPmH3V0gqqnp&#10;5JgSyww6/vvbj18/vxMcQJ3OxxmSVv4uDF6EmanuZTD5HyTIvih6/6io2CfCcTgeTc7PzyA2R+z0&#10;+AS/DFo9ve1DTO+EMyQbNQ3oWBGS7W5i6lMfUvJl1l0rrXHOZtqSDmWfTEcZn2EUJUYApvGgE+2G&#10;EqY3mHGeQoE8eDdDLllsyY5hMKLTqhnq0hblZdI9zWyl/Xo/cF+75h56BdcPUvT8WgHqhsV0xwIm&#10;B6Vgt9ItHlI71OcGi5LWha//Os/5aCiilHSYRNTzZcuCoES/t2j1+Xg6BWwqzvTkbAInHEbWhxG7&#10;NVcOnMbYYs+LmfOTfjBlcOYzVnCRb0WIWY67e5UG5yr1G4Il5mKxKGkYV8/SjV15nsH7Xiy2yUlV&#10;2pSF6tUZ9MPAlkYPy5U34tAvWU8flPk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J/R4X9sAAAAL&#10;AQAADwAAAAAAAAABACAAAAAiAAAAZHJzL2Rvd25yZXYueG1sUEsBAhQAFAAAAAgAh07iQFi97kRS&#10;AgAAmAQAAA4AAAAAAAAAAQAgAAAAKgEAAGRycy9lMm9Eb2MueG1sUEsFBgAAAAAGAAYAWQEAAO4F&#10;AAAAAA==&#10;">
                <v:fill on="f" focussize="0,0"/>
                <v:stroke on="f" weight="2pt"/>
                <v:imagedata o:title=""/>
                <o:lock v:ext="edit" aspectratio="f"/>
                <v:textbox>
                  <w:txbxContent>
                    <w:p>
                      <w:pPr>
                        <w:jc w:val="center"/>
                        <w:rPr>
                          <w:rFonts w:hint="default" w:eastAsia="宋体"/>
                          <w:color w:val="FFFF00"/>
                          <w:sz w:val="28"/>
                          <w:szCs w:val="36"/>
                          <w:lang w:val="en-US" w:eastAsia="zh-CN"/>
                        </w:rPr>
                      </w:pPr>
                      <w:r>
                        <w:rPr>
                          <w:rFonts w:hint="eastAsia" w:eastAsia="宋体"/>
                          <w:color w:val="FFFF00"/>
                          <w:sz w:val="28"/>
                          <w:szCs w:val="36"/>
                          <w:lang w:val="en-US" w:eastAsia="zh-CN"/>
                        </w:rPr>
                        <w:t>北寨村</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771904" behindDoc="0" locked="0" layoutInCell="1" allowOverlap="1">
                <wp:simplePos x="0" y="0"/>
                <wp:positionH relativeFrom="column">
                  <wp:posOffset>3362960</wp:posOffset>
                </wp:positionH>
                <wp:positionV relativeFrom="paragraph">
                  <wp:posOffset>1169035</wp:posOffset>
                </wp:positionV>
                <wp:extent cx="626110" cy="308610"/>
                <wp:effectExtent l="0" t="0" r="0" b="0"/>
                <wp:wrapNone/>
                <wp:docPr id="20" name="矩形 20"/>
                <wp:cNvGraphicFramePr/>
                <a:graphic xmlns:a="http://schemas.openxmlformats.org/drawingml/2006/main">
                  <a:graphicData uri="http://schemas.microsoft.com/office/word/2010/wordprocessingShape">
                    <wps:wsp>
                      <wps:cNvSpPr/>
                      <wps:spPr>
                        <a:xfrm>
                          <a:off x="0" y="0"/>
                          <a:ext cx="626110" cy="3086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FF0000"/>
                                <w:lang w:val="en-US" w:eastAsia="zh-CN"/>
                              </w:rPr>
                            </w:pPr>
                            <w:r>
                              <w:rPr>
                                <w:rFonts w:hint="eastAsia"/>
                                <w:color w:val="FF0000"/>
                                <w:lang w:val="en-US" w:eastAsia="zh-CN"/>
                              </w:rPr>
                              <w:t>830m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4.8pt;margin-top:92.05pt;height:24.3pt;width:49.3pt;z-index:251771904;v-text-anchor:middle;mso-width-relative:page;mso-height-relative:page;" filled="f" stroked="f" coordsize="21600,21600" o:gfxdata="UEsDBAoAAAAAAIdO4kAAAAAAAAAAAAAAAAAEAAAAZHJzL1BLAwQUAAAACACHTuJAJHp/i9kAAAAL&#10;AQAADwAAAGRycy9kb3ducmV2LnhtbE2PQU+DQBCF7yb+h82YeLMLa0WKLE1j1KTHFhPT2wIjoOws&#10;Ybe0/feOJz1O3pf3vsnXZzuIGSffO9IQLyIQSLVremo1vJevdykIHww1ZnCEGi7oYV1cX+Uma9yJ&#10;djjvQyu4hHxmNHQhjJmUvu7QGr9wIxJnn26yJvA5tbKZzInL7SBVFCXSmp54oTMjPndYf++PVoOv&#10;5m15GTcfXwdfV5sXsuVy+6b17U0cPYEIeA5/MPzqszoU7FS5IzVeDBoe1CphlIN0GYNgIlGpAlFp&#10;UPfqEWSRy/8/FD9QSwMEFAAAAAgAh07iQEKSWxRPAgAAlwQAAA4AAABkcnMvZTJvRG9jLnhtbK1U&#10;zW4TMRC+I/EOlu90k5CGEnVTRY2KkCpaKSDOjtfOWvIftpNNeRkkbjwEj4N4DT57t21UOPTAxZnx&#10;zH6e75uZnF8cjCZ7EaJytqbjkxElwnLXKLut6aePV6/OKImJ2YZpZ0VN70SkF4uXL847PxcT1zrd&#10;iEAAYuO88zVtU/Lzqoq8FYbFE+eFRVC6YFiCG7ZVE1gHdKOryWg0qzoXGh8cFzHidtUH6YAYngPo&#10;pFRcrBzfGWFTjxqEZgmUYqt8pItSrZSCpxspo0hE1xRMUznxCOxNPqvFOZtvA/Ot4kMJ7DklPOFk&#10;mLJ49AFqxRIju6D+gjKKBxedTCfcmaonUhQBi/HoiTbrlnlRuEDq6B9Ej/8Pln/Y3waimppOIIll&#10;Bh3//e3Hr5/fCS6gTufjHElrfxsGL8LMVA8ymPwLEuRQFL17UFQcEuG4nE1m4zGAOUKvR2cz2ECp&#10;Hj/2IaZ3whmSjZoGNKzoyPbXMfWp9yn5LeuulNa4Z3NtSYeqT6ejjM8wiRITANN4sIl2SwnTW4w4&#10;T6FAHn2bIVcstmTPMBfRadUMdWmL8jLnnmW20mFzGKhvXHMHuYLr5yh6fqUAdc1iumUBg4NSsFrp&#10;BofUDvW5waKkdeHrv+5zPvqJKCUdBhH1fNmxICjR7y06/XY8nQI2FWd6+ib3KRxHNscRuzOXDpzG&#10;WGLPi5nzk743ZXDmMzZwmV9FiFmOt3uVBucy9QuCHeZiuSxpmFbP0rVde57B+14sd8lJVdqUherV&#10;GfTDvJZGD7uVF+LYL1mP/yeLP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CR6f4vZAAAACwEAAA8A&#10;AAAAAAAAAQAgAAAAIgAAAGRycy9kb3ducmV2LnhtbFBLAQIUABQAAAAIAIdO4kBCklsUTwIAAJcE&#10;AAAOAAAAAAAAAAEAIAAAACgBAABkcnMvZTJvRG9jLnhtbFBLBQYAAAAABgAGAFkBAADpBQAAAAA=&#10;">
                <v:fill on="f" focussize="0,0"/>
                <v:stroke on="f" weight="2pt"/>
                <v:imagedata o:title=""/>
                <o:lock v:ext="edit" aspectratio="f"/>
                <v:textbox>
                  <w:txbxContent>
                    <w:p>
                      <w:pPr>
                        <w:jc w:val="center"/>
                        <w:rPr>
                          <w:rFonts w:hint="default" w:eastAsia="宋体"/>
                          <w:color w:val="FF0000"/>
                          <w:lang w:val="en-US" w:eastAsia="zh-CN"/>
                        </w:rPr>
                      </w:pPr>
                      <w:r>
                        <w:rPr>
                          <w:rFonts w:hint="eastAsia"/>
                          <w:color w:val="FF0000"/>
                          <w:lang w:val="en-US" w:eastAsia="zh-CN"/>
                        </w:rPr>
                        <w:t>830m</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2000250</wp:posOffset>
                </wp:positionH>
                <wp:positionV relativeFrom="paragraph">
                  <wp:posOffset>1172210</wp:posOffset>
                </wp:positionV>
                <wp:extent cx="2703195" cy="368935"/>
                <wp:effectExtent l="0" t="37465" r="1905" b="12700"/>
                <wp:wrapNone/>
                <wp:docPr id="19" name="直接箭头连接符 19"/>
                <wp:cNvGraphicFramePr/>
                <a:graphic xmlns:a="http://schemas.openxmlformats.org/drawingml/2006/main">
                  <a:graphicData uri="http://schemas.microsoft.com/office/word/2010/wordprocessingShape">
                    <wps:wsp>
                      <wps:cNvCnPr>
                        <a:endCxn id="18" idx="1"/>
                      </wps:cNvCnPr>
                      <wps:spPr>
                        <a:xfrm flipH="1" flipV="1">
                          <a:off x="2914650" y="2315210"/>
                          <a:ext cx="2703195" cy="36893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57.5pt;margin-top:92.3pt;height:29.05pt;width:212.85pt;z-index:251715584;mso-width-relative:page;mso-height-relative:page;" filled="f" stroked="t" coordsize="21600,21600" o:gfxdata="UEsDBAoAAAAAAIdO4kAAAAAAAAAAAAAAAAAEAAAAZHJzL1BLAwQUAAAACACHTuJAxU3vWNsAAAAL&#10;AQAADwAAAGRycy9kb3ducmV2LnhtbE2PMU/DMBSEdyT+g/WQ2KidkDZRGqeqkAIDA0ph6OjGr0kg&#10;tqPYacO/5zHBeLrT3XfFbjEDu+Dke2clRCsBDG3jdG9bCR/v1UMGzAdltRqcRQnf6GFX3t4UKtfu&#10;amu8HELLqMT6XEnoQhhzzn3ToVF+5Ua05J3dZFQgObVcT+pK5WbgsRAbblRvaaFTIz512HwdZiPh&#10;9Xne67c5O1d+v/5c0pe6Ora1lPd3kdgCC7iEvzD84hM6lMR0crPVng0SHqM1fQlkZMkGGCXSRKTA&#10;ThLiJE6BlwX//6H8AVBLAwQUAAAACACHTuJAjiV57igCAAAWBAAADgAAAGRycy9lMm9Eb2MueG1s&#10;rVPNjtMwEL4j8Q6W7zRNS5dt1HQPLYUDgkr83KeOk1hybGvsbdqX4AWQOMGegNPeeRpYHoNxEnbZ&#10;5bIHcrDG8cw3833+vDg7NJrtJXplTc7T0ZgzaYQtlKly/vbN5tEpZz6AKUBbI3N+lJ6fLR8+WLQu&#10;kxNbW11IZARifNa6nNchuCxJvKhlA35knTR0WFpsINAWq6RAaAm90clkPD5JWouFQyuk9/R33R/y&#10;ARHvA2jLUgm5tuK8kSb0qCg1BKLka+U8X3bTlqUU4VVZehmYzjkxDd1KTSjexTVZLiCrEFytxDAC&#10;3GeEO5waUIaaXkOtIQA7R/UPVKMEWm/LMBK2SXoinSLEIh3f0eZ1DU52XEhq765F9/8PVrzcb5Gp&#10;gpww58xAQzd+9eHy5/vPV9++/vh0+ev7xxh/uWB0TmK1zmdUszJbjHSlKVYH09eTb1RxIKCYl9xK&#10;jBvv+pJDiQ0rtXLPY2oXvYtRhCM9GCFM5unjkxld0ZHiaTqbpMNFyUNgIiY8GU/T+YwzQRnTk9P5&#10;dNY1hSyiRySHPjyTtmExyLkPCKqqw8oaQ56w2PeD/Qsf4rQ3BbHY2I3SurOGNqzN+Xw2ic2A7F6S&#10;zShsHEnmTcUZ6IrekQjYMfBWqyJWRxyP1W6lke2B3LfZjOkbxryVFkdcg6/7vO4opkEWQOmnpmDh&#10;6OhaANG2Q702g8S9qlHfnS2OW/wjPdmlozVYO/rx731XffOcl7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xU3vWNsAAAALAQAADwAAAAAAAAABACAAAAAiAAAAZHJzL2Rvd25yZXYueG1sUEsBAhQA&#10;FAAAAAgAh07iQI4lee4oAgAAFgQAAA4AAAAAAAAAAQAgAAAAKgEAAGRycy9lMm9Eb2MueG1sUEsF&#10;BgAAAAAGAAYAWQEAAMQFAAAAAA==&#10;">
                <v:fill on="f" focussize="0,0"/>
                <v:stroke color="#FF0000 [3204]" joinstyle="round" endarrow="open"/>
                <v:imagedata o:title=""/>
                <o:lock v:ext="edit" aspectratio="f"/>
              </v:shap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309880</wp:posOffset>
                </wp:positionH>
                <wp:positionV relativeFrom="paragraph">
                  <wp:posOffset>4445</wp:posOffset>
                </wp:positionV>
                <wp:extent cx="1970405" cy="1167765"/>
                <wp:effectExtent l="12700" t="6350" r="17145" b="26035"/>
                <wp:wrapNone/>
                <wp:docPr id="18" name="任意多边形 18"/>
                <wp:cNvGraphicFramePr/>
                <a:graphic xmlns:a="http://schemas.openxmlformats.org/drawingml/2006/main">
                  <a:graphicData uri="http://schemas.microsoft.com/office/word/2010/wordprocessingShape">
                    <wps:wsp>
                      <wps:cNvSpPr/>
                      <wps:spPr>
                        <a:xfrm>
                          <a:off x="1224280" y="1147445"/>
                          <a:ext cx="1970405" cy="1167765"/>
                        </a:xfrm>
                        <a:custGeom>
                          <a:avLst/>
                          <a:gdLst>
                            <a:gd name="connisteX0" fmla="*/ 1970405 w 1970405"/>
                            <a:gd name="connsiteY0" fmla="*/ 12700 h 1167765"/>
                            <a:gd name="connisteX1" fmla="*/ 1690370 w 1970405"/>
                            <a:gd name="connsiteY1" fmla="*/ 1167765 h 1167765"/>
                            <a:gd name="connisteX2" fmla="*/ 774065 w 1970405"/>
                            <a:gd name="connsiteY2" fmla="*/ 1077595 h 1167765"/>
                            <a:gd name="connisteX3" fmla="*/ 255905 w 1970405"/>
                            <a:gd name="connsiteY3" fmla="*/ 1029970 h 1167765"/>
                            <a:gd name="connisteX4" fmla="*/ 148590 w 1970405"/>
                            <a:gd name="connsiteY4" fmla="*/ 952500 h 1167765"/>
                            <a:gd name="connisteX5" fmla="*/ 0 w 1970405"/>
                            <a:gd name="connsiteY5" fmla="*/ 804545 h 1167765"/>
                            <a:gd name="connisteX6" fmla="*/ 0 w 1970405"/>
                            <a:gd name="connsiteY6" fmla="*/ 542290 h 1167765"/>
                            <a:gd name="connisteX7" fmla="*/ 297815 w 1970405"/>
                            <a:gd name="connsiteY7" fmla="*/ 0 h 116776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1970405" h="1167765">
                              <a:moveTo>
                                <a:pt x="1970405" y="12700"/>
                              </a:moveTo>
                              <a:lnTo>
                                <a:pt x="1690370" y="1167765"/>
                              </a:lnTo>
                              <a:lnTo>
                                <a:pt x="774065" y="1077595"/>
                              </a:lnTo>
                              <a:lnTo>
                                <a:pt x="255905" y="1029970"/>
                              </a:lnTo>
                              <a:lnTo>
                                <a:pt x="148590" y="952500"/>
                              </a:lnTo>
                              <a:lnTo>
                                <a:pt x="0" y="804545"/>
                              </a:lnTo>
                              <a:lnTo>
                                <a:pt x="0" y="542290"/>
                              </a:lnTo>
                              <a:lnTo>
                                <a:pt x="297815" y="0"/>
                              </a:lnTo>
                            </a:path>
                          </a:pathLst>
                        </a:cu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24.4pt;margin-top:0.35pt;height:91.95pt;width:155.15pt;z-index:251714560;mso-width-relative:page;mso-height-relative:page;" filled="f" stroked="t" coordsize="1970405,1167765" o:gfxdata="UEsDBAoAAAAAAIdO4kAAAAAAAAAAAAAAAAAEAAAAZHJzL1BLAwQUAAAACACHTuJApyNho9UAAAAH&#10;AQAADwAAAGRycy9kb3ducmV2LnhtbE3Oy07DMBAF0D0S/2ANEjvqBEpIQ5xKVGJRuqJErF1nSEL9&#10;iOzpg79nWNHl6F7dOfXy7Kw4Ykxj8AryWQYCvQnd6HsF7cfrXQkikfadtsGjgh9MsGyur2pddeHk&#10;3/G4pV7wiE+VVjAQTZWUyQzodJqFCT1nXyE6TXzGXnZRn3jcWXmfZYV0evT8YdATrgY0++3BKSiw&#10;jS3Zz80brfdm9W0268VLVOr2Js+eQRCe6b8Mf3ymQ8OmXTj4LgmrYF6ynBQ8geD04XGRg9hxrZwX&#10;IJtaXvqbX1BLAwQUAAAACACHTuJAaKwVcngDAAC8CgAADgAAAGRycy9lMm9Eb2MueG1srVZNb9Mw&#10;GL4j8R+sHJFYnCxp2mrtDlTjgmDShgRH13GaSIkd2V7b3blz54j4E2iCX8MQP4PXdtK5Q1pTiR5a&#10;p3me9/H7aZ+db5sarZlUleCzIDrBAWKcirziq1nw/vri5ThAShOek1pwNgtumQrO58+fnW3aKYtF&#10;KeqcSQRGuJpu2llQat1Ow1DRkjVEnYiWcXhZCNkQDY9yFeaSbMB6U4cxxqNwI2TeSkGZUvDvwr0M&#10;OotyiEFRFBVlC0FvGsa1sypZTTS4pMqqVcHc7rYoGNXvikIxjepZAJ5q+w0isF6a73B+RqYrSdqy&#10;ot0WyJAtPPKpIRUH0Z2pBdEE3cjqH1NNRaVQotAnVDShc8RGBLyI8KPYXJWkZdYXCLVqd0FX/88s&#10;fbu+lKjKoRIg75w0kPFfd3e/P32+//blz8/v9z++IngDYdq0agroq/ZSdk8KlsbnbSEb8wveoC0Y&#10;iuMkHkOAb2EdJVmSpC7MbKsRNYBJhhOcBohaxCjLRhYRPpiiN0q/ZsKaJes3Srs85bCyUc67rVLB&#10;eaU0+wByRVND6l6EqLOPNv2qy7JPUpVmH/dIcYYxKlEU7fYD2fQpVifydUYTfJrhwzp7JGf/sFLs&#10;KWVZgkfpYSGfE+EsSyfpYaFTTyhO0wkeIORzIhxPIKOHhRJPKErGoHTYI58zSeN0SI6gsna1MEDC&#10;h49xkiYDYjY6TsKHp0kcg+cHKy3zJOJJNo4GpMXnPJKA5lr17UPKvqPolnctBStEzBGA7RxrhTK9&#10;7PcXNKt57DoHGhJMAsv04wEy1L9Pjkw/DiZDTfvk+Cgy1KlPPj2KDLXnk5OjyFBVPrkfcMMCBvXi&#10;k0dHKUMR+OTMJ7uodymXcDqac7G256IOEJyL0p6LS8Mh05ZoUyn9Em282V2a4e5GpXnfiDW7Fhap&#10;7SHQz3jYSmRGa7eLB1zN9/Bultqt93ZdlfS4/re19t1EdHA36DqBHtb/Oribax3cjqsn4W46Wbgb&#10;Ok+i3VHnRscAoBsATwJdv1v9PnDOH8ifSYptn112TFK985KLi6qubQJrbnIWpwnEH1ECt7UCbkmw&#10;bFo48RVfBYjUK7gGUi1t2ytRV7mhm0wquVq+qiVaEyiSC/jssrgHa6XSC6JKh7Ovds7BRs29wd0U&#10;zGop8lt7gbD/w6XGutJdwMytyX+27IdL5/w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5gUAAFtDb250ZW50X1R5cGVzXS54bWxQSwECFAAKAAAA&#10;AACHTuJAAAAAAAAAAAAAAAAABgAAAAAAAAAAABAAAADIBAAAX3JlbHMvUEsBAhQAFAAAAAgAh07i&#10;QIoUZjzRAAAAlAEAAAsAAAAAAAAAAQAgAAAA7AQAAF9yZWxzLy5yZWxzUEsBAhQACgAAAAAAh07i&#10;QAAAAAAAAAAAAAAAAAQAAAAAAAAAAAAQAAAAAAAAAGRycy9QSwECFAAUAAAACACHTuJApyNho9UA&#10;AAAHAQAADwAAAAAAAAABACAAAAAiAAAAZHJzL2Rvd25yZXYueG1sUEsBAhQAFAAAAAgAh07iQGis&#10;FXJ4AwAAvAoAAA4AAAAAAAAAAQAgAAAAJAEAAGRycy9lMm9Eb2MueG1sUEsFBgAAAAAGAAYAWQEA&#10;AA4HAAAAAA==&#10;" path="m1970405,12700l1690370,1167765,774065,1077595,255905,1029970,148590,952500,0,804545,0,542290,297815,0e">
                <v:path o:connectlocs="1970405,12700;1690370,1167765;774065,1077595;255905,1029970;148590,952500;0,804545;0,542290;297815,0" o:connectangles="0,0,0,0,0,0,0,0"/>
                <v:fill on="f" focussize="0,0"/>
                <v:stroke weight="2pt" color="#FFFF00 [3204]" joinstyle="round"/>
                <v:imagedata o:title=""/>
                <o:lock v:ext="edit" aspectratio="f"/>
              </v:shap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5157470</wp:posOffset>
                </wp:positionH>
                <wp:positionV relativeFrom="paragraph">
                  <wp:posOffset>1653540</wp:posOffset>
                </wp:positionV>
                <wp:extent cx="626110" cy="308610"/>
                <wp:effectExtent l="0" t="0" r="0" b="0"/>
                <wp:wrapNone/>
                <wp:docPr id="16" name="矩形 16"/>
                <wp:cNvGraphicFramePr/>
                <a:graphic xmlns:a="http://schemas.openxmlformats.org/drawingml/2006/main">
                  <a:graphicData uri="http://schemas.microsoft.com/office/word/2010/wordprocessingShape">
                    <wps:wsp>
                      <wps:cNvSpPr/>
                      <wps:spPr>
                        <a:xfrm>
                          <a:off x="6221730" y="2197735"/>
                          <a:ext cx="626110" cy="3086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default" w:eastAsia="宋体"/>
                                <w:color w:val="FF0000"/>
                                <w:lang w:val="en-US" w:eastAsia="zh-CN"/>
                              </w:rPr>
                            </w:pPr>
                            <w:r>
                              <w:rPr>
                                <w:rFonts w:hint="eastAsia"/>
                                <w:color w:val="FF0000"/>
                                <w:lang w:val="en-US" w:eastAsia="zh-CN"/>
                              </w:rPr>
                              <w:t>80m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06.1pt;margin-top:130.2pt;height:24.3pt;width:49.3pt;z-index:251713536;v-text-anchor:middle;mso-width-relative:page;mso-height-relative:page;" filled="f" stroked="f" coordsize="21600,21600" o:gfxdata="UEsDBAoAAAAAAIdO4kAAAAAAAAAAAAAAAAAEAAAAZHJzL1BLAwQUAAAACACHTuJAUiVvhNkAAAAL&#10;AQAADwAAAGRycy9kb3ducmV2LnhtbE2PQUvDQBCF74L/YRnBm91NLKWNmZQiKvRoI4i3TTIm0exs&#10;yG7T9t87nvQ4zMd738u3ZzeomabQe0ZIFgYUce2bnluEt/L5bg0qRMuNHTwTwoUCbIvrq9xmjT/x&#10;K82H2CoJ4ZBZhC7GMdM61B05GxZ+JJbfp5+cjXJOrW4me5JwN+jUmJV2tmdp6OxIjx3V34ejQwjV&#10;vC8v4+796yPU1e6JXbncvyDe3iTmAVSkc/yD4Vdf1KEQp8ofuQlqQFgnaSooQroyS1BCbBIjYyqE&#10;e7MxoItc/99Q/ABQSwMEFAAAAAgAh07iQKUV6FhdAgAAowQAAA4AAABkcnMvZTJvRG9jLnhtbK1U&#10;S27bMBDdF+gdCO4bWY5jJ0bkwIiRokDQBEiLrmmKsgjwV5K2nF6mQHc9RI5T9Bp9pJTESLvIoht6&#10;hjN+nPdmRucXe63ITvggraloeTSiRBhua2k2Ff386erdKSUhMlMzZY2o6L0I9GLx9s155+ZibFur&#10;auEJQEyYd66ibYxuXhSBt0KzcGSdMAg21msW4fpNUXvWAV2rYjwaTYvO+tp5y0UIuF31QTog+tcA&#10;2qaRXKws32phYo/qhWIRlEIrXaCLXG3TCB5vmiaISFRFwTTmE4/AXqezWJyz+cYz10o+lMBeU8IL&#10;TppJg0efoFYsMrL18i8oLbm3wTbxiFtd9ESyImBRjl5oc9cyJzIXSB3ck+jh/8Hyj7tbT2SNSZhS&#10;YphGx39///nr4QfBBdTpXJgj6c7d+sELMBPVfeN1+gUJsq/odDwuZ8fQ9b6i4/JsNjs+6dUV+0h4&#10;TpiWJeIcCcej0ylsIBbPQM6H+F5YTZJRUY/mZU3Z7jrEPvUxJb1r7JVUCvdsrgzp8OrJZJTwGaay&#10;wTTA1A7MgtlQwtQG486jz5AH/02QKxZasmOYkWCVrIe6lEF5iX/POFlxv94PMqxtfQ/pvO1nKjh+&#10;JQF1zUK8ZR5DhFKwZvEGR6Ms6rODRUlr/bd/3ad89BZRSjoMJer5umVeUKI+GHT9rJxMABuzMzmZ&#10;jeH4w8j6MGK2+tKCU4mFdjybKT+qR7PxVn/BNi7Tqwgxw/F2r9LgXMZ+WbDPXCyXOQ2T61i8NneO&#10;J/C+F8tttI3MbUpC9eoM+mF2c6OHPUvLcejnrOdvy+I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UiVvhNkAAAALAQAADwAAAAAAAAABACAAAAAiAAAAZHJzL2Rvd25yZXYueG1sUEsBAhQAFAAAAAgA&#10;h07iQKUV6FhdAgAAowQAAA4AAAAAAAAAAQAgAAAAKAEAAGRycy9lMm9Eb2MueG1sUEsFBgAAAAAG&#10;AAYAWQEAAPcFAAAAAA==&#10;">
                <v:fill on="f" focussize="0,0"/>
                <v:stroke on="f" weight="2pt"/>
                <v:imagedata o:title=""/>
                <o:lock v:ext="edit" aspectratio="f"/>
                <v:textbox>
                  <w:txbxContent>
                    <w:p>
                      <w:pPr>
                        <w:jc w:val="center"/>
                        <w:rPr>
                          <w:rFonts w:hint="default" w:eastAsia="宋体"/>
                          <w:color w:val="FF0000"/>
                          <w:lang w:val="en-US" w:eastAsia="zh-CN"/>
                        </w:rPr>
                      </w:pPr>
                      <w:r>
                        <w:rPr>
                          <w:rFonts w:hint="eastAsia"/>
                          <w:color w:val="FF0000"/>
                          <w:lang w:val="en-US" w:eastAsia="zh-CN"/>
                        </w:rPr>
                        <w:t>80m</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712512" behindDoc="0" locked="0" layoutInCell="1" allowOverlap="1">
                <wp:simplePos x="0" y="0"/>
                <wp:positionH relativeFrom="column">
                  <wp:posOffset>5189855</wp:posOffset>
                </wp:positionH>
                <wp:positionV relativeFrom="paragraph">
                  <wp:posOffset>1821180</wp:posOffset>
                </wp:positionV>
                <wp:extent cx="198755" cy="127635"/>
                <wp:effectExtent l="2540" t="3810" r="8255" b="1905"/>
                <wp:wrapNone/>
                <wp:docPr id="15" name="直接箭头连接符 15"/>
                <wp:cNvGraphicFramePr/>
                <a:graphic xmlns:a="http://schemas.openxmlformats.org/drawingml/2006/main">
                  <a:graphicData uri="http://schemas.microsoft.com/office/word/2010/wordprocessingShape">
                    <wps:wsp>
                      <wps:cNvCnPr>
                        <a:endCxn id="14" idx="0"/>
                      </wps:cNvCnPr>
                      <wps:spPr>
                        <a:xfrm>
                          <a:off x="6112510" y="2941320"/>
                          <a:ext cx="198755" cy="12763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408.65pt;margin-top:143.4pt;height:10.05pt;width:15.65pt;z-index:251712512;mso-width-relative:page;mso-height-relative:page;" filled="f" stroked="t" coordsize="21600,21600" o:gfxdata="UEsDBAoAAAAAAIdO4kAAAAAAAAAAAAAAAAAEAAAAZHJzL1BLAwQUAAAACACHTuJAbUp0v9kAAAAL&#10;AQAADwAAAGRycy9kb3ducmV2LnhtbE2Py07DMBBF90j8gzWV2FHbLUpNiFOJSgjEjrTs3di1o/oR&#10;xe4Dvp5hBcvRHN17brO+Bk/OZspDihL4nAExsU96iFbCbvtyL4DkoqJWPkUj4ctkWLe3N42qdbrE&#10;D3PuiiUYEnOtJLhSxprS3DsTVJ6n0UT8HdIUVMFzslRP6oLhwdMFYxUNaojY4NRoNs70x+4UJHxv&#10;Om63K//mnvmns696937gTMq7GWdPQIq5lj8YfvVRHVp02qdT1Jl4CYKvlohKWIgKNyAhHkQFZC9h&#10;yapHoG1D/29ofwBQSwMEFAAAAAgAh07iQO+VG54eAgAAAQQAAA4AAABkcnMvZTJvRG9jLnhtbK1T&#10;S3LTQBDdU8UdpmaP9UnsxCrLWdiYDQWuAg4wHo2kqZpf9Uws+xJcgCpWwApYZc9pIByDHklJSNhk&#10;gRdyj6b7db/XT4uLg1ZkL8BLa0qaTVJKhOG2kqYp6bu3m2fnlPjATMWUNaKkR+HpxfLpk0XnCpHb&#10;1qpKAEEQ44vOlbQNwRVJ4nkrNPMT64TBy9qCZgGP0CQVsA7RtUryNJ0lnYXKgeXCe3y7Hi7piAiP&#10;AbR1LblYW36phQkDKgjFAlLyrXSeLvtp61rw8LquvQhElRSZhv6JTTDexWeyXLCiAeZayccR2GNG&#10;eMBJM2mw6S3UmgVGLkH+A6UlB+ttHSbc6mQg0iuCLLL0gTZvWuZEzwWl9u5WdP//YPmr/RaIrNAJ&#10;U0oM07jx6w9Xv95/vv7+7eenq98/Psb46xeC9yhW53yBNSuzhUhXmGp1MEP9KcX/wyhqci8xHrwb&#10;Sg416FiK3Almz7Isn2a4jmNJ8/lpdpKPSxGHQDgmZPPzsynOxjEhy89mJ/0cCStugBz48EJYTWJQ&#10;Uh+AyaYNK2sMrt9C1i+G7V/6gASw8KYgTmHsRirVu0AZ0pV0Ps1jM4bOrtFRGGqH6njTUMJUg58M&#10;D9AjeqtkFasjjodmt1JA9gyNttmk+ItyYbd7abH1mvl2yOuvBgsGJtVzU5FwdLgBBmC7sV4ZhLkT&#10;MEY7Wx23EOHjCZ3RNxpdHK3397nPuvtyl3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bUp0v9kA&#10;AAALAQAADwAAAAAAAAABACAAAAAiAAAAZHJzL2Rvd25yZXYueG1sUEsBAhQAFAAAAAgAh07iQO+V&#10;G54eAgAAAQQAAA4AAAAAAAAAAQAgAAAAKAEAAGRycy9lMm9Eb2MueG1sUEsFBgAAAAAGAAYAWQEA&#10;ALgFAAAAAA==&#10;">
                <v:fill on="f" focussize="0,0"/>
                <v:stroke color="#FF0000 [3204]" joinstyle="round" endarrow="open"/>
                <v:imagedata o:title=""/>
                <o:lock v:ext="edit" aspectratio="f"/>
              </v:shap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711488" behindDoc="0" locked="0" layoutInCell="1" allowOverlap="1">
                <wp:simplePos x="0" y="0"/>
                <wp:positionH relativeFrom="column">
                  <wp:posOffset>4888865</wp:posOffset>
                </wp:positionH>
                <wp:positionV relativeFrom="paragraph">
                  <wp:posOffset>1948815</wp:posOffset>
                </wp:positionV>
                <wp:extent cx="1555750" cy="1444625"/>
                <wp:effectExtent l="6350" t="6350" r="19050" b="15875"/>
                <wp:wrapNone/>
                <wp:docPr id="14" name="任意多边形 14"/>
                <wp:cNvGraphicFramePr/>
                <a:graphic xmlns:a="http://schemas.openxmlformats.org/drawingml/2006/main">
                  <a:graphicData uri="http://schemas.microsoft.com/office/word/2010/wordprocessingShape">
                    <wps:wsp>
                      <wps:cNvSpPr/>
                      <wps:spPr>
                        <a:xfrm>
                          <a:off x="5803265" y="3091815"/>
                          <a:ext cx="1555750" cy="1444625"/>
                        </a:xfrm>
                        <a:custGeom>
                          <a:avLst/>
                          <a:gdLst>
                            <a:gd name="connisteX0" fmla="*/ 499745 w 1555750"/>
                            <a:gd name="connsiteY0" fmla="*/ 0 h 1444625"/>
                            <a:gd name="connisteX1" fmla="*/ 1468120 w 1555750"/>
                            <a:gd name="connsiteY1" fmla="*/ 63500 h 1444625"/>
                            <a:gd name="connisteX2" fmla="*/ 1436370 w 1555750"/>
                            <a:gd name="connsiteY2" fmla="*/ 452755 h 1444625"/>
                            <a:gd name="connisteX3" fmla="*/ 1555750 w 1555750"/>
                            <a:gd name="connsiteY3" fmla="*/ 452755 h 1444625"/>
                            <a:gd name="connisteX4" fmla="*/ 1547495 w 1555750"/>
                            <a:gd name="connsiteY4" fmla="*/ 1444625 h 1444625"/>
                            <a:gd name="connisteX5" fmla="*/ 111125 w 1555750"/>
                            <a:gd name="connsiteY5" fmla="*/ 1381125 h 1444625"/>
                            <a:gd name="connisteX6" fmla="*/ 111125 w 1555750"/>
                            <a:gd name="connsiteY6" fmla="*/ 1174750 h 1444625"/>
                            <a:gd name="connisteX7" fmla="*/ 15875 w 1555750"/>
                            <a:gd name="connsiteY7" fmla="*/ 1167130 h 1444625"/>
                            <a:gd name="connisteX8" fmla="*/ 0 w 1555750"/>
                            <a:gd name="connsiteY8" fmla="*/ 841375 h 1444625"/>
                            <a:gd name="connisteX9" fmla="*/ 142875 w 1555750"/>
                            <a:gd name="connsiteY9" fmla="*/ 833755 h 1444625"/>
                            <a:gd name="connisteX10" fmla="*/ 142875 w 1555750"/>
                            <a:gd name="connsiteY10" fmla="*/ 682625 h 1444625"/>
                            <a:gd name="connisteX11" fmla="*/ 213995 w 1555750"/>
                            <a:gd name="connsiteY11" fmla="*/ 682625 h 1444625"/>
                            <a:gd name="connisteX12" fmla="*/ 213995 w 1555750"/>
                            <a:gd name="connsiteY12" fmla="*/ 611505 h 1444625"/>
                            <a:gd name="connisteX13" fmla="*/ 523875 w 1555750"/>
                            <a:gd name="connsiteY13" fmla="*/ 611505 h 1444625"/>
                            <a:gd name="connisteX14" fmla="*/ 499745 w 1555750"/>
                            <a:gd name="connsiteY14" fmla="*/ 0 h 144462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Lst>
                          <a:rect l="l" t="t" r="r" b="b"/>
                          <a:pathLst>
                            <a:path w="1555750" h="1444625">
                              <a:moveTo>
                                <a:pt x="499745" y="0"/>
                              </a:moveTo>
                              <a:lnTo>
                                <a:pt x="1468120" y="63500"/>
                              </a:lnTo>
                              <a:lnTo>
                                <a:pt x="1436370" y="452755"/>
                              </a:lnTo>
                              <a:lnTo>
                                <a:pt x="1555750" y="452755"/>
                              </a:lnTo>
                              <a:lnTo>
                                <a:pt x="1547495" y="1444625"/>
                              </a:lnTo>
                              <a:lnTo>
                                <a:pt x="111125" y="1381125"/>
                              </a:lnTo>
                              <a:lnTo>
                                <a:pt x="111125" y="1174750"/>
                              </a:lnTo>
                              <a:lnTo>
                                <a:pt x="15875" y="1167130"/>
                              </a:lnTo>
                              <a:lnTo>
                                <a:pt x="0" y="841375"/>
                              </a:lnTo>
                              <a:lnTo>
                                <a:pt x="142875" y="833755"/>
                              </a:lnTo>
                              <a:lnTo>
                                <a:pt x="142875" y="682625"/>
                              </a:lnTo>
                              <a:lnTo>
                                <a:pt x="213995" y="682625"/>
                              </a:lnTo>
                              <a:lnTo>
                                <a:pt x="213995" y="611505"/>
                              </a:lnTo>
                              <a:lnTo>
                                <a:pt x="523875" y="611505"/>
                              </a:lnTo>
                              <a:lnTo>
                                <a:pt x="499745" y="0"/>
                              </a:lnTo>
                              <a:close/>
                            </a:path>
                          </a:pathLst>
                        </a:custGeom>
                        <a:noFill/>
                        <a:ln w="127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 id="_x0000_s1026" o:spid="_x0000_s1026" o:spt="100" style="position:absolute;left:0pt;margin-left:384.95pt;margin-top:153.45pt;height:113.75pt;width:122.5pt;z-index:251711488;mso-width-relative:page;mso-height-relative:page;" filled="f" stroked="t" coordsize="1555750,1444625" o:gfxdata="UEsDBAoAAAAAAIdO4kAAAAAAAAAAAAAAAAAEAAAAZHJzL1BLAwQUAAAACACHTuJArEQuCdgAAAAM&#10;AQAADwAAAGRycy9kb3ducmV2LnhtbE2PwU7DMAyG70i8Q2QkbiwpKx0rdXeYxDhw2kCcvcZrC01S&#10;NVlb3p7sxG6/5U+/Pxeb2XRi5MG3ziIkCwWCbeV0a2uEz4/Xh2cQPpDV1DnLCL/sYVPe3hSUazfZ&#10;PY+HUItYYn1OCE0IfS6lrxo25BeuZxt3JzcYCnEcaqkHmmK56eSjUpk01Np4oaGetw1XP4ezQdiN&#10;07h3tP1+m1dUvXen3ezqL8T7u0S9gAg8h38YLvpRHcrodHRnq73oEFbZeh1RhKXKYrgQKkljOiI8&#10;LdMUZFnI6yfKP1BLAwQUAAAACACHTuJAv/4NeEUEAACjEAAADgAAAGRycy9lMm9Eb2MueG1srVjN&#10;jts2EL4X6DsQOhboWtS/jfXm0MX2UrQBkgDtkStRlgBJFEiu7b333nuPRV8iCNqnSYI8RoekZFNO&#10;YVFB9mBT1nzzzQxnOMO9fXFsG7SnXNSs23r4xvcQ7XJW1N1u6715/fB95iEhSVeQhnV06z1T4b24&#10;+/ab20O/oQGrWFNQjkBJJzaHfutVUvab1UrkFW2JuGE97eBlyXhLJDzy3arg5ADa22YV+H6yOjBe&#10;9JzlVAj49d689AaN3EUhK8s6p/csf2ppJ41WThsiwSVR1b3w7rS1ZUlz+UtZCipRs/XAU6k/gQTW&#10;j+pzdXdLNjtO+qrOBxOIiwkXPrWk7oD0pOqeSIKeeP2ZqrbOOROslDc5a1fGER0R8AL7F7F5VZGe&#10;al8g1KI/BV18PbX5z/uXHNUFZELkoY60sOPv3737+PsfH/7+89O/bz/88xeCNxCmQy82IP2qf8mH&#10;JwFL5fOx5K36Bm/QcevFmR8GSeyh560X+muc4diEmR4lykEAx3GcxrADOUjgKIqSQEuszqryJyF/&#10;pEyrJfufhDT7VMBKR7kYTM1Z19VC0l9BW9k2sHXfrVC0XqdRjA5oJBrAFkbUkv5mY3xUgZ8nU2Aj&#10;P6PAFgWOkgwH/jyHDUrC2HfgCSY8YRKmDjw2KIqDNI7nHQptIrMn8w7ZIFciyKzT5uA4SqO1w+5M&#10;QGZn5l2CrDszYYwDB6IJJsw0aDYZki8gmmLSCGpg3qPUJoqz1MGhCQQnKQ4deODUP0XOId9s8SzC&#10;Idg1G7O1RYGjwMkXG5OFQOPAg+3CdiWagJIsgDNp3iNsl3eAw7VLYk9Azkx2gTsz2aAE49h38cmu&#10;8DgInbYJ2yBnJrvEXQ9t1aasRJ0kHTSQ3dgiSDV2jfzYDW0DVoioMcfXvbpnQvUru4dAQ1KPQ3uA&#10;vgEqAaV6zgwYMsEGY9XynMGwTzY4WASG0NvgcBEYommDdad3Ntv0+FPAxibuFjA4DW3mZJHZcMTZ&#10;4HQRGM4uG5wtAsOBZIPXi8DqkLHR8LwkTdTJMYEvyzJ8kWbwvIj9ItGg5hfBL1LNTJVjrpnvoU45&#10;jO1qYG/0wC49BAM71wP7o6Ikm55IVd7jEh2sobI6z5Tqfcv29DXTklJVuzlndBzH4J9Fms4WHYY8&#10;Latnt8HfUWr87rViHOlRTUubwei6+DgEw4Y6ieuxSWu35lQI22jF+D1Yo4cfI25mmuvWWOJYTybX&#10;xdUgYpSb+eKqtEl6MyVcFTS9Wus1vd5V2nTRq9KmZ2rdC6V137yq23RJo3te+n8ycNy7vGGCmqJS&#10;Ka47yCnXVYlY16KOPdRNo8uh6XQFBKkPoc4JXMpLuAzDsu3hYie6nYdIs4Pbfi657nyCNXWh4Kou&#10;BN89/tBwtCdQcg/wB1qMDROxngt5T0Rl5PSrU1DAUHU9NBdCtXpkxbO+J+rf4e6qXRnu2epybD9r&#10;9Pl/C3f/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YGAABbQ29udGVudF9UeXBlc10ueG1sUEsBAhQACgAAAAAAh07iQAAAAAAAAAAAAAAAAAYA&#10;AAAAAAAAAAAQAAAAmAUAAF9yZWxzL1BLAQIUABQAAAAIAIdO4kCKFGY80QAAAJQBAAALAAAAAAAA&#10;AAEAIAAAALwFAABfcmVscy8ucmVsc1BLAQIUAAoAAAAAAIdO4kAAAAAAAAAAAAAAAAAEAAAAAAAA&#10;AAAAEAAAAAAAAABkcnMvUEsBAhQAFAAAAAgAh07iQKxELgnYAAAADAEAAA8AAAAAAAAAAQAgAAAA&#10;IgAAAGRycy9kb3ducmV2LnhtbFBLAQIUABQAAAAIAIdO4kC//g14RQQAAKMQAAAOAAAAAAAAAAEA&#10;IAAAACcBAABkcnMvZTJvRG9jLnhtbFBLBQYAAAAABgAGAFkBAADeBwAAAAA=&#10;" path="m499745,0l1468120,63500,1436370,452755,1555750,452755,1547495,1444625,111125,1381125,111125,1174750,15875,1167130,0,841375,142875,833755,142875,682625,213995,682625,213995,611505,523875,611505,499745,0xe">
                <v:path o:connectlocs="499745,0;1468120,63500;1436370,452755;1555750,452755;1547495,1444625;111125,1381125;111125,1174750;15875,1167130;0,841375;142875,833755;142875,682625;213995,682625;213995,611505;523875,611505;499745,0" o:connectangles="0,0,0,0,0,0,0,0,0,0,0,0,0,0,0"/>
                <v:fill on="f" focussize="0,0"/>
                <v:stroke weight="1pt" color="#FFFF00 [3204]" joinstyle="round"/>
                <v:imagedata o:title=""/>
                <o:lock v:ext="edit" aspectratio="f"/>
              </v:shap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7627620</wp:posOffset>
                </wp:positionH>
                <wp:positionV relativeFrom="paragraph">
                  <wp:posOffset>4051300</wp:posOffset>
                </wp:positionV>
                <wp:extent cx="1215390" cy="885825"/>
                <wp:effectExtent l="0" t="0" r="3810" b="9525"/>
                <wp:wrapNone/>
                <wp:docPr id="98" name="矩形 98"/>
                <wp:cNvGraphicFramePr/>
                <a:graphic xmlns:a="http://schemas.openxmlformats.org/drawingml/2006/main">
                  <a:graphicData uri="http://schemas.microsoft.com/office/word/2010/wordprocessingShape">
                    <wps:wsp>
                      <wps:cNvSpPr/>
                      <wps:spPr>
                        <a:xfrm>
                          <a:off x="960755" y="2723515"/>
                          <a:ext cx="1215390" cy="885825"/>
                        </a:xfrm>
                        <a:prstGeom prst="rect">
                          <a:avLst/>
                        </a:prstGeom>
                        <a:solidFill>
                          <a:schemeClr val="bg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0.6pt;margin-top:319pt;height:69.75pt;width:95.7pt;z-index:251703296;v-text-anchor:middle;mso-width-relative:page;mso-height-relative:page;" fillcolor="#BFBFBF [2412]" filled="t" stroked="f" coordsize="21600,21600" o:gfxdata="UEsDBAoAAAAAAIdO4kAAAAAAAAAAAAAAAAAEAAAAZHJzL1BLAwQUAAAACACHTuJAMDW0+toAAAAN&#10;AQAADwAAAGRycy9kb3ducmV2LnhtbE2PQU7DMBBF90jcwRokdtROoiQlxKlEKlZISLQcwI1NHIjH&#10;Uew05fZMV7D8mqc/79e7ixvZ2cxh8Cgh2QhgBjuvB+wlfBxfHrbAQlSo1ejRSPgxAXbN7U2tKu1X&#10;fDfnQ+wZlWColAQb41RxHjprnAobPxmk26efnYoU557rWa1U7kaeClFwpwakD1ZNprWm+z4sTsLS&#10;ZoN9S9rnfL//em3XcsrFkEt5f5eIJ2DRXOIfDFd9UoeGnE5+QR3YSDkVSUqshCLb0qorkj2mBbCT&#10;hLIsc+BNzf+vaH4BUEsDBBQAAAAIAIdO4kAC4AYJfwIAAOMEAAAOAAAAZHJzL2Uyb0RvYy54bWyt&#10;VM1uEzEQviPxDpbvdDdptkmjbqrQKAip0EoFcXa83uxK/sN2sikvg8SNh+BxEK/BZ+/2h8KhB7SS&#10;d8Yz/mbmm7HPzg9Kkr1wvjW6pKOjnBKhualavS3pxw/rVzNKfGC6YtJoUdJb4en54uWLs87Oxdg0&#10;RlbCEYBoP+9sSZsQ7DzLPG+EYv7IWKFhrI1TLEB126xyrAO6ktk4z0+yzrjKOsOF99hd9UY6ILrn&#10;AJq6brlYGb5TQoce1QnJAkryTWs9XaRs61rwcFXXXgQiS4pKQ1oRBPImrtnijM23jtmm5UMK7Dkp&#10;PKlJsVYj6D3UigVGdq79C0q13Blv6nDEjcr6QhIjqGKUP+HmpmFWpFpAtbf3pPv/B8vf768daauS&#10;nqLvmil0/NfX7z9/fCPYADud9XM43dhrN2geYiz1UDsV/yiCHHD+JJ8WBSW3JR1Px8fFqOjJFYdA&#10;OOyj8ag4PgXvHB6zWTEbJ4fsAcg6H94Io0gUSurQvMQp21/6gOBwvXOJcb2RbbVupUyK224upCN7&#10;hka/XscvnZU79c5U/fa0yPPUcQD53j+B/gEkNelQQTGBK+EMA15jsCAqC5K83lLC5BY3hweXImgT&#10;c0hzFLNbMd/04RJs5ADhpMYvUtmTF6WNqW5BvTP9THrL1y3OXzIfrpnDECI+rmm4wlJLg6TMIFHS&#10;GPflX/vRH7MBKyUdhhoJf94xJyiRbzWm5nQ0mQA2JGVSTMdQ3GPL5rFF79SFAZ0jPAiWJzH6B3kn&#10;1s6oT7jNyxgVJqY5YvfUDMpF6C8b3gMulsvkhsm3LFzqG8sjeGyfNstdMHWb2vzAzkAaZj+xONzT&#10;eLke68nr4W1a/AZ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wNbT62gAAAA0BAAAPAAAAAAAAAAEA&#10;IAAAACIAAABkcnMvZG93bnJldi54bWxQSwECFAAUAAAACACHTuJAAuAGCX8CAADjBAAADgAAAAAA&#10;AAABACAAAAApAQAAZHJzL2Uyb0RvYy54bWxQSwUGAAAAAAYABgBZAQAAGgYAAAAA&#10;">
                <v:fill on="t" focussize="0,0"/>
                <v:stroke on="f" weight="2pt"/>
                <v:imagedata o:title=""/>
                <o:lock v:ext="edit" aspectratio="f"/>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3176270</wp:posOffset>
                </wp:positionH>
                <wp:positionV relativeFrom="paragraph">
                  <wp:posOffset>4956810</wp:posOffset>
                </wp:positionV>
                <wp:extent cx="2552700" cy="333375"/>
                <wp:effectExtent l="0" t="0" r="0" b="9525"/>
                <wp:wrapNone/>
                <wp:docPr id="1" name="矩形 2"/>
                <wp:cNvGraphicFramePr/>
                <a:graphic xmlns:a="http://schemas.openxmlformats.org/drawingml/2006/main">
                  <a:graphicData uri="http://schemas.microsoft.com/office/word/2010/wordprocessingShape">
                    <wps:wsp>
                      <wps:cNvSpPr/>
                      <wps:spPr>
                        <a:xfrm>
                          <a:off x="2406650" y="9377045"/>
                          <a:ext cx="2552700" cy="333375"/>
                        </a:xfrm>
                        <a:prstGeom prst="rect">
                          <a:avLst/>
                        </a:prstGeom>
                        <a:solidFill>
                          <a:srgbClr val="FFFFFF"/>
                        </a:solidFill>
                        <a:ln w="25400" cap="flat" cmpd="sng" algn="ctr">
                          <a:noFill/>
                          <a:prstDash val="solid"/>
                        </a:ln>
                        <a:effectLst/>
                      </wps:spPr>
                      <wps:txbx>
                        <w:txbxContent>
                          <w:p>
                            <w:pPr>
                              <w:jc w:val="center"/>
                              <w:rPr>
                                <w:rFonts w:hint="default" w:eastAsia="宋体"/>
                                <w:sz w:val="24"/>
                                <w:szCs w:val="24"/>
                                <w:lang w:val="en-US" w:eastAsia="zh-CN"/>
                              </w:rPr>
                            </w:pPr>
                            <w:r>
                              <w:rPr>
                                <w:rFonts w:hint="eastAsia"/>
                                <w:sz w:val="24"/>
                                <w:szCs w:val="24"/>
                                <w:lang w:val="en-US" w:eastAsia="zh-CN"/>
                              </w:rPr>
                              <w:t>附图2 周边环境示意图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margin-left:250.1pt;margin-top:390.3pt;height:26.25pt;width:201pt;z-index:251663360;v-text-anchor:middle;mso-width-relative:page;mso-height-relative:page;" fillcolor="#FFFFFF" filled="t" stroked="f" coordsize="21600,21600" o:gfxdata="UEsDBAoAAAAAAIdO4kAAAAAAAAAAAAAAAAAEAAAAZHJzL1BLAwQUAAAACACHTuJAkfiRq9YAAAAL&#10;AQAADwAAAGRycy9kb3ducmV2LnhtbE2PwU7DMAyG70i8Q2QkbixpC6OUppNAQpzZpp3dxmurNU6V&#10;ZFt5e8IJjrY//f7+erPYSVzIh9GxhmylQBB3zozca9jvPh5KECEiG5wck4ZvCrBpbm9qrIy78hdd&#10;trEXKYRDhRqGGOdKytANZDGs3EycbkfnLcY0+l4aj9cUbieZK7WWFkdOHwac6X2g7rQ9Ww0yftJp&#10;t+QHLtQjtm/+uD/MUuv7u0y9goi0xD8YfvWTOjTJqXVnNkFMGp6UyhOq4blUaxCJeFF52rQayqLI&#10;QDa1/N+h+QFQSwMEFAAAAAgAh07iQM6AnVR0AgAA2QQAAA4AAABkcnMvZTJvRG9jLnhtbK1US27b&#10;MBDdF+gdCO4bKY4dN0bkwIjhokDQBHCLrmmKtATwV5K2nF6mQHc9RI5T9Bp9pJRP0y6yqBb0jGb8&#10;Zubxjc4vDlqRvfChtaaix0clJcJwW7dmW9FPH1dv3lISIjM1U9aIit6KQC/mr1+dd24mRraxqhae&#10;AMSEWecq2sToZkUReCM0C0fWCYOgtF6zCNdvi9qzDuhaFaOyPC0662vnLRch4O2yD9IB0b8E0ErZ&#10;crG0fKeFiT2qF4pFjBSa1gU6z91KKXi8ljKISFRFMWnMJ4rA3qSzmJ+z2dYz17R8aIG9pIVnM2nW&#10;GhR9gFqyyMjOt39B6ZZ7G6yMR9zqoh8kM4Ipjstn3Kwb5kSeBVQH90B6+H+w/MP+xpO2hhIoMUzj&#10;wn99+/Hz7jsZJW46F2ZIWbsbP3gBZhr0IL1OvxiBHCo6GpenpxOwelvRs5PptBxPem7FIRKeEiaT&#10;0bREAkfGCZ5pTigekZwP8Z2wmiSjoh53lyll+6sQUR2p9ympcLCqrVetUtnx282l8mTPcM+r/KTy&#10;+MsfacqQLrUyzo0wqFdCNehJOzAQzJYSprZYCx59rm1sqgCkvvaShaavkWGHEsqkuMhqG1pNvPVM&#10;JSseNoeBvo2tb0G4t70Sg+OrFuNesRBvmIf0wBCWM17jkMqiWztYlDTWf/3X+5QPRSBKSQcpY5Iv&#10;O+YFJeq9gVbOjsdjwMbsjCfTERz/NLJ5GjE7fWnBIvSA7rKZ8qO6N6W3+jN2eJGqIsQMR+2es8G5&#10;jP2K4SvAxWKR06B3x+KVWTuewBNlxi520co2324iqmcH95YcKD7f4LCdaaWe+jnr8Ys0/w1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jBAAAW0Nv&#10;bnRlbnRfVHlwZXNdLnhtbFBLAQIUAAoAAAAAAIdO4kAAAAAAAAAAAAAAAAAGAAAAAAAAAAAAEAAA&#10;AMUDAABfcmVscy9QSwECFAAUAAAACACHTuJAihRmPNEAAACUAQAACwAAAAAAAAABACAAAADpAwAA&#10;X3JlbHMvLnJlbHNQSwECFAAKAAAAAACHTuJAAAAAAAAAAAAAAAAABAAAAAAAAAAAABAAAAAAAAAA&#10;ZHJzL1BLAQIUABQAAAAIAIdO4kCR+JGr1gAAAAsBAAAPAAAAAAAAAAEAIAAAACIAAABkcnMvZG93&#10;bnJldi54bWxQSwECFAAUAAAACACHTuJAzoCdVHQCAADZBAAADgAAAAAAAAABACAAAAAlAQAAZHJz&#10;L2Uyb0RvYy54bWxQSwUGAAAAAAYABgBZAQAACwYAAAAA&#10;">
                <v:fill on="t" focussize="0,0"/>
                <v:stroke on="f" weight="2pt"/>
                <v:imagedata o:title=""/>
                <o:lock v:ext="edit" aspectratio="f"/>
                <v:textbox>
                  <w:txbxContent>
                    <w:p>
                      <w:pPr>
                        <w:jc w:val="center"/>
                        <w:rPr>
                          <w:rFonts w:hint="default" w:eastAsia="宋体"/>
                          <w:sz w:val="24"/>
                          <w:szCs w:val="24"/>
                          <w:lang w:val="en-US" w:eastAsia="zh-CN"/>
                        </w:rPr>
                      </w:pPr>
                      <w:r>
                        <w:rPr>
                          <w:rFonts w:hint="eastAsia"/>
                          <w:sz w:val="24"/>
                          <w:szCs w:val="24"/>
                          <w:lang w:val="en-US" w:eastAsia="zh-CN"/>
                        </w:rPr>
                        <w:t>附图2 周边环境示意图</w:t>
                      </w:r>
                    </w:p>
                  </w:txbxContent>
                </v:textbox>
              </v:rect>
            </w:pict>
          </mc:Fallback>
        </mc:AlternateContent>
      </w: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8853170" cy="4936490"/>
            <wp:effectExtent l="0" t="0" r="5080" b="1651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40"/>
                    <a:stretch>
                      <a:fillRect/>
                    </a:stretch>
                  </pic:blipFill>
                  <pic:spPr>
                    <a:xfrm>
                      <a:off x="0" y="0"/>
                      <a:ext cx="8853170" cy="4936490"/>
                    </a:xfrm>
                    <a:prstGeom prst="rect">
                      <a:avLst/>
                    </a:prstGeom>
                    <a:noFill/>
                    <a:ln>
                      <a:noFill/>
                    </a:ln>
                  </pic:spPr>
                </pic:pic>
              </a:graphicData>
            </a:graphic>
          </wp:inline>
        </w:drawing>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7769860</wp:posOffset>
                </wp:positionH>
                <wp:positionV relativeFrom="paragraph">
                  <wp:posOffset>4609465</wp:posOffset>
                </wp:positionV>
                <wp:extent cx="228600" cy="93345"/>
                <wp:effectExtent l="12700" t="0" r="25400" b="27940"/>
                <wp:wrapNone/>
                <wp:docPr id="103" name="矩形 103"/>
                <wp:cNvGraphicFramePr/>
                <a:graphic xmlns:a="http://schemas.openxmlformats.org/drawingml/2006/main">
                  <a:graphicData uri="http://schemas.microsoft.com/office/word/2010/wordprocessingShape">
                    <wps:wsp>
                      <wps:cNvSpPr/>
                      <wps:spPr>
                        <a:xfrm>
                          <a:off x="0" y="0"/>
                          <a:ext cx="228600" cy="93345"/>
                        </a:xfrm>
                        <a:prstGeom prst="rect">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11.8pt;margin-top:362.95pt;height:7.35pt;width:18pt;z-index:251707392;v-text-anchor:middle;mso-width-relative:page;mso-height-relative:page;" filled="f" stroked="t" coordsize="21600,21600" o:gfxdata="UEsDBAoAAAAAAIdO4kAAAAAAAAAAAAAAAAAEAAAAZHJzL1BLAwQUAAAACACHTuJA2PnMytkAAAAN&#10;AQAADwAAAGRycy9kb3ducmV2LnhtbE2PzU7DMBCE70i8g7VI3KidNIQS4lSiUg+VemnhAdx4SaLG&#10;68h2f+Dp2Z7gtjM7mv22Xl7dKM4Y4uBJQzZTIJBabwfqNHx+rJ8WIGIyZM3oCTV8Y4Rlc39Xm8r6&#10;C+3wvE+d4BKKldHQpzRVUsa2R2fizE9IvPvywZnEMnTSBnPhcjfKXKlSOjMQX+jNhKse2+P+5DRM&#10;9ue42m23RXDzYszWi817hhutHx8y9QYi4TX9heGGz+jQMNPBn8hGMbLO83nJWQ0v+fMriFuEB7YO&#10;bBWqBNnU8v8XzS9QSwMEFAAAAAgAh07iQDWWH3RcAgAAtgQAAA4AAABkcnMvZTJvRG9jLnhtbK1U&#10;zW4TMRC+I/EOlu90kzQtbZSkihoFIVU0UkGcHa+dteQ/bCeb8jJI3HiIPg7iNfjs3f5QOPRADs6M&#10;Z/yN5/M3O704GE32IkTl7IwOjwaUCMtdrex2Rj99XL05oyQmZmumnRUzeisivZi/fjVt/USMXON0&#10;LQIBiI2T1s9ok5KfVFXkjTAsHjkvLILSBcMS3LCt6sBaoBtdjQaD06p1ofbBcREjdpddkPaI4SWA&#10;TkrFxdLxnRE2dahBaJbQUmyUj3Rebiul4OlayigS0TOKTlNZUQT2Jq/VfMom28B8o3h/BfaSKzzr&#10;yTBlUfQBaskSI7ug/oIyigcXnUxH3Jmqa6Qwgi6Gg2fc3DTMi9ILqI7+gfT4/2D5h/06EFVDCYNj&#10;SiwzePJf3378vPtO8g74aX2cIO3Gr0PvRZi52YMMJv+jDXIonN4+cCoOiXBsjkZnpwOwzRE6Pz4e&#10;n2TI6vGsDzG9E86QbMxowIsVItn+KqYu9T4ll7JupbTGPptoS1rgn4wLPIMUJSSASsajnWi3lDC9&#10;hcZ5CgUyOq3qfDyfjmG7udSB7BmUscIPKF25P9Jy7SWLTZdXQn2atugjc9Oxka2Nq2/BZnCdzKLn&#10;K4XzVyymNQvQFXjA5KVrLFI73N71FiWNC1//tZ/z8dyIUtJCp+jsy44FQYl+byGE8+F4nIVdnPHJ&#10;2xGc8DSyeRqxO3Pp0PAQM+55MXN+0vemDM58xoAuclWEmOWo3XHYO5epmx+MOBeLRUmDmD1LV/bG&#10;8wzevdRil5xU5REf2elJg5yLDPrRy/Py1C9Zj5+b+W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Y&#10;+czK2QAAAA0BAAAPAAAAAAAAAAEAIAAAACIAAABkcnMvZG93bnJldi54bWxQSwECFAAUAAAACACH&#10;TuJANZYfdFwCAAC2BAAADgAAAAAAAAABACAAAAAoAQAAZHJzL2Uyb0RvYy54bWxQSwUGAAAAAAYA&#10;BgBZAQAA9gUAAAAA&#10;">
                <v:fill on="f" focussize="0,0"/>
                <v:stroke weight="2pt" color="#FFFF00 [3204]" joinstyle="round"/>
                <v:imagedata o:title=""/>
                <o:lock v:ext="edit" aspectratio="f"/>
              </v:rect>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7651750</wp:posOffset>
                </wp:positionH>
                <wp:positionV relativeFrom="paragraph">
                  <wp:posOffset>4020185</wp:posOffset>
                </wp:positionV>
                <wp:extent cx="579120" cy="278765"/>
                <wp:effectExtent l="0" t="0" r="0" b="0"/>
                <wp:wrapNone/>
                <wp:docPr id="100" name="矩形 100"/>
                <wp:cNvGraphicFramePr/>
                <a:graphic xmlns:a="http://schemas.openxmlformats.org/drawingml/2006/main">
                  <a:graphicData uri="http://schemas.microsoft.com/office/word/2010/wordprocessingShape">
                    <wps:wsp>
                      <wps:cNvSpPr/>
                      <wps:spPr>
                        <a:xfrm>
                          <a:off x="8046085" y="3837305"/>
                          <a:ext cx="579120" cy="27876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图例：</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2.5pt;margin-top:316.55pt;height:21.95pt;width:45.6pt;z-index:251704320;v-text-anchor:middle;mso-width-relative:page;mso-height-relative:page;" filled="f" stroked="f" coordsize="21600,21600" o:gfxdata="UEsDBAoAAAAAAIdO4kAAAAAAAAAAAAAAAAAEAAAAZHJzL1BLAwQUAAAACACHTuJAIVjGyNoAAAAN&#10;AQAADwAAAGRycy9kb3ducmV2LnhtbE2PwU7DMBBE70j8g7VI3KidFFIIcaoKAVKPNEiImxMvSSBe&#10;R7Gbtn/P9gTHmR3NvinWRzeIGafQe9KQLBQIpMbbnloN79XLzT2IEA1ZM3hCDScMsC4vLwqTW3+g&#10;N5x3sRVcQiE3GroYx1zK0HToTFj4EYlvX35yJrKcWmknc+ByN8hUqUw60xN/6MyITx02P7u90xDq&#10;eVudxs3H92do6s0zuep2+6r19VWiHkFEPMa/MJzxGR1KZqr9nmwQA+tU3fGYqCFbLhMQ50j6kKUg&#10;arZWKwWyLOT/FeUvUEsDBBQAAAAIAIdO4kABUF6FYAIAAKUEAAAOAAAAZHJzL2Uyb0RvYy54bWyt&#10;VM1uEzEQviPxDpbvdDdp0qRRN1XUqAipgkoFcXa83qwl/2E72ZSXQeLGQ/A4iNfgs3fbRoVDD1y8&#10;Y8/km/m+mcnF5UErshc+SGsqOjopKRGG21qabUU/fbx+M6ckRGZqpqwRFb0XgV4uX7+66NxCjG1r&#10;VS08AYgJi85VtI3RLYoi8FZoFk6sEwbOxnrNIq5+W9SedUDXqhiX5VnRWV87b7kIAa/r3kkHRP8S&#10;QNs0kou15TstTOxRvVAsglJopQt0mattGsHjh6YJIhJVUTCN+UQS2Jt0FssLtth65lrJhxLYS0p4&#10;xkkzaZD0EWrNIiM7L/+C0pJ7G2wTT7jVRU8kKwIWo/KZNnctcyJzgdTBPYoe/h8sf7+/9UTWmIQS&#10;mhim0fLf3378+vmdpBfo07mwQNidu/XDLcBMZA+N1+kLGuRQ0Xk5OSvnU0ruK3o6P52dltNeX3GI&#10;hCNgOjsfjZGFI2A8m8/Osr94AnI+xLfCapKMinq0L6vK9jchIjlCH0JSXmOvpVK5hcqQDqDTSWLB&#10;GeaywTzA1A7cgtlSwtQWA8+jz5BHv02QaxZasmeYkmCVrFPdSKYMPol/zzhZ8bA5DDJsbH0P8bzt&#10;pyo4fi0BdcNCvGUeY4RSsGjxA45GWdRnB4uS1vqv/3pP8eguvJR0GEvU82XHvKBEvTPo+/loMgFs&#10;zJfJdJbk9MeezbHH7PSVBacRVtrxbKb4qB7Mxlv9Gfu4SlnhYoYjd6/ScLmK/bpgo7lYrXIYZtex&#10;eGPuHE/gfS9Wu2gbmduUhOrVGfTD9GZBh01L63F8z1FP/y7LP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CFYxsjaAAAADQEAAA8AAAAAAAAAAQAgAAAAIgAAAGRycy9kb3ducmV2LnhtbFBLAQIUABQA&#10;AAAIAIdO4kABUF6FYAIAAKUEAAAOAAAAAAAAAAEAIAAAACkBAABkcnMvZTJvRG9jLnhtbFBLBQYA&#10;AAAABgAGAFkBAAD7BQAAAAA=&#10;">
                <v:fill on="f" focussize="0,0"/>
                <v:stroke on="f" weight="2pt"/>
                <v:imagedata o:title=""/>
                <o:lock v:ext="edit" aspectratio="f"/>
                <v:textbox>
                  <w:txbxContent>
                    <w:p>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图例：</w:t>
                      </w:r>
                    </w:p>
                  </w:txbxContent>
                </v:textbox>
              </v:rect>
            </w:pict>
          </mc:Fallback>
        </mc:AlternateContent>
      </w:r>
    </w:p>
    <w:p>
      <w:pPr>
        <w:jc w:val="center"/>
        <w:rPr>
          <w:rFonts w:hint="default" w:ascii="Times New Roman" w:hAnsi="Times New Roman" w:eastAsia="宋体" w:cs="Times New Roman"/>
          <w:color w:val="000000" w:themeColor="text1"/>
          <w:sz w:val="2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3202940</wp:posOffset>
                </wp:positionH>
                <wp:positionV relativeFrom="paragraph">
                  <wp:posOffset>4697095</wp:posOffset>
                </wp:positionV>
                <wp:extent cx="2552700" cy="333375"/>
                <wp:effectExtent l="0" t="0" r="0" b="9525"/>
                <wp:wrapNone/>
                <wp:docPr id="4" name="矩形 2"/>
                <wp:cNvGraphicFramePr/>
                <a:graphic xmlns:a="http://schemas.openxmlformats.org/drawingml/2006/main">
                  <a:graphicData uri="http://schemas.microsoft.com/office/word/2010/wordprocessingShape">
                    <wps:wsp>
                      <wps:cNvSpPr/>
                      <wps:spPr>
                        <a:xfrm>
                          <a:off x="2406650" y="9377045"/>
                          <a:ext cx="2552700" cy="333375"/>
                        </a:xfrm>
                        <a:prstGeom prst="rect">
                          <a:avLst/>
                        </a:prstGeom>
                        <a:solidFill>
                          <a:srgbClr val="FFFFFF"/>
                        </a:solidFill>
                        <a:ln w="25400" cap="flat" cmpd="sng" algn="ctr">
                          <a:noFill/>
                          <a:prstDash val="solid"/>
                        </a:ln>
                        <a:effectLst/>
                      </wps:spPr>
                      <wps:txbx>
                        <w:txbxContent>
                          <w:p>
                            <w:pPr>
                              <w:jc w:val="center"/>
                              <w:rPr>
                                <w:rFonts w:hint="default" w:eastAsia="宋体"/>
                                <w:sz w:val="24"/>
                                <w:szCs w:val="24"/>
                                <w:lang w:val="en-US" w:eastAsia="zh-CN"/>
                              </w:rPr>
                            </w:pPr>
                            <w:r>
                              <w:rPr>
                                <w:rFonts w:hint="eastAsia"/>
                                <w:sz w:val="24"/>
                                <w:szCs w:val="24"/>
                                <w:lang w:val="en-US" w:eastAsia="zh-CN"/>
                              </w:rPr>
                              <w:t>附图3 厂区平面布置图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margin-left:252.2pt;margin-top:369.85pt;height:26.25pt;width:201pt;z-index:251664384;v-text-anchor:middle;mso-width-relative:page;mso-height-relative:page;" fillcolor="#FFFFFF" filled="t" stroked="f" coordsize="21600,21600" o:gfxdata="UEsDBAoAAAAAAIdO4kAAAAAAAAAAAAAAAAAEAAAAZHJzL1BLAwQUAAAACACHTuJATxbW99YAAAAL&#10;AQAADwAAAGRycy9kb3ducmV2LnhtbE2PwU7DMAyG70i8Q2QkbixZVzZamk4CCXFmm3ZOG6+t1jhV&#10;km3l7TEnOPr3p9+fq+3sRnHFEAdPGpYLBQKp9XagTsNh//H0AiImQ9aMnlDDN0bY1vd3lSmtv9EX&#10;XnepE1xCsTQa+pSmUsrY9uhMXPgJiXcnH5xJPIZO2mBuXO5GmSm1ls4MxBd6M+F7j+15d3EaZPrE&#10;837OjrRSuWnewulwnKTWjw9L9Qoi4Zz+YPjVZ3Wo2anxF7JRjBqeVZ4zqmGzKjYgmCjUmpOGkyLL&#10;QNaV/P9D/QNQSwMEFAAAAAgAh07iQLFMC9h1AgAA2QQAAA4AAABkcnMvZTJvRG9jLnhtbK1US27b&#10;MBDdF+gdCO4byY4cN4blwLDhokDQBEiLrmmKsgTwV5K2nF6mQHc9RI5T9Bp9pJRP0y6yqBbyjGb8&#10;3szjDOcXRyXJQTjfGl3S0UlOidDcVK3elfTTx82bt5T4wHTFpNGipLfC04vF61fzzs7E2DRGVsIR&#10;gGg/62xJmxDsLMs8b4Ri/sRYoRGsjVMswHW7rHKsA7qS2TjPz7LOuMo6w4X3+Lrug3RAdC8BNHXd&#10;crE2fK+EDj2qE5IFtOSb1nq6SNXWteDhqq69CESWFJ2G9AYJ7G18Z4s5m+0cs03LhxLYS0p41pNi&#10;rQbpA9SaBUb2rv0LSrXcGW/qcMKNyvpGkiLoYpQ/0+amYVakXiC1tw+i+/8Hyz8crh1pq5IWlGim&#10;cOC/vv34efedjKM2nfUzpNzYazd4HmZs9Fg7FX/RAjmWdFzkZ2cTqHpb0vPT6TQvJr224hgIjwmT&#10;yXiaI4Ej4xTPNCVkj0jW+fBOGEWiUVKHs0uSssOlD2BH6n1KJPZGttWmlTI5brddSUcODOe8SU+k&#10;x1/+SJOadLGUIhXCML01pgY1KQsFvN5RwuQOa8GDS9zaRAYg9dxr5pueI8EOFFLHuEjTNpQadeuV&#10;ilY4bo+DfFtT3UJwZ/pJ9JZvWrR7yXy4Zg6jB4WwnOEKr1oaVGsGi5LGuK//+h7zMRGIUtJhlNHJ&#10;lz1zghL5XmNWzkdFAdiQnGIyHcNxTyPbpxG9VysDFUe4BixPZswP8t6snVGfscPLyIoQ0xzcvWaD&#10;swr9iuEW4GK5TGmYd8vCpb6xPIJHybRZ7oOp23S6UaheHZxbdDDx6QSH7Ywr9dRPWY830uI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TxbW99YAAAALAQAADwAAAAAAAAABACAAAAAiAAAAZHJzL2Rv&#10;d25yZXYueG1sUEsBAhQAFAAAAAgAh07iQLFMC9h1AgAA2QQAAA4AAAAAAAAAAQAgAAAAJQEAAGRy&#10;cy9lMm9Eb2MueG1sUEsFBgAAAAAGAAYAWQEAAAwGAAAAAA==&#10;">
                <v:fill on="t" focussize="0,0"/>
                <v:stroke on="f" weight="2pt"/>
                <v:imagedata o:title=""/>
                <o:lock v:ext="edit" aspectratio="f"/>
                <v:textbox>
                  <w:txbxContent>
                    <w:p>
                      <w:pPr>
                        <w:jc w:val="center"/>
                        <w:rPr>
                          <w:rFonts w:hint="default" w:eastAsia="宋体"/>
                          <w:sz w:val="24"/>
                          <w:szCs w:val="24"/>
                          <w:lang w:val="en-US" w:eastAsia="zh-CN"/>
                        </w:rPr>
                      </w:pPr>
                      <w:r>
                        <w:rPr>
                          <w:rFonts w:hint="eastAsia"/>
                          <w:sz w:val="24"/>
                          <w:szCs w:val="24"/>
                          <w:lang w:val="en-US" w:eastAsia="zh-CN"/>
                        </w:rPr>
                        <w:t>附图3 厂区平面布置图</w:t>
                      </w:r>
                    </w:p>
                  </w:txbxContent>
                </v:textbox>
              </v:rect>
            </w:pict>
          </mc:Fallback>
        </mc:AlternateContent>
      </w:r>
      <w:r>
        <w:rPr>
          <w:rFonts w:hint="default" w:ascii="Times New Roman" w:hAnsi="Times New Roman" w:eastAsia="宋体" w:cs="Times New Roman"/>
          <w:color w:val="000000" w:themeColor="text1"/>
          <w:sz w:val="21"/>
          <w14:textFill>
            <w14:solidFill>
              <w14:schemeClr w14:val="tx1"/>
            </w14:solidFill>
          </w14:textFill>
        </w:rPr>
        <w:drawing>
          <wp:inline distT="0" distB="0" distL="114300" distR="114300">
            <wp:extent cx="8274050" cy="4488815"/>
            <wp:effectExtent l="0" t="0" r="12700" b="6985"/>
            <wp:docPr id="44" name="图片 44" descr="新建 DOCX 文档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新建 DOCX 文档_01"/>
                    <pic:cNvPicPr>
                      <a:picLocks noChangeAspect="1"/>
                    </pic:cNvPicPr>
                  </pic:nvPicPr>
                  <pic:blipFill>
                    <a:blip r:embed="rId41"/>
                    <a:stretch>
                      <a:fillRect/>
                    </a:stretch>
                  </pic:blipFill>
                  <pic:spPr>
                    <a:xfrm>
                      <a:off x="0" y="0"/>
                      <a:ext cx="8274050" cy="4488815"/>
                    </a:xfrm>
                    <a:prstGeom prst="rect">
                      <a:avLst/>
                    </a:prstGeom>
                  </pic:spPr>
                </pic:pic>
              </a:graphicData>
            </a:graphic>
          </wp:inline>
        </w:drawing>
      </w:r>
    </w:p>
    <w:p>
      <w:pPr>
        <w:bidi w:val="0"/>
        <w:rPr>
          <w:rFonts w:hint="default" w:ascii="Times New Roman" w:hAnsi="Times New Roman" w:eastAsia="宋体" w:cs="Times New Roman"/>
          <w:color w:val="000000" w:themeColor="text1"/>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8582025" cy="3800475"/>
            <wp:effectExtent l="0" t="0" r="9525" b="9525"/>
            <wp:docPr id="6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
                    <pic:cNvPicPr>
                      <a:picLocks noChangeAspect="1"/>
                    </pic:cNvPicPr>
                  </pic:nvPicPr>
                  <pic:blipFill>
                    <a:blip r:embed="rId42"/>
                    <a:stretch>
                      <a:fillRect/>
                    </a:stretch>
                  </pic:blipFill>
                  <pic:spPr>
                    <a:xfrm>
                      <a:off x="0" y="0"/>
                      <a:ext cx="8582025" cy="3800475"/>
                    </a:xfrm>
                    <a:prstGeom prst="rect">
                      <a:avLst/>
                    </a:prstGeom>
                    <a:noFill/>
                    <a:ln>
                      <a:noFill/>
                    </a:ln>
                  </pic:spPr>
                </pic:pic>
              </a:graphicData>
            </a:graphic>
          </wp:inline>
        </w:drawing>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3612032" behindDoc="0" locked="0" layoutInCell="1" allowOverlap="1">
                <wp:simplePos x="0" y="0"/>
                <wp:positionH relativeFrom="column">
                  <wp:posOffset>3202940</wp:posOffset>
                </wp:positionH>
                <wp:positionV relativeFrom="paragraph">
                  <wp:posOffset>4697095</wp:posOffset>
                </wp:positionV>
                <wp:extent cx="2552700" cy="333375"/>
                <wp:effectExtent l="0" t="0" r="0" b="9525"/>
                <wp:wrapNone/>
                <wp:docPr id="61" name="矩形 2"/>
                <wp:cNvGraphicFramePr/>
                <a:graphic xmlns:a="http://schemas.openxmlformats.org/drawingml/2006/main">
                  <a:graphicData uri="http://schemas.microsoft.com/office/word/2010/wordprocessingShape">
                    <wps:wsp>
                      <wps:cNvSpPr/>
                      <wps:spPr>
                        <a:xfrm>
                          <a:off x="0" y="0"/>
                          <a:ext cx="2552700" cy="333375"/>
                        </a:xfrm>
                        <a:prstGeom prst="rect">
                          <a:avLst/>
                        </a:prstGeom>
                        <a:solidFill>
                          <a:srgbClr val="FFFFFF"/>
                        </a:solidFill>
                        <a:ln w="25400" cap="flat" cmpd="sng" algn="ctr">
                          <a:noFill/>
                          <a:prstDash val="solid"/>
                        </a:ln>
                        <a:effectLst/>
                      </wps:spPr>
                      <wps:txbx>
                        <w:txbxContent>
                          <w:p>
                            <w:pPr>
                              <w:jc w:val="center"/>
                              <w:rPr>
                                <w:rFonts w:hint="default" w:eastAsia="宋体"/>
                                <w:sz w:val="24"/>
                                <w:szCs w:val="24"/>
                                <w:lang w:val="en-US" w:eastAsia="zh-CN"/>
                              </w:rPr>
                            </w:pPr>
                            <w:r>
                              <w:rPr>
                                <w:rFonts w:hint="eastAsia"/>
                                <w:sz w:val="24"/>
                                <w:szCs w:val="24"/>
                                <w:lang w:val="en-US" w:eastAsia="zh-CN"/>
                              </w:rPr>
                              <w:t>附图4 车间主要设备布局图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margin-left:252.2pt;margin-top:369.85pt;height:26.25pt;width:201pt;z-index:253612032;v-text-anchor:middle;mso-width-relative:page;mso-height-relative:page;" fillcolor="#FFFFFF" filled="t" stroked="f" coordsize="21600,21600" o:gfxdata="UEsDBAoAAAAAAIdO4kAAAAAAAAAAAAAAAAAEAAAAZHJzL1BLAwQUAAAACACHTuJATxbW99YAAAAL&#10;AQAADwAAAGRycy9kb3ducmV2LnhtbE2PwU7DMAyG70i8Q2QkbixZVzZamk4CCXFmm3ZOG6+t1jhV&#10;km3l7TEnOPr3p9+fq+3sRnHFEAdPGpYLBQKp9XagTsNh//H0AiImQ9aMnlDDN0bY1vd3lSmtv9EX&#10;XnepE1xCsTQa+pSmUsrY9uhMXPgJiXcnH5xJPIZO2mBuXO5GmSm1ls4MxBd6M+F7j+15d3EaZPrE&#10;837OjrRSuWnewulwnKTWjw9L9Qoi4Zz+YPjVZ3Wo2anxF7JRjBqeVZ4zqmGzKjYgmCjUmpOGkyLL&#10;QNaV/P9D/QNQSwMEFAAAAAgAh07iQD9IchFnAgAAzgQAAA4AAABkcnMvZTJvRG9jLnhtbK1UzW4T&#10;MRC+I/EOlu90k5C0EHVTRY2CkCpaqSDOjtfOWrI9ZuxkU14GiRsP0cdBvAZj7/aHwqEH9uDM7Ey+&#10;mfn8zZ6eHZxle4XRgK/5+GjEmfISGuO3Nf/0cf3qDWcxCd8IC17V/EZFfrZ4+eK0C3M1gRZso5AR&#10;iI/zLtS8TSnMqyrKVjkRjyAoT0EN6EQiF7dVg6IjdGeryWh0XHWATUCQKkZ6u+qDfEDE5wCC1kaq&#10;FcidUz71qKisSDRSbE2IfFG61VrJdKl1VInZmtOkqZxUhOxNPqvFqZhvUYTWyKEF8ZwWnszkhPFU&#10;9B5qJZJgOzR/QTkjESLodCTBVf0ghRGaYjx6ws11K4IqsxDVMdyTHv8frPywv0JmmpofjznzwtGN&#10;//r24+ftdzbJ5HQhzinnOlzh4EUy86QHjS7/0gzsUAi9uSdUHRKT9HIym01ORsS1pNhrek5mGbR6&#10;+HfAmN4pcCwbNUe6sMKj2F/E1KfepeRiEaxp1sba4uB2c26R7QVd7ro8A/ofadazLrcyLY0Ikqwm&#10;qVBPLtDY0W85E3ZLuyATltoecgUqLua59krEtq9RYIcS1ue4KhIbWs1c9exkKx02h4GyDTQ3xDJC&#10;L78Y5NoQ8IWI6Uog6Y0Yoo1Ml3RoC9QtDBZnLeDXf73P+SQDinLWkX5pki87gYoz+96TQN6Op9Ms&#10;+OJMZycTcvBxZPM44nfuHIhF0gB1V8ycn+ydqRHcZ1rcZa5KIeEl1e45G5zz1O8Vrb5Uy2VJI5EH&#10;kS78dZAZPFPmYblLoE253UxUzw6pIjsk86KPYSXzHj32S9bDZ2jx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E8W1vfWAAAACwEAAA8AAAAAAAAAAQAgAAAAIgAAAGRycy9kb3ducmV2LnhtbFBLAQIU&#10;ABQAAAAIAIdO4kA/SHIRZwIAAM4EAAAOAAAAAAAAAAEAIAAAACUBAABkcnMvZTJvRG9jLnhtbFBL&#10;BQYAAAAABgAGAFkBAAD+BQAAAAA=&#10;">
                <v:fill on="t" focussize="0,0"/>
                <v:stroke on="f" weight="2pt"/>
                <v:imagedata o:title=""/>
                <o:lock v:ext="edit" aspectratio="f"/>
                <v:textbox>
                  <w:txbxContent>
                    <w:p>
                      <w:pPr>
                        <w:jc w:val="center"/>
                        <w:rPr>
                          <w:rFonts w:hint="default" w:eastAsia="宋体"/>
                          <w:sz w:val="24"/>
                          <w:szCs w:val="24"/>
                          <w:lang w:val="en-US" w:eastAsia="zh-CN"/>
                        </w:rPr>
                      </w:pPr>
                      <w:r>
                        <w:rPr>
                          <w:rFonts w:hint="eastAsia"/>
                          <w:sz w:val="24"/>
                          <w:szCs w:val="24"/>
                          <w:lang w:val="en-US" w:eastAsia="zh-CN"/>
                        </w:rPr>
                        <w:t>附图4 车间主要设备布局图</w:t>
                      </w:r>
                    </w:p>
                  </w:txbxContent>
                </v:textbox>
              </v:rect>
            </w:pict>
          </mc:Fallback>
        </mc:AlternateContent>
      </w:r>
    </w:p>
    <w:p>
      <w:pPr>
        <w:rPr>
          <w:rFonts w:hint="default" w:ascii="Times New Roman" w:hAnsi="Times New Roman" w:eastAsia="宋体" w:cs="Times New Roman"/>
          <w:color w:val="000000" w:themeColor="text1"/>
          <w:sz w:val="24"/>
          <w:szCs w:val="32"/>
          <w:lang w:val="en-US" w:eastAsia="zh-CN"/>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2188845</wp:posOffset>
                </wp:positionH>
                <wp:positionV relativeFrom="paragraph">
                  <wp:posOffset>2291715</wp:posOffset>
                </wp:positionV>
                <wp:extent cx="74930" cy="66040"/>
                <wp:effectExtent l="6350" t="6350" r="13970" b="22860"/>
                <wp:wrapNone/>
                <wp:docPr id="42" name="椭圆 42"/>
                <wp:cNvGraphicFramePr/>
                <a:graphic xmlns:a="http://schemas.openxmlformats.org/drawingml/2006/main">
                  <a:graphicData uri="http://schemas.microsoft.com/office/word/2010/wordprocessingShape">
                    <wps:wsp>
                      <wps:cNvSpPr/>
                      <wps:spPr>
                        <a:xfrm>
                          <a:off x="0" y="0"/>
                          <a:ext cx="74930" cy="66040"/>
                        </a:xfrm>
                        <a:prstGeom prst="ellipse">
                          <a:avLst/>
                        </a:prstGeom>
                        <a:solidFill>
                          <a:srgbClr val="C00000"/>
                        </a:solidFill>
                        <a:ln w="12700" cap="flat" cmpd="sng" algn="ctr">
                          <a:solidFill>
                            <a:srgbClr val="C00000"/>
                          </a:solidFill>
                          <a:prstDash val="solid"/>
                          <a:miter lim="800000"/>
                        </a:ln>
                        <a:effectLst/>
                      </wps:spPr>
                      <wps:txbx>
                        <w:txbxContent>
                          <w:p>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72.35pt;margin-top:180.45pt;height:5.2pt;width:5.9pt;z-index:251672576;v-text-anchor:middle;mso-width-relative:page;mso-height-relative:page;" fillcolor="#C00000" filled="t" stroked="t" coordsize="21600,21600" o:gfxdata="UEsDBAoAAAAAAIdO4kAAAAAAAAAAAAAAAAAEAAAAZHJzL1BLAwQUAAAACACHTuJAn3eU+9sAAAAL&#10;AQAADwAAAGRycy9kb3ducmV2LnhtbE2Py07DMBBF90j8gzVIbBC1Q9q0hDhd0CIQG0TaD3DjIYni&#10;RxS7aenXM6xgd0dzdOdMsT5bwyYcQ+edhGQmgKGrve5cI2G/e7lfAQtROa2MdyjhGwOsy+urQuXa&#10;n9wnTlVsGJW4kCsJbYxDznmoW7QqzPyAjnZffrQq0jg2XI/qROXW8AchMm5V5+hCqwZ8brHuq6OV&#10;gOY921yafrt5u1T93YfqV6/TVsrbm0Q8AYt4jn8w/OqTOpTkdPBHpwMzEtL5fEkohUw8AiMiXWQL&#10;YAcKyyQFXhb8/w/lD1BLAwQUAAAACACHTuJAXfh8IHgCAAAPBQAADgAAAGRycy9lMm9Eb2MueG1s&#10;rVTNbhMxEL4j8Q6W73STEPoTdVNFiYqQKqhUEGfHa2ct+Q/byaY8AE/BkSuPBc/BZ++2TQuHHshh&#10;M+MZz8z3zYzPL/ZGk50IUTlb0/HRiBJhuWuU3dT008fLV6eUxMRsw7Szoqa3ItKL+csX552fiYlr&#10;nW5EIAhi46zzNW1T8rOqirwVhsUj54WFUbpgWIIaNlUTWIfoRleT0ei46lxofHBcxIjTVW+kQ8Tw&#10;nIBOSsXFyvGtETb1UYPQLAFSbJWPdF6qlVLw9EHKKBLRNQXSVL5IAnmdv9X8nM02gflW8aEE9pwS&#10;nmAyTFkkvQ+1YomRbVB/hTKKBxedTEfcmaoHUhgBivHoCTc3LfOiYAHV0d+THv9fWP5+dx2Iamo6&#10;nVBimUHHf//4+ev7N4IDsNP5OIPTjb8OgxYhZqh7GUz+BwiyL4ze3jMq9olwHJ5Mz16Dag7L8fFo&#10;WviuHq76ENNb4QzJQk2F1mheRsxmbHcVEzLC+84rH0enVXOptC5K2KyXOpAdQ3eXo/zLJePKIzdt&#10;SYdJn5zATDjDzErMCkTjgTvaDSVMb7AMPIWS+9Ht+LwkucgVi21fTInQD5dRCfuilanp6WGJ2mYI&#10;oszoADVz3bObpbRf7wfK1665RZuC6+c3en6pkO+KxXTNAgYWwLDS6QM+UjugdYNESevC13+dZ3/M&#10;EayUdFgAMPFly4KgRL+zmLCz8RT9Iqko0zcnEyjh0LI+tNitWTp0YYzHw/MiZv+k70QZnPmMzV/k&#10;rDAxy5G753xQlqlfTLwdXCwWxQ1b4lm6sjee5+CZMusW2+SkKtORierZQd+zgj0pEzDsdF7EQ714&#10;Pbxj8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fd5T72wAAAAsBAAAPAAAAAAAAAAEAIAAAACIA&#10;AABkcnMvZG93bnJldi54bWxQSwECFAAUAAAACACHTuJAXfh8IHgCAAAPBQAADgAAAAAAAAABACAA&#10;AAAqAQAAZHJzL2Uyb0RvYy54bWxQSwUGAAAAAAYABgBZAQAAFAYAAAAA&#10;">
                <v:fill on="t" focussize="0,0"/>
                <v:stroke weight="1pt" color="#C00000" miterlimit="8" joinstyle="miter"/>
                <v:imagedata o:title=""/>
                <o:lock v:ext="edit" aspectratio="f"/>
                <v:textbox>
                  <w:txbxContent>
                    <w:p>
                      <w:pPr>
                        <w:jc w:val="center"/>
                      </w:pPr>
                    </w:p>
                  </w:txbxContent>
                </v:textbox>
              </v:shape>
            </w:pict>
          </mc:Fallback>
        </mc:AlternateContent>
      </w: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1704975</wp:posOffset>
                </wp:positionH>
                <wp:positionV relativeFrom="paragraph">
                  <wp:posOffset>1721485</wp:posOffset>
                </wp:positionV>
                <wp:extent cx="698500" cy="206375"/>
                <wp:effectExtent l="6350" t="6350" r="19050" b="454025"/>
                <wp:wrapNone/>
                <wp:docPr id="43" name="圆角矩形标注 7"/>
                <wp:cNvGraphicFramePr/>
                <a:graphic xmlns:a="http://schemas.openxmlformats.org/drawingml/2006/main">
                  <a:graphicData uri="http://schemas.microsoft.com/office/word/2010/wordprocessingShape">
                    <wps:wsp>
                      <wps:cNvSpPr/>
                      <wps:spPr>
                        <a:xfrm>
                          <a:off x="0" y="0"/>
                          <a:ext cx="698500" cy="206375"/>
                        </a:xfrm>
                        <a:prstGeom prst="wedgeRoundRectCallout">
                          <a:avLst>
                            <a:gd name="adj1" fmla="val 28727"/>
                            <a:gd name="adj2" fmla="val 252153"/>
                            <a:gd name="adj3" fmla="val 16667"/>
                          </a:avLst>
                        </a:prstGeom>
                        <a:noFill/>
                        <a:ln w="12700" cap="flat" cmpd="sng">
                          <a:solidFill>
                            <a:srgbClr val="FF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jc w:val="center"/>
                              <w:textAlignment w:val="auto"/>
                              <w:rPr>
                                <w:color w:val="FF0000"/>
                                <w:sz w:val="15"/>
                                <w:szCs w:val="15"/>
                              </w:rPr>
                            </w:pPr>
                            <w:r>
                              <w:rPr>
                                <w:rFonts w:hint="eastAsia"/>
                                <w:color w:val="FF0000"/>
                                <w:sz w:val="15"/>
                                <w:szCs w:val="15"/>
                              </w:rPr>
                              <w:t>本项目位置</w:t>
                            </w:r>
                          </w:p>
                        </w:txbxContent>
                      </wps:txbx>
                      <wps:bodyPr vert="horz" wrap="square" lIns="0" tIns="0" rIns="0" bIns="0" anchor="ctr" anchorCtr="0" upright="1"/>
                    </wps:wsp>
                  </a:graphicData>
                </a:graphic>
              </wp:anchor>
            </w:drawing>
          </mc:Choice>
          <mc:Fallback>
            <w:pict>
              <v:shape id="圆角矩形标注 7" o:spid="_x0000_s1026" o:spt="62" type="#_x0000_t62" style="position:absolute;left:0pt;margin-left:134.25pt;margin-top:135.55pt;height:16.25pt;width:55pt;z-index:251673600;v-text-anchor:middle;mso-width-relative:page;mso-height-relative:page;" filled="f" stroked="t" coordsize="21600,21600" o:gfxdata="UEsDBAoAAAAAAIdO4kAAAAAAAAAAAAAAAAAEAAAAZHJzL1BLAwQUAAAACACHTuJAOCZgJtoAAAAL&#10;AQAADwAAAGRycy9kb3ducmV2LnhtbE2PzU7DMBCE70i8g7VIXBC104q0SuNUEIkTP1JKxNm1t0lE&#10;bEex05S3Z3uit9md0ey3+e5se3bCMXTeSUgWAhg67U3nGgn11+vjBliIyhnVe4cSfjHArri9yVVm&#10;/OwqPO1jw6jEhUxJaGMcMs6DbtGqsPADOvKOfrQq0jg23IxqpnLb86UQKbeqc3ShVQOWLeqf/WQl&#10;hFp/f9S8en8rk4dh1s/TS1V+Snl/l4gtsIjn+B+GCz6hQ0FMBz85E1gvYZlunihKYp0kwCixWl82&#10;BxJilQIvcn79Q/EHUEsDBBQAAAAIAIdO4kC+3FCafwIAAO0EAAAOAAAAZHJzL2Uyb0RvYy54bWyt&#10;VM1uEzEQviPxDpbvdDdbkpSomx4agpAQVC08gGN7d438h+1kEx4A7j0jgbgAZ848TguPwdi7Sdpy&#10;6YEcNuP1+Jvv+8azxydrJdGKOy+MLvHgIMeIa2qY0HWJ37yePzrCyAeiGZFG8xJvuMcn04cPjls7&#10;4YVpjGTcIQDRftLaEjch2EmWedpwRfyBsVzDZmWcIgGWrs6YIy2gK5kVeT7KWuOYdYZy7+HtrNvE&#10;PaK7D6CpKkH5zNCl4jp0qI5LEkCSb4T1eJrYVhWn4VVVeR6QLDEoDekJRSBexGc2PSaT2hHbCNpT&#10;IPehcEeTIkJD0R3UjASClk78A6UEdcabKhxQo7JOSHIEVAzyO95cNMTypAWs9nZnuv9/sPTl6swh&#10;wUr8+BAjTRR0/OrThz/fLn9//nH16+v1l4/XP7+jcTSqtX4C+Rf2zPUrD2FUva6civ+gB62TuZud&#10;uXwdEIWXoydHwxxsp7BV5KPD8TBiZvvD1vnwjBuFYlDilrOan5ulZufQxVMipVmG5DFZvfAhmc16&#10;xoS9HWBUKQm9WxGJiqNxkShDQ27kFLdyhsVgeNhfgBtJYMMeaDAajRIQ8OzLQrRlGjloMxdSpmsk&#10;NWphoopxkklgNiq4k6BYWfDX6zqx90YKFs/E097Vi1PpEJAu8Xyew6935VZaLDgjvuny0lZHXInA&#10;XSrecMKeaobCxkILNYwujmwUZxhJDpMeo5QZiJD3yQShUkOHYtu7RscorBdrgInhwrANXB74lkC7&#10;GuPeQ0WYJJD6bkkc1JfPNVzVOHbbwG2DxTYgmsLREtPgMOoWp6Eb0KV1om4Ae5A8iSVhCtKd6Sc2&#10;jtnNdWK7/0pN/wJ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4JmAm2gAAAAsBAAAPAAAAAAAAAAEA&#10;IAAAACIAAABkcnMvZG93bnJldi54bWxQSwECFAAUAAAACACHTuJAvtxQmn8CAADtBAAADgAAAAAA&#10;AAABACAAAAApAQAAZHJzL2Uyb0RvYy54bWxQSwUGAAAAAAYABgBZAQAAGgYAAAAA&#10;" adj="17005,65265,14400">
                <v:fill on="f" focussize="0,0"/>
                <v:stroke weight="1pt" color="#FF0000"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jc w:val="center"/>
                        <w:textAlignment w:val="auto"/>
                        <w:rPr>
                          <w:color w:val="FF0000"/>
                          <w:sz w:val="15"/>
                          <w:szCs w:val="15"/>
                        </w:rPr>
                      </w:pPr>
                      <w:r>
                        <w:rPr>
                          <w:rFonts w:hint="eastAsia"/>
                          <w:color w:val="FF0000"/>
                          <w:sz w:val="15"/>
                          <w:szCs w:val="15"/>
                        </w:rPr>
                        <w:t>本项目位置</w:t>
                      </w:r>
                    </w:p>
                  </w:txbxContent>
                </v:textbox>
              </v:shape>
            </w:pict>
          </mc:Fallback>
        </mc:AlternateContent>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3625215</wp:posOffset>
                </wp:positionH>
                <wp:positionV relativeFrom="paragraph">
                  <wp:posOffset>5042535</wp:posOffset>
                </wp:positionV>
                <wp:extent cx="2734945" cy="333375"/>
                <wp:effectExtent l="0" t="0" r="8255" b="9525"/>
                <wp:wrapNone/>
                <wp:docPr id="41" name="矩形 2"/>
                <wp:cNvGraphicFramePr/>
                <a:graphic xmlns:a="http://schemas.openxmlformats.org/drawingml/2006/main">
                  <a:graphicData uri="http://schemas.microsoft.com/office/word/2010/wordprocessingShape">
                    <wps:wsp>
                      <wps:cNvSpPr/>
                      <wps:spPr>
                        <a:xfrm>
                          <a:off x="0" y="0"/>
                          <a:ext cx="2734945" cy="333375"/>
                        </a:xfrm>
                        <a:prstGeom prst="rect">
                          <a:avLst/>
                        </a:prstGeom>
                        <a:solidFill>
                          <a:srgbClr val="FFFFFF"/>
                        </a:solidFill>
                        <a:ln w="25400" cap="flat" cmpd="sng" algn="ctr">
                          <a:noFill/>
                          <a:prstDash val="solid"/>
                        </a:ln>
                        <a:effectLst/>
                      </wps:spPr>
                      <wps:txbx>
                        <w:txbxContent>
                          <w:p>
                            <w:pPr>
                              <w:jc w:val="center"/>
                              <w:rPr>
                                <w:rFonts w:hint="default" w:eastAsia="宋体"/>
                                <w:sz w:val="24"/>
                                <w:szCs w:val="24"/>
                                <w:lang w:val="en-US" w:eastAsia="zh-CN"/>
                              </w:rPr>
                            </w:pPr>
                            <w:r>
                              <w:rPr>
                                <w:rFonts w:hint="eastAsia"/>
                                <w:sz w:val="24"/>
                                <w:szCs w:val="24"/>
                                <w:lang w:val="en-US" w:eastAsia="zh-CN"/>
                              </w:rPr>
                              <w:t>附图5  环境管控单元内位置关系图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margin-left:285.45pt;margin-top:397.05pt;height:26.25pt;width:215.35pt;z-index:251671552;v-text-anchor:middle;mso-width-relative:page;mso-height-relative:page;" fillcolor="#FFFFFF" filled="t" stroked="f" coordsize="21600,21600" o:gfxdata="UEsDBAoAAAAAAIdO4kAAAAAAAAAAAAAAAAAEAAAAZHJzL1BLAwQUAAAACACHTuJA/bulUNcAAAAM&#10;AQAADwAAAGRycy9kb3ducmV2LnhtbE2PwW7CMBBE75X6D9ZW6q3YoWmAEAcJpKrnAuK8SZYkIl5H&#10;toH072tO7XE1TzNvi81kBnEj53vLGpKZAkFc26bnVsPx8Pm2BOEDcoODZdLwQx425fNTgXlj7/xN&#10;t31oRSxhn6OGLoQxl9LXHRn0MzsSx+xsncEQT9fKxuE9lptBzpXKpMGe40KHI+06qi/7q9Egwxdd&#10;DtP8xO8qxWrrzsfTKLV+fUnUGkSgKfzB8NCP6lBGp8peufFi0PCxUKuIalis0gTEg1AqyUBUGpZp&#10;loEsC/n/ifIXUEsDBBQAAAAIAIdO4kBZPG9naQIAAM4EAAAOAAAAZHJzL2Uyb0RvYy54bWytVMFu&#10;EzEQvSPxD5bvdJN0Q2mUTRU1CkKqaKWCODteO7uS7TFjJ5vyM0jc+Ag+B/EbjL3bNhQOPbAHZ2Zn&#10;8mbm+c3OLw7WsL3C0IKr+PhkxJlyEurWbSv+8cP61RvOQhSuFgacqvidCvxi8fLFvPMzNYEGTK2Q&#10;EYgLs85XvInRz4oiyEZZEU7AK0dBDWhFJBe3RY2iI3Rrislo9LroAGuPIFUI9HbVB/mAiM8BBK1b&#10;qVYgd1a52KOiMiLSSKFpfeCL3K3WSsZrrYOKzFScJo35pCJkb9JZLOZitkXhm1YOLYjntPBkJita&#10;R0UfoFYiCrbD9i8o20qEADqeSLBFP0hmhKYYj55wc9sIr/IsRHXwD6SH/wcr3+9vkLV1xcsxZ05Y&#10;uvFfX7///PGNTRI5nQ8zyrn1Nzh4gcw06UGjTb80AztkQu8eCFWHyCS9nJydlufllDNJsVN6zqYJ&#10;tHj8t8cQ3yqwLBkVR7qwzKPYX4XYp96npGIBTFuvW2Oyg9vNpUG2F3S56/wM6H+kGcc6amVajujS&#10;pSDJapIKmdbT2MFtORNmS7sgI+baDlIFKi5mqfZKhKavkWGHEsaluMoSG1pNXPXsJCseNoeBsg3U&#10;d8QyQi+/4OW6JeArEeKNQNIbNUYbGa/p0AaoWxgszhrAL/96n/JJBhTlrCP90iSfdwIVZ+adI4Gc&#10;j8syCT475fRsQg4eRzbHEbezl0Askgaou2ym/GjuTY1gP9HiLlNVCgknqXbP2eBcxn6vaPWlWi5z&#10;Gonci3jlbr1M4IkyB8tdBN3m201E9eyQKpJDMs/6GFYy7dGxn7MeP0OL3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27pVDXAAAADAEAAA8AAAAAAAAAAQAgAAAAIgAAAGRycy9kb3ducmV2LnhtbFBL&#10;AQIUABQAAAAIAIdO4kBZPG9naQIAAM4EAAAOAAAAAAAAAAEAIAAAACYBAABkcnMvZTJvRG9jLnht&#10;bFBLBQYAAAAABgAGAFkBAAABBgAAAAA=&#10;">
                <v:fill on="t" focussize="0,0"/>
                <v:stroke on="f" weight="2pt"/>
                <v:imagedata o:title=""/>
                <o:lock v:ext="edit" aspectratio="f"/>
                <v:textbox>
                  <w:txbxContent>
                    <w:p>
                      <w:pPr>
                        <w:jc w:val="center"/>
                        <w:rPr>
                          <w:rFonts w:hint="default" w:eastAsia="宋体"/>
                          <w:sz w:val="24"/>
                          <w:szCs w:val="24"/>
                          <w:lang w:val="en-US" w:eastAsia="zh-CN"/>
                        </w:rPr>
                      </w:pPr>
                      <w:r>
                        <w:rPr>
                          <w:rFonts w:hint="eastAsia"/>
                          <w:sz w:val="24"/>
                          <w:szCs w:val="24"/>
                          <w:lang w:val="en-US" w:eastAsia="zh-CN"/>
                        </w:rPr>
                        <w:t>附图5  环境管控单元内位置关系图</w:t>
                      </w:r>
                    </w:p>
                  </w:txbxContent>
                </v:textbox>
              </v:rect>
            </w:pict>
          </mc:Fallback>
        </mc:AlternateContent>
      </w:r>
      <w:r>
        <w:rPr>
          <w:rFonts w:hint="default" w:ascii="Times New Roman" w:hAnsi="Times New Roman" w:eastAsia="宋体" w:cs="Times New Roman"/>
          <w:color w:val="000000" w:themeColor="text1"/>
          <w14:textFill>
            <w14:solidFill>
              <w14:schemeClr w14:val="tx1"/>
            </w14:solidFill>
          </w14:textFill>
        </w:rPr>
        <w:drawing>
          <wp:anchor distT="0" distB="0" distL="114300" distR="114300" simplePos="0" relativeHeight="251670528" behindDoc="0" locked="0" layoutInCell="1" allowOverlap="1">
            <wp:simplePos x="0" y="0"/>
            <wp:positionH relativeFrom="column">
              <wp:posOffset>-62230</wp:posOffset>
            </wp:positionH>
            <wp:positionV relativeFrom="paragraph">
              <wp:posOffset>16510</wp:posOffset>
            </wp:positionV>
            <wp:extent cx="8907145" cy="4849495"/>
            <wp:effectExtent l="0" t="0" r="8255" b="8255"/>
            <wp:wrapNone/>
            <wp:docPr id="25" name="图片 2" descr="微信图片_20210630154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descr="微信图片_20210630154431"/>
                    <pic:cNvPicPr>
                      <a:picLocks noChangeAspect="1"/>
                    </pic:cNvPicPr>
                  </pic:nvPicPr>
                  <pic:blipFill>
                    <a:blip r:embed="rId43"/>
                    <a:srcRect l="2727" t="8173" r="1762" b="3468"/>
                    <a:stretch>
                      <a:fillRect/>
                    </a:stretch>
                  </pic:blipFill>
                  <pic:spPr>
                    <a:xfrm>
                      <a:off x="0" y="0"/>
                      <a:ext cx="8907145" cy="4849495"/>
                    </a:xfrm>
                    <a:prstGeom prst="rect">
                      <a:avLst/>
                    </a:prstGeom>
                    <a:noFill/>
                    <a:ln>
                      <a:noFill/>
                    </a:ln>
                  </pic:spPr>
                </pic:pic>
              </a:graphicData>
            </a:graphic>
          </wp:anchor>
        </w:drawing>
      </w:r>
    </w:p>
    <w:p>
      <w:pPr>
        <w:jc w:val="left"/>
        <w:rPr>
          <w:rFonts w:hint="default" w:ascii="Times New Roman" w:hAnsi="Times New Roman" w:eastAsia="宋体" w:cs="Times New Roman"/>
          <w:color w:val="000000" w:themeColor="text1"/>
          <w:sz w:val="24"/>
          <w:szCs w:val="32"/>
          <w:lang w:val="en-US" w:eastAsia="zh-CN"/>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2037120" behindDoc="0" locked="0" layoutInCell="1" allowOverlap="1">
                <wp:simplePos x="0" y="0"/>
                <wp:positionH relativeFrom="column">
                  <wp:posOffset>3284855</wp:posOffset>
                </wp:positionH>
                <wp:positionV relativeFrom="paragraph">
                  <wp:posOffset>985520</wp:posOffset>
                </wp:positionV>
                <wp:extent cx="698500" cy="206375"/>
                <wp:effectExtent l="6350" t="6350" r="19050" b="454025"/>
                <wp:wrapNone/>
                <wp:docPr id="35" name="圆角矩形标注 7"/>
                <wp:cNvGraphicFramePr/>
                <a:graphic xmlns:a="http://schemas.openxmlformats.org/drawingml/2006/main">
                  <a:graphicData uri="http://schemas.microsoft.com/office/word/2010/wordprocessingShape">
                    <wps:wsp>
                      <wps:cNvSpPr/>
                      <wps:spPr>
                        <a:xfrm>
                          <a:off x="0" y="0"/>
                          <a:ext cx="698500" cy="206375"/>
                        </a:xfrm>
                        <a:prstGeom prst="wedgeRoundRectCallout">
                          <a:avLst>
                            <a:gd name="adj1" fmla="val 28727"/>
                            <a:gd name="adj2" fmla="val 252153"/>
                            <a:gd name="adj3" fmla="val 16667"/>
                          </a:avLst>
                        </a:prstGeom>
                        <a:noFill/>
                        <a:ln w="12700" cap="flat" cmpd="sng">
                          <a:solidFill>
                            <a:srgbClr val="FF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jc w:val="center"/>
                              <w:textAlignment w:val="auto"/>
                              <w:rPr>
                                <w:color w:val="FF0000"/>
                                <w:sz w:val="15"/>
                                <w:szCs w:val="15"/>
                              </w:rPr>
                            </w:pPr>
                            <w:r>
                              <w:rPr>
                                <w:rFonts w:hint="eastAsia"/>
                                <w:color w:val="FF0000"/>
                                <w:sz w:val="15"/>
                                <w:szCs w:val="15"/>
                              </w:rPr>
                              <w:t>本项目位置</w:t>
                            </w:r>
                          </w:p>
                        </w:txbxContent>
                      </wps:txbx>
                      <wps:bodyPr vert="horz" wrap="square" lIns="0" tIns="0" rIns="0" bIns="0" anchor="ctr" anchorCtr="0" upright="1"/>
                    </wps:wsp>
                  </a:graphicData>
                </a:graphic>
              </wp:anchor>
            </w:drawing>
          </mc:Choice>
          <mc:Fallback>
            <w:pict>
              <v:shape id="圆角矩形标注 7" o:spid="_x0000_s1026" o:spt="62" type="#_x0000_t62" style="position:absolute;left:0pt;margin-left:258.65pt;margin-top:77.6pt;height:16.25pt;width:55pt;z-index:252037120;v-text-anchor:middle;mso-width-relative:page;mso-height-relative:page;" filled="f" stroked="t" coordsize="21600,21600" o:gfxdata="UEsDBAoAAAAAAIdO4kAAAAAAAAAAAAAAAAAEAAAAZHJzL1BLAwQUAAAACACHTuJAxneg6tkAAAAL&#10;AQAADwAAAGRycy9kb3ducmV2LnhtbE2PzW6DMBCE75X6DtZW6qVqDFSEiGCiFqmn/kikqGfH3gAq&#10;thE2IX37bk7NcWc+zc4Uu7MZ2Akn3zsrIF5FwNAqp3vbCmi+Xh83wHyQVsvBWRTwix525e1NIXPt&#10;FlvjaR9aRiHW51JAF8KYc+5Vh0b6lRvRknd0k5GBzqnlepILhZuBJ1G05kb2lj50csSqQ/Wzn40A&#10;36jvj4bX729V/DAu6nl+qatPIe7v4mgLLOA5/MNwqU/VoaROBzdb7dkgII2zJ0LJSNMEGBHr5KIc&#10;SNlkGfCy4Ncbyj9QSwMEFAAAAAgAh07iQH/PQCt9AgAA7QQAAA4AAABkcnMvZTJvRG9jLnhtbK1U&#10;zW4TMRC+I/EOlu90NxslKVE2PTQEISGoWngAx/buGvkP28kmPADcOSOBuABnzjxOC4/B2Ltp03Lp&#10;gRw24/X4m+/7xrOzk62SaMOdF0aXeHCUY8Q1NUzousSvXy0fHWPkA9GMSKN5iXfc45P5wwez1k55&#10;YRojGXcIQLSftrbETQh2mmWeNlwRf2Qs17BZGadIgKWrM+ZIC+hKZkWej7PWOGadodx7eLvoNnGP&#10;6O4DaKpKUL4wdK24Dh2q45IEkOQbYT2eJ7ZVxWl4WVWeByRLDEpDekIRiFfxmc1nZFo7YhtBewrk&#10;PhTuaFJEaCh6DbUggaC1E/9AKUGd8aYKR9SorBOSHAEVg/yONxcNsTxpAau9vTbd/z9Y+mJz5pBg&#10;JR6OMNJEQccvP73/8+3j788/Ln99vfry4erndzSJRrXWTyH/wp65fuUhjKq3lVPxH/SgbTJ3d20u&#10;3wZE4eX48fEoB9spbBX5eDgZRczs5rB1PjzlRqEYlLjlrObnZq3ZOXTxlEhp1iF5TDbPfUhms54x&#10;YW8GGFVKQu82RKLieFIkytCQg5ziVs6oGIyG/QU4SBoeJg3G43ECAp59WYj2TCMHbZZCynSNpEYt&#10;TFQxSTIJzEYFdxIUKwv+el0n9t5IweKZeNq7enUqHQLSJV4uc/j1rtxKiwUXxDddXtrqiCsRuEvF&#10;G07YE81Q2FlooYbRxZGN4gwjyWHSY5QyAxHyPpkgVGroUGx71+gYhe1qCzAxXBm2g8sD3xJoV2Pc&#10;O6gIkwRS366Jg/rymYarGsduH7h9sNoHRFM4WmIaHEbd4jR0A7q2TtQNYA+SJ7EkTEG6M/3ExjE7&#10;XCe2N1+p+V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Gd6Dq2QAAAAsBAAAPAAAAAAAAAAEAIAAA&#10;ACIAAABkcnMvZG93bnJldi54bWxQSwECFAAUAAAACACHTuJAf89AK30CAADtBAAADgAAAAAAAAAB&#10;ACAAAAAoAQAAZHJzL2Uyb0RvYy54bWxQSwUGAAAAAAYABgBZAQAAFwYAAAAA&#10;" adj="17005,65265,14400">
                <v:fill on="f" focussize="0,0"/>
                <v:stroke weight="1pt" color="#FF0000"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jc w:val="center"/>
                        <w:textAlignment w:val="auto"/>
                        <w:rPr>
                          <w:color w:val="FF0000"/>
                          <w:sz w:val="15"/>
                          <w:szCs w:val="15"/>
                        </w:rPr>
                      </w:pPr>
                      <w:r>
                        <w:rPr>
                          <w:rFonts w:hint="eastAsia"/>
                          <w:color w:val="FF0000"/>
                          <w:sz w:val="15"/>
                          <w:szCs w:val="15"/>
                        </w:rPr>
                        <w:t>本项目位置</w:t>
                      </w:r>
                    </w:p>
                  </w:txbxContent>
                </v:textbox>
              </v:shape>
            </w:pict>
          </mc:Fallback>
        </mc:AlternateContent>
      </w:r>
      <w:r>
        <w:drawing>
          <wp:inline distT="0" distB="0" distL="114300" distR="114300">
            <wp:extent cx="8858250" cy="4893945"/>
            <wp:effectExtent l="0" t="0" r="0" b="1905"/>
            <wp:docPr id="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7"/>
                    <pic:cNvPicPr>
                      <a:picLocks noChangeAspect="1"/>
                    </pic:cNvPicPr>
                  </pic:nvPicPr>
                  <pic:blipFill>
                    <a:blip r:embed="rId44"/>
                    <a:stretch>
                      <a:fillRect/>
                    </a:stretch>
                  </pic:blipFill>
                  <pic:spPr>
                    <a:xfrm>
                      <a:off x="0" y="0"/>
                      <a:ext cx="8858250" cy="4893945"/>
                    </a:xfrm>
                    <a:prstGeom prst="rect">
                      <a:avLst/>
                    </a:prstGeom>
                    <a:noFill/>
                    <a:ln>
                      <a:noFill/>
                    </a:ln>
                  </pic:spPr>
                </pic:pic>
              </a:graphicData>
            </a:graphic>
          </wp:inline>
        </w:drawing>
      </w:r>
      <w:r>
        <w:rPr>
          <w:rFonts w:hint="default" w:ascii="Times New Roman" w:hAnsi="Times New Roman" w:eastAsia="宋体" w:cs="Times New Roman"/>
          <w:color w:val="000000" w:themeColor="text1"/>
          <w:sz w:val="21"/>
          <w14:textFill>
            <w14:solidFill>
              <w14:schemeClr w14:val="tx1"/>
            </w14:solidFill>
          </w14:textFill>
        </w:rPr>
        <mc:AlternateContent>
          <mc:Choice Requires="wps">
            <w:drawing>
              <wp:anchor distT="0" distB="0" distL="114300" distR="114300" simplePos="0" relativeHeight="252013568" behindDoc="0" locked="0" layoutInCell="1" allowOverlap="1">
                <wp:simplePos x="0" y="0"/>
                <wp:positionH relativeFrom="column">
                  <wp:posOffset>3095625</wp:posOffset>
                </wp:positionH>
                <wp:positionV relativeFrom="paragraph">
                  <wp:posOffset>5000625</wp:posOffset>
                </wp:positionV>
                <wp:extent cx="2734945" cy="333375"/>
                <wp:effectExtent l="0" t="0" r="8255" b="9525"/>
                <wp:wrapNone/>
                <wp:docPr id="33" name="矩形 2"/>
                <wp:cNvGraphicFramePr/>
                <a:graphic xmlns:a="http://schemas.openxmlformats.org/drawingml/2006/main">
                  <a:graphicData uri="http://schemas.microsoft.com/office/word/2010/wordprocessingShape">
                    <wps:wsp>
                      <wps:cNvSpPr/>
                      <wps:spPr>
                        <a:xfrm>
                          <a:off x="0" y="0"/>
                          <a:ext cx="2734945" cy="333375"/>
                        </a:xfrm>
                        <a:prstGeom prst="rect">
                          <a:avLst/>
                        </a:prstGeom>
                        <a:solidFill>
                          <a:srgbClr val="FFFFFF"/>
                        </a:solidFill>
                        <a:ln w="25400" cap="flat" cmpd="sng" algn="ctr">
                          <a:noFill/>
                          <a:prstDash val="solid"/>
                        </a:ln>
                        <a:effectLst/>
                      </wps:spPr>
                      <wps:txbx>
                        <w:txbxContent>
                          <w:p>
                            <w:pPr>
                              <w:jc w:val="center"/>
                              <w:rPr>
                                <w:rFonts w:hint="default" w:eastAsia="宋体"/>
                                <w:sz w:val="24"/>
                                <w:szCs w:val="24"/>
                                <w:lang w:val="en-US" w:eastAsia="zh-CN"/>
                              </w:rPr>
                            </w:pPr>
                            <w:r>
                              <w:rPr>
                                <w:rFonts w:hint="eastAsia"/>
                                <w:sz w:val="24"/>
                                <w:szCs w:val="24"/>
                                <w:lang w:val="en-US" w:eastAsia="zh-CN"/>
                              </w:rPr>
                              <w:t>附图6  园区产业布局图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margin-left:243.75pt;margin-top:393.75pt;height:26.25pt;width:215.35pt;z-index:252013568;v-text-anchor:middle;mso-width-relative:page;mso-height-relative:page;" fillcolor="#FFFFFF" filled="t" stroked="f" coordsize="21600,21600" o:gfxdata="UEsDBAoAAAAAAIdO4kAAAAAAAAAAAAAAAAAEAAAAZHJzL1BLAwQUAAAACACHTuJAhVgCetYAAAAL&#10;AQAADwAAAGRycy9kb3ducmV2LnhtbE2PwU7DMAyG70h7h8iTuLGkpWyl1J0EEuLMNu2cNl5brXGq&#10;JtvK2xO4wM2WP/3+/nI720FcafK9Y4RkpUAQN8703CIc9u8POQgfNBs9OCaEL/KwrRZ3pS6Mu/En&#10;XXehFTGEfaERuhDGQkrfdGS1X7mRON5ObrI6xHVqpZn0LYbbQaZKraXVPccPnR7praPmvLtYBBk+&#10;6Lyf0yM/qkzXr9PpcBwl4v0yUS8gAs3hD4Yf/agOVXSq3YWNFwNClm+eIoqw+R0i8ZzkKYgaIc+U&#10;AlmV8n+H6htQSwMEFAAAAAgAh07iQPU1cHJpAgAAzgQAAA4AAABkcnMvZTJvRG9jLnhtbK1UzY7T&#10;MBC+I/EOlu9s+suyVdNV1aoIacWuVBBn17GbSLbHjN2my8sgceMheBzEazB2sj8sHPZADu5MZvrN&#10;zOdvMr88WcOOCkMDruTDswFnykmoGrcv+ccPm1dvOAtRuEoYcKrktyrwy8XLF/PWz9QIajCVQkYg&#10;LsxaX/I6Rj8riiBrZUU4A68cBTWgFZFc3BcVipbQrSlGg8HrogWsPIJUIdDbdRfkPSI+BxC0bqRa&#10;gzxY5WKHisqISCOFuvGBL3K3WisZr7UOKjJTcpo05pOKkL1LZ7GYi9keha8b2bcgntPCk5msaBwV&#10;vYdaiyjYAZu/oGwjEQLoeCbBFt0gmRGaYjh4ws22Fl7lWYjq4O9JD/8PVr4/3iBrqpKPx5w5YenG&#10;f339/vPHNzZK5LQ+zChn62+w9wKZadKTRpt+aQZ2yoTe3hOqTpFJejk6H08uJlPOJMXG9JxPE2jx&#10;8G+PIb5VYFkySo50YZlHcbwKsUu9S0nFApim2jTGZAf3u5VBdhR0uZv89Oh/pBnHWmplOhnQpUtB&#10;ktUkFTKtp7GD23MmzJ52QUbMtR2kClRczFLttQh1VyPD9iWMS3GVJda3mrjq2ElWPO1OPWU7qG6J&#10;ZYROfsHLTUPAVyLEG4GkN2qMNjJe06ENULfQW5zVgF/+9T7lkwwoyllL+qVJPh8EKs7MO0cCuRhO&#10;Jknw2ZlMz0fk4OPI7nHEHewKiMUh7b6X2Uz50dyZGsF+osVdpqoUEk5S7Y6z3lnFbq9o9aVaLnMa&#10;idyLeOW2XibwRJmD5SGCbvLtJqI6dkgVySGZZ330K5n26LGfsx4+Q4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hVgCetYAAAALAQAADwAAAAAAAAABACAAAAAiAAAAZHJzL2Rvd25yZXYueG1sUEsB&#10;AhQAFAAAAAgAh07iQPU1cHJpAgAAzgQAAA4AAAAAAAAAAQAgAAAAJQEAAGRycy9lMm9Eb2MueG1s&#10;UEsFBgAAAAAGAAYAWQEAAAAGAAAAAA==&#10;">
                <v:fill on="t" focussize="0,0"/>
                <v:stroke on="f" weight="2pt"/>
                <v:imagedata o:title=""/>
                <o:lock v:ext="edit" aspectratio="f"/>
                <v:textbox>
                  <w:txbxContent>
                    <w:p>
                      <w:pPr>
                        <w:jc w:val="center"/>
                        <w:rPr>
                          <w:rFonts w:hint="default" w:eastAsia="宋体"/>
                          <w:sz w:val="24"/>
                          <w:szCs w:val="24"/>
                          <w:lang w:val="en-US" w:eastAsia="zh-CN"/>
                        </w:rPr>
                      </w:pPr>
                      <w:r>
                        <w:rPr>
                          <w:rFonts w:hint="eastAsia"/>
                          <w:sz w:val="24"/>
                          <w:szCs w:val="24"/>
                          <w:lang w:val="en-US" w:eastAsia="zh-CN"/>
                        </w:rPr>
                        <w:t>附图6  园区产业布局图</w:t>
                      </w:r>
                    </w:p>
                  </w:txbxContent>
                </v:textbox>
              </v:rect>
            </w:pict>
          </mc:Fallback>
        </mc:AlternateContent>
      </w:r>
    </w:p>
    <w:p>
      <w:pPr>
        <w:jc w:val="left"/>
        <w:rPr>
          <w:rFonts w:hint="default" w:ascii="Times New Roman" w:hAnsi="Times New Roman" w:eastAsia="宋体" w:cs="Times New Roman"/>
          <w:color w:val="000000" w:themeColor="text1"/>
          <w:sz w:val="24"/>
          <w:szCs w:val="32"/>
          <w:lang w:val="en-US" w:eastAsia="zh-CN"/>
          <w14:textFill>
            <w14:solidFill>
              <w14:schemeClr w14:val="tx1"/>
            </w14:solidFill>
          </w14:textFill>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2426240" behindDoc="0" locked="0" layoutInCell="1" allowOverlap="1">
                <wp:simplePos x="0" y="0"/>
                <wp:positionH relativeFrom="column">
                  <wp:posOffset>3234690</wp:posOffset>
                </wp:positionH>
                <wp:positionV relativeFrom="paragraph">
                  <wp:posOffset>1056640</wp:posOffset>
                </wp:positionV>
                <wp:extent cx="698500" cy="206375"/>
                <wp:effectExtent l="6350" t="6350" r="19050" b="454025"/>
                <wp:wrapNone/>
                <wp:docPr id="37" name="圆角矩形标注 7"/>
                <wp:cNvGraphicFramePr/>
                <a:graphic xmlns:a="http://schemas.openxmlformats.org/drawingml/2006/main">
                  <a:graphicData uri="http://schemas.microsoft.com/office/word/2010/wordprocessingShape">
                    <wps:wsp>
                      <wps:cNvSpPr/>
                      <wps:spPr>
                        <a:xfrm>
                          <a:off x="0" y="0"/>
                          <a:ext cx="698500" cy="206375"/>
                        </a:xfrm>
                        <a:prstGeom prst="wedgeRoundRectCallout">
                          <a:avLst>
                            <a:gd name="adj1" fmla="val 28727"/>
                            <a:gd name="adj2" fmla="val 252153"/>
                            <a:gd name="adj3" fmla="val 16667"/>
                          </a:avLst>
                        </a:prstGeom>
                        <a:noFill/>
                        <a:ln w="12700" cap="flat" cmpd="sng">
                          <a:solidFill>
                            <a:srgbClr val="FF0000"/>
                          </a:solidFill>
                          <a:prstDash val="solid"/>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jc w:val="center"/>
                              <w:textAlignment w:val="auto"/>
                              <w:rPr>
                                <w:color w:val="FF0000"/>
                                <w:sz w:val="15"/>
                                <w:szCs w:val="15"/>
                              </w:rPr>
                            </w:pPr>
                            <w:r>
                              <w:rPr>
                                <w:rFonts w:hint="eastAsia"/>
                                <w:color w:val="FF0000"/>
                                <w:sz w:val="15"/>
                                <w:szCs w:val="15"/>
                              </w:rPr>
                              <w:t>本项目位置</w:t>
                            </w:r>
                          </w:p>
                        </w:txbxContent>
                      </wps:txbx>
                      <wps:bodyPr vert="horz" wrap="square" lIns="0" tIns="0" rIns="0" bIns="0" anchor="ctr" anchorCtr="0" upright="1"/>
                    </wps:wsp>
                  </a:graphicData>
                </a:graphic>
              </wp:anchor>
            </w:drawing>
          </mc:Choice>
          <mc:Fallback>
            <w:pict>
              <v:shape id="圆角矩形标注 7" o:spid="_x0000_s1026" o:spt="62" type="#_x0000_t62" style="position:absolute;left:0pt;margin-left:254.7pt;margin-top:83.2pt;height:16.25pt;width:55pt;z-index:252426240;v-text-anchor:middle;mso-width-relative:page;mso-height-relative:page;" filled="f" stroked="t" coordsize="21600,21600" o:gfxdata="UEsDBAoAAAAAAIdO4kAAAAAAAAAAAAAAAAAEAAAAZHJzL1BLAwQUAAAACACHTuJAEnHNANkAAAAL&#10;AQAADwAAAGRycy9kb3ducmV2LnhtbE2PzU7DMBCE70i8g7VIXBC1gyBq0jgVROLEj5QScXbtbRIR&#10;21HsNOXt2Z7obXdmNPttsT3ZgR1xCr13EpKVAIZOe9O7VkLz9Xq/BhaickYN3qGEXwywLa+vCpUb&#10;v7gaj7vYMipxIVcSuhjHnPOgO7QqrPyIjryDn6yKtE4tN5NaqNwO/EGIlFvVO7rQqRGrDvXPbrYS&#10;QqO/Pxpev79Vyd246Of5pa4+pby9ScQGWMRT/A/DGZ/QoSSmvZ+dCWyQ8CSyR4qSkaY0UCJNzsqe&#10;lGydAS8LfvlD+QdQSwMEFAAAAAgAh07iQN4wajh9AgAA7QQAAA4AAABkcnMvZTJvRG9jLnhtbK1U&#10;zW4TMRC+I/EOlu90NxslKVE2PTQEISGoWngAx/buGvkP28kmPADcOSOBuABnzjxOC4/B2Ltp03Lp&#10;gRw24/X4m+/7xrOzk62SaMOdF0aXeHCUY8Q1NUzousSvXy0fHWPkA9GMSKN5iXfc45P5wwez1k55&#10;YRojGXcIQLSftrbETQh2mmWeNlwRf2Qs17BZGadIgKWrM+ZIC+hKZkWej7PWOGadodx7eLvoNnGP&#10;6O4DaKpKUL4wdK24Dh2q45IEkOQbYT2eJ7ZVxWl4WVWeByRLDEpDekIRiFfxmc1nZFo7YhtBewrk&#10;PhTuaFJEaCh6DbUggaC1E/9AKUGd8aYKR9SorBOSHAEVg/yONxcNsTxpAau9vTbd/z9Y+mJz5pBg&#10;JR5OMNJEQccvP73/8+3j788/Ln99vfry4erndzSJRrXWTyH/wp65fuUhjKq3lVPxH/SgbTJ3d20u&#10;3wZE4eX48fEoB9spbBX5eDgZRczs5rB1PjzlRqEYlLjlrObnZq3ZOXTxlEhp1iF5TDbPfUhms54x&#10;YW8GGFVKQu82RKLieFIkytCQg5ziVs6oGIyG/QU4SBoeJg3G43ECAp59WYj2TCMHbZZCynSNpEYt&#10;TFQxSTIJzEYFdxIUKwv+el0n9t5IweKZeNq7enUqHQLSJV4uc/j1rtxKiwUXxDddXtrqiCsRuEvF&#10;G07YE81Q2FlooYbRxZGN4gwjyWHSY5QyAxHyPpkgVGroUGx71+gYhe1qCzAxXBm2g8sD3xJoV2Pc&#10;O6gIkwRS366Jg/rymYarGsduH7h9sNoHRFM4WmIaHEbd4jR0A7q2TtQNYA+SJ7EkTEG6M/3ExjE7&#10;XCe2N1+p+V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Scc0A2QAAAAsBAAAPAAAAAAAAAAEAIAAA&#10;ACIAAABkcnMvZG93bnJldi54bWxQSwECFAAUAAAACACHTuJA3jBqOH0CAADtBAAADgAAAAAAAAAB&#10;ACAAAAAoAQAAZHJzL2Uyb0RvYy54bWxQSwUGAAAAAAYABgBZAQAAFwYAAAAA&#10;" adj="17005,65265,14400">
                <v:fill on="f" focussize="0,0"/>
                <v:stroke weight="1pt" color="#FF0000" joinstyle="miter"/>
                <v:imagedata o:title=""/>
                <o:lock v:ext="edit" aspectratio="f"/>
                <v:textbox inset="0mm,0mm,0mm,0mm">
                  <w:txbxContent>
                    <w:p>
                      <w:pPr>
                        <w:keepNext w:val="0"/>
                        <w:keepLines w:val="0"/>
                        <w:pageBreakBefore w:val="0"/>
                        <w:widowControl w:val="0"/>
                        <w:kinsoku/>
                        <w:wordWrap/>
                        <w:overflowPunct/>
                        <w:topLinePunct w:val="0"/>
                        <w:autoSpaceDE/>
                        <w:autoSpaceDN/>
                        <w:bidi w:val="0"/>
                        <w:adjustRightInd/>
                        <w:snapToGrid/>
                        <w:jc w:val="center"/>
                        <w:textAlignment w:val="auto"/>
                        <w:rPr>
                          <w:color w:val="FF0000"/>
                          <w:sz w:val="15"/>
                          <w:szCs w:val="15"/>
                        </w:rPr>
                      </w:pPr>
                      <w:r>
                        <w:rPr>
                          <w:rFonts w:hint="eastAsia"/>
                          <w:color w:val="FF0000"/>
                          <w:sz w:val="15"/>
                          <w:szCs w:val="15"/>
                        </w:rPr>
                        <w:t>本项目位置</w:t>
                      </w:r>
                    </w:p>
                  </w:txbxContent>
                </v:textbox>
              </v:shape>
            </w:pict>
          </mc:Fallback>
        </mc:AlternateContent>
      </w:r>
      <w:r>
        <w:drawing>
          <wp:anchor distT="0" distB="0" distL="114300" distR="114300" simplePos="0" relativeHeight="267307008" behindDoc="1" locked="0" layoutInCell="1" allowOverlap="1">
            <wp:simplePos x="0" y="0"/>
            <wp:positionH relativeFrom="column">
              <wp:posOffset>0</wp:posOffset>
            </wp:positionH>
            <wp:positionV relativeFrom="paragraph">
              <wp:posOffset>51435</wp:posOffset>
            </wp:positionV>
            <wp:extent cx="8851265" cy="5045710"/>
            <wp:effectExtent l="0" t="0" r="6985" b="2540"/>
            <wp:wrapNone/>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45"/>
                    <a:stretch>
                      <a:fillRect/>
                    </a:stretch>
                  </pic:blipFill>
                  <pic:spPr>
                    <a:xfrm>
                      <a:off x="0" y="0"/>
                      <a:ext cx="8851265" cy="5045710"/>
                    </a:xfrm>
                    <a:prstGeom prst="rect">
                      <a:avLst/>
                    </a:prstGeom>
                    <a:noFill/>
                    <a:ln>
                      <a:noFill/>
                    </a:ln>
                  </pic:spPr>
                </pic:pic>
              </a:graphicData>
            </a:graphic>
          </wp:anchor>
        </w:drawing>
      </w:r>
      <w:r>
        <w:rPr>
          <w:rFonts w:hint="default" w:ascii="Times New Roman" w:hAnsi="Times New Roman" w:eastAsia="宋体" w:cs="Times New Roman"/>
          <w:color w:val="000000" w:themeColor="text1"/>
          <w14:textFill>
            <w14:solidFill>
              <w14:schemeClr w14:val="tx1"/>
            </w14:solidFill>
          </w14:textFill>
        </w:rPr>
        <mc:AlternateContent>
          <mc:Choice Requires="wps">
            <w:drawing>
              <wp:anchor distT="0" distB="0" distL="114300" distR="114300" simplePos="0" relativeHeight="252043264" behindDoc="1" locked="0" layoutInCell="1" allowOverlap="1">
                <wp:simplePos x="0" y="0"/>
                <wp:positionH relativeFrom="column">
                  <wp:posOffset>3076575</wp:posOffset>
                </wp:positionH>
                <wp:positionV relativeFrom="paragraph">
                  <wp:posOffset>5113655</wp:posOffset>
                </wp:positionV>
                <wp:extent cx="2938780" cy="297180"/>
                <wp:effectExtent l="0" t="0" r="13970" b="7620"/>
                <wp:wrapNone/>
                <wp:docPr id="53" name="矩形 53"/>
                <wp:cNvGraphicFramePr/>
                <a:graphic xmlns:a="http://schemas.openxmlformats.org/drawingml/2006/main">
                  <a:graphicData uri="http://schemas.microsoft.com/office/word/2010/wordprocessingShape">
                    <wps:wsp>
                      <wps:cNvSpPr/>
                      <wps:spPr>
                        <a:xfrm>
                          <a:off x="0" y="0"/>
                          <a:ext cx="2667000" cy="297180"/>
                        </a:xfrm>
                        <a:prstGeom prst="rect">
                          <a:avLst/>
                        </a:prstGeom>
                        <a:solidFill>
                          <a:srgbClr val="FFFFFF"/>
                        </a:solidFill>
                        <a:ln>
                          <a:noFill/>
                        </a:ln>
                        <a:effectLst/>
                      </wps:spPr>
                      <wps:txbx>
                        <w:txbxContent>
                          <w:p>
                            <w:pPr>
                              <w:jc w:val="center"/>
                              <w:rPr>
                                <w:rFonts w:hint="eastAsia"/>
                                <w:sz w:val="24"/>
                                <w:szCs w:val="24"/>
                                <w:lang w:val="en-US" w:eastAsia="zh-CN"/>
                              </w:rPr>
                            </w:pPr>
                            <w:r>
                              <w:rPr>
                                <w:rFonts w:hint="eastAsia"/>
                                <w:sz w:val="24"/>
                                <w:szCs w:val="24"/>
                                <w:lang w:val="en-US" w:eastAsia="zh-CN"/>
                              </w:rPr>
                              <w:t>附图7  园区土地利用规划图</w:t>
                            </w:r>
                          </w:p>
                        </w:txbxContent>
                      </wps:txbx>
                      <wps:bodyPr upright="1"/>
                    </wps:wsp>
                  </a:graphicData>
                </a:graphic>
              </wp:anchor>
            </w:drawing>
          </mc:Choice>
          <mc:Fallback>
            <w:pict>
              <v:rect id="_x0000_s1026" o:spid="_x0000_s1026" o:spt="1" style="position:absolute;left:0pt;margin-left:242.25pt;margin-top:402.65pt;height:23.4pt;width:231.4pt;z-index:-251273216;mso-width-relative:page;mso-height-relative:page;" fillcolor="#FFFFFF" filled="t" stroked="f" coordsize="21600,21600" o:gfxdata="UEsDBAoAAAAAAIdO4kAAAAAAAAAAAAAAAAAEAAAAZHJzL1BLAwQUAAAACACHTuJAtN1Z/dkAAAAL&#10;AQAADwAAAGRycy9kb3ducmV2LnhtbE2PPU/DMBCGdyT+g3VIbNROm5Q0xOmA1AkYaJFYr/E1iYjt&#10;EDtt+PccE93u49F7z5Xb2fbiTGPovNOQLBQIcrU3nWs0fBx2DzmIENEZ7L0jDT8UYFvd3pRYGH9x&#10;73Tex0ZwiAsFamhjHAopQ92SxbDwAznenfxoMXI7NtKMeOFw28ulUmtpsXN8ocWBnluqv/aT1YDr&#10;1Hy/nVavh5dpjZtmVrvsU2l9f5eoJxCR5vgPw58+q0PFTkc/ORNEryHN04xRDbnKViCY2KSPXBx5&#10;ki0TkFUpr3+ofgFQSwMEFAAAAAgAh07iQChKGA29AQAAegMAAA4AAABkcnMvZTJvRG9jLnhtbK1T&#10;S27bMBDdF+gdCO5ryS7qpILlLGq4m6INkOYANEVJBPjDDG3JpynQXQ/R4xS9RoeU6qbJJotoIc2P&#10;b+a9oTY3ozXspAC1dzVfLkrOlJO+0a6r+f3X/ZtrzjAK1wjjnar5WSG/2b5+tRlCpVa+96ZRwAjE&#10;YTWEmvcxhqooUPbKClz4oBwlWw9WRHKhKxoQA6FbU6zKcl0MHpoAXipEiu6mJJ8R4TmAvm21VDsv&#10;j1a5OKGCMiISJex1QL7N07atkvFL26KKzNScmMb8piZkH9K72G5E1YEIvZbzCOI5IzziZIV21PQC&#10;tRNRsCPoJ1BWS/Do27iQ3hYTkawIsViWj7S560VQmQtJjeEiOr4crPx8ugWmm5q/e8uZE5Y2/vvb&#10;j18/vzMKkDpDwIqK7sItzB6SmaiOLdj0JRJszIqeL4qqMTJJwdV6fVWWJLak3Or91fI6S178Ox0A&#10;40flLUtGzYE2loUUp08YqSOV/i1JzdAb3ey1MdmB7vDBADsJ2u4+P2lkOvJfmXGp2Pl0bEpPEZXv&#10;x9wm8ZyYJSuOh3Gme/DNmSQ6BtBdTxMuc4tURCvJzebrk3b+0Cf74S+z/QN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03Vn92QAAAAsBAAAPAAAAAAAAAAEAIAAAACIAAABkcnMvZG93bnJldi54bWxQ&#10;SwECFAAUAAAACACHTuJAKEoYDb0BAAB6AwAADgAAAAAAAAABACAAAAAoAQAAZHJzL2Uyb0RvYy54&#10;bWxQSwUGAAAAAAYABgBZAQAAVwUAAAAA&#10;">
                <v:fill on="t" focussize="0,0"/>
                <v:stroke on="f"/>
                <v:imagedata o:title=""/>
                <o:lock v:ext="edit" aspectratio="f"/>
                <v:textbox>
                  <w:txbxContent>
                    <w:p>
                      <w:pPr>
                        <w:jc w:val="center"/>
                        <w:rPr>
                          <w:rFonts w:hint="eastAsia"/>
                          <w:sz w:val="24"/>
                          <w:szCs w:val="24"/>
                          <w:lang w:val="en-US" w:eastAsia="zh-CN"/>
                        </w:rPr>
                      </w:pPr>
                      <w:r>
                        <w:rPr>
                          <w:rFonts w:hint="eastAsia"/>
                          <w:sz w:val="24"/>
                          <w:szCs w:val="24"/>
                          <w:lang w:val="en-US" w:eastAsia="zh-CN"/>
                        </w:rPr>
                        <w:t>附图7  园区土地利用规划图</w:t>
                      </w:r>
                    </w:p>
                  </w:txbxContent>
                </v:textbox>
              </v:rect>
            </w:pict>
          </mc:Fallback>
        </mc:AlternateContent>
      </w:r>
    </w:p>
    <w:p>
      <w:pPr>
        <w:jc w:val="left"/>
        <w:rPr>
          <w:rFonts w:hint="default" w:ascii="Times New Roman" w:hAnsi="Times New Roman" w:eastAsia="宋体" w:cs="Times New Roman"/>
          <w:color w:val="000000" w:themeColor="text1"/>
          <w:sz w:val="24"/>
          <w:szCs w:val="32"/>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lang w:val="en-US" w:eastAsia="zh-CN"/>
          <w14:textFill>
            <w14:solidFill>
              <w14:schemeClr w14:val="tx1"/>
            </w14:solidFill>
          </w14:textFill>
        </w:rPr>
        <w:t>附件1 委托书</w:t>
      </w:r>
    </w:p>
    <w:p>
      <w:pPr>
        <w:jc w:val="right"/>
        <w:rPr>
          <w:rFonts w:hint="default" w:ascii="Times New Roman" w:hAnsi="Times New Roman" w:eastAsia="宋体" w:cs="Times New Roman"/>
          <w:color w:val="000000" w:themeColor="text1"/>
          <w:sz w:val="28"/>
          <w:szCs w:val="28"/>
          <w:u w:val="none"/>
          <w:lang w:val="en-US" w:eastAsia="zh-CN"/>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5272405" cy="6728460"/>
            <wp:effectExtent l="0" t="0" r="4445" b="15240"/>
            <wp:docPr id="1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4"/>
                    <pic:cNvPicPr>
                      <a:picLocks noChangeAspect="1"/>
                    </pic:cNvPicPr>
                  </pic:nvPicPr>
                  <pic:blipFill>
                    <a:blip r:embed="rId46"/>
                    <a:stretch>
                      <a:fillRect/>
                    </a:stretch>
                  </pic:blipFill>
                  <pic:spPr>
                    <a:xfrm>
                      <a:off x="0" y="0"/>
                      <a:ext cx="5272405" cy="6728460"/>
                    </a:xfrm>
                    <a:prstGeom prst="rect">
                      <a:avLst/>
                    </a:prstGeom>
                    <a:noFill/>
                    <a:ln>
                      <a:noFill/>
                    </a:ln>
                  </pic:spPr>
                </pic:pic>
              </a:graphicData>
            </a:graphic>
          </wp:inline>
        </w:drawing>
      </w:r>
    </w:p>
    <w:p>
      <w:pPr>
        <w:pStyle w:val="15"/>
        <w:ind w:left="0" w:leftChars="0" w:firstLine="0" w:firstLineChars="0"/>
        <w:jc w:val="left"/>
        <w:rPr>
          <w:rFonts w:hint="default" w:ascii="Times New Roman" w:hAnsi="Times New Roman" w:eastAsia="宋体" w:cs="Times New Roman"/>
          <w:color w:val="000000" w:themeColor="text1"/>
          <w:sz w:val="24"/>
          <w:szCs w:val="32"/>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15"/>
        <w:ind w:left="0" w:leftChars="0" w:firstLine="0" w:firstLineChars="0"/>
        <w:jc w:val="left"/>
        <w:rPr>
          <w:rFonts w:hint="default" w:ascii="Times New Roman" w:hAnsi="Times New Roman" w:eastAsia="宋体" w:cs="Times New Roman"/>
          <w:color w:val="000000" w:themeColor="text1"/>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000000" w:themeColor="text1"/>
          <w:sz w:val="24"/>
          <w:szCs w:val="32"/>
          <w:lang w:val="en-US" w:eastAsia="zh-CN"/>
          <w14:textFill>
            <w14:solidFill>
              <w14:schemeClr w14:val="tx1"/>
            </w14:solidFill>
          </w14:textFill>
        </w:rPr>
        <w:t>附件2 备案证明</w:t>
      </w: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5265420" cy="7456805"/>
            <wp:effectExtent l="0" t="0" r="11430" b="10795"/>
            <wp:docPr id="2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pic:cNvPicPr>
                      <a:picLocks noChangeAspect="1"/>
                    </pic:cNvPicPr>
                  </pic:nvPicPr>
                  <pic:blipFill>
                    <a:blip r:embed="rId47"/>
                    <a:stretch>
                      <a:fillRect/>
                    </a:stretch>
                  </pic:blipFill>
                  <pic:spPr>
                    <a:xfrm>
                      <a:off x="0" y="0"/>
                      <a:ext cx="5265420" cy="7456805"/>
                    </a:xfrm>
                    <a:prstGeom prst="rect">
                      <a:avLst/>
                    </a:prstGeom>
                    <a:noFill/>
                    <a:ln>
                      <a:noFill/>
                    </a:ln>
                  </pic:spPr>
                </pic:pic>
              </a:graphicData>
            </a:graphic>
          </wp:inline>
        </w:drawing>
      </w:r>
    </w:p>
    <w:p>
      <w:pPr>
        <w:jc w:val="left"/>
        <w:rPr>
          <w:rFonts w:hint="default" w:ascii="Times New Roman" w:hAnsi="Times New Roman" w:eastAsia="宋体" w:cs="Times New Roman"/>
          <w:color w:val="000000" w:themeColor="text1"/>
          <w:sz w:val="24"/>
          <w:szCs w:val="32"/>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lang w:val="en-US" w:eastAsia="zh-CN"/>
          <w14:textFill>
            <w14:solidFill>
              <w14:schemeClr w14:val="tx1"/>
            </w14:solidFill>
          </w14:textFill>
        </w:rPr>
        <w:t>附件3 营业执照</w:t>
      </w:r>
    </w:p>
    <w:p>
      <w:pPr>
        <w:jc w:val="left"/>
        <w:rPr>
          <w:rFonts w:hint="default" w:ascii="Times New Roman" w:hAnsi="Times New Roman" w:eastAsia="宋体" w:cs="Times New Roman"/>
          <w:color w:val="000000" w:themeColor="text1"/>
          <w:sz w:val="24"/>
          <w:szCs w:val="32"/>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000000" w:themeColor="text1"/>
          <w:sz w:val="24"/>
          <w:szCs w:val="32"/>
          <w:lang w:val="en-US" w:eastAsia="zh-CN"/>
          <w14:textFill>
            <w14:solidFill>
              <w14:schemeClr w14:val="tx1"/>
            </w14:solidFill>
          </w14:textFill>
        </w:rPr>
        <w:drawing>
          <wp:inline distT="0" distB="0" distL="114300" distR="114300">
            <wp:extent cx="7395210" cy="5227955"/>
            <wp:effectExtent l="0" t="0" r="10795" b="15240"/>
            <wp:docPr id="3" name="图片 3" descr="16669490a0c444a6bb5d482f91f42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6669490a0c444a6bb5d482f91f426c"/>
                    <pic:cNvPicPr>
                      <a:picLocks noChangeAspect="1"/>
                    </pic:cNvPicPr>
                  </pic:nvPicPr>
                  <pic:blipFill>
                    <a:blip r:embed="rId48"/>
                    <a:stretch>
                      <a:fillRect/>
                    </a:stretch>
                  </pic:blipFill>
                  <pic:spPr>
                    <a:xfrm rot="16200000">
                      <a:off x="0" y="0"/>
                      <a:ext cx="7395210" cy="5227955"/>
                    </a:xfrm>
                    <a:prstGeom prst="rect">
                      <a:avLst/>
                    </a:prstGeom>
                  </pic:spPr>
                </pic:pic>
              </a:graphicData>
            </a:graphic>
          </wp:inline>
        </w:drawing>
      </w:r>
    </w:p>
    <w:p>
      <w:pPr>
        <w:jc w:val="left"/>
        <w:rPr>
          <w:rFonts w:hint="default" w:ascii="Times New Roman" w:hAnsi="Times New Roman" w:eastAsia="宋体" w:cs="Times New Roman"/>
          <w:color w:val="000000" w:themeColor="text1"/>
          <w:sz w:val="24"/>
          <w:szCs w:val="32"/>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lang w:val="en-US" w:eastAsia="zh-CN"/>
          <w14:textFill>
            <w14:solidFill>
              <w14:schemeClr w14:val="tx1"/>
            </w14:solidFill>
          </w14:textFill>
        </w:rPr>
        <w:t>附件4 土地手续</w:t>
      </w:r>
    </w:p>
    <w:p>
      <w:pPr>
        <w:jc w:val="left"/>
        <w:rPr>
          <w:rFonts w:hint="default" w:ascii="Times New Roman" w:hAnsi="Times New Roman" w:eastAsia="宋体" w:cs="Times New Roman"/>
          <w:color w:val="000000" w:themeColor="text1"/>
          <w:sz w:val="24"/>
          <w:szCs w:val="32"/>
          <w:lang w:val="en-US" w:eastAsia="zh-CN"/>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000000" w:themeColor="text1"/>
          <w:sz w:val="24"/>
          <w:szCs w:val="32"/>
          <w:lang w:val="en-US" w:eastAsia="zh-CN"/>
          <w14:textFill>
            <w14:solidFill>
              <w14:schemeClr w14:val="tx1"/>
            </w14:solidFill>
          </w14:textFill>
        </w:rPr>
        <w:drawing>
          <wp:inline distT="0" distB="0" distL="114300" distR="114300">
            <wp:extent cx="7259955" cy="5179060"/>
            <wp:effectExtent l="0" t="0" r="2540" b="17145"/>
            <wp:docPr id="26" name="图片 26" descr="房产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房产证"/>
                    <pic:cNvPicPr>
                      <a:picLocks noChangeAspect="1"/>
                    </pic:cNvPicPr>
                  </pic:nvPicPr>
                  <pic:blipFill>
                    <a:blip r:embed="rId49"/>
                    <a:stretch>
                      <a:fillRect/>
                    </a:stretch>
                  </pic:blipFill>
                  <pic:spPr>
                    <a:xfrm rot="16200000">
                      <a:off x="0" y="0"/>
                      <a:ext cx="7259955" cy="5179060"/>
                    </a:xfrm>
                    <a:prstGeom prst="rect">
                      <a:avLst/>
                    </a:prstGeom>
                  </pic:spPr>
                </pic:pic>
              </a:graphicData>
            </a:graphic>
          </wp:inline>
        </w:drawing>
      </w:r>
    </w:p>
    <w:p>
      <w:pPr>
        <w:jc w:val="left"/>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lang w:val="en-US" w:eastAsia="zh-CN"/>
          <w14:textFill>
            <w14:solidFill>
              <w14:schemeClr w14:val="tx1"/>
            </w14:solidFill>
          </w14:textFill>
        </w:rPr>
        <w:t>附件5 原项目环评批复</w:t>
      </w: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5115560" cy="6706235"/>
            <wp:effectExtent l="0" t="0" r="8890" b="18415"/>
            <wp:docPr id="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pic:cNvPicPr>
                      <a:picLocks noChangeAspect="1"/>
                    </pic:cNvPicPr>
                  </pic:nvPicPr>
                  <pic:blipFill>
                    <a:blip r:embed="rId50"/>
                    <a:srcRect l="7727" t="10337" r="4930" b="8718"/>
                    <a:stretch>
                      <a:fillRect/>
                    </a:stretch>
                  </pic:blipFill>
                  <pic:spPr>
                    <a:xfrm>
                      <a:off x="0" y="0"/>
                      <a:ext cx="5115560" cy="6706235"/>
                    </a:xfrm>
                    <a:prstGeom prst="rect">
                      <a:avLst/>
                    </a:prstGeom>
                    <a:noFill/>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5246370" cy="7328535"/>
            <wp:effectExtent l="0" t="0" r="11430" b="5715"/>
            <wp:docPr id="3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10"/>
                    <pic:cNvPicPr>
                      <a:picLocks noChangeAspect="1"/>
                    </pic:cNvPicPr>
                  </pic:nvPicPr>
                  <pic:blipFill>
                    <a:blip r:embed="rId51"/>
                    <a:srcRect l="7907" t="5369" r="6268" b="9877"/>
                    <a:stretch>
                      <a:fillRect/>
                    </a:stretch>
                  </pic:blipFill>
                  <pic:spPr>
                    <a:xfrm>
                      <a:off x="0" y="0"/>
                      <a:ext cx="5246370" cy="7328535"/>
                    </a:xfrm>
                    <a:prstGeom prst="rect">
                      <a:avLst/>
                    </a:prstGeom>
                    <a:noFill/>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5267960" cy="8147685"/>
            <wp:effectExtent l="0" t="0" r="8890" b="5715"/>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1"/>
                    </pic:cNvPicPr>
                  </pic:nvPicPr>
                  <pic:blipFill>
                    <a:blip r:embed="rId52"/>
                    <a:stretch>
                      <a:fillRect/>
                    </a:stretch>
                  </pic:blipFill>
                  <pic:spPr>
                    <a:xfrm>
                      <a:off x="0" y="0"/>
                      <a:ext cx="5267960" cy="8147685"/>
                    </a:xfrm>
                    <a:prstGeom prst="rect">
                      <a:avLst/>
                    </a:prstGeom>
                    <a:noFill/>
                    <a:ln>
                      <a:noFill/>
                    </a:ln>
                  </pic:spPr>
                </pic:pic>
              </a:graphicData>
            </a:graphic>
          </wp:inline>
        </w:drawing>
      </w: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5262880" cy="7832090"/>
            <wp:effectExtent l="0" t="0" r="13970" b="16510"/>
            <wp:docPr id="3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8"/>
                    <pic:cNvPicPr>
                      <a:picLocks noChangeAspect="1"/>
                    </pic:cNvPicPr>
                  </pic:nvPicPr>
                  <pic:blipFill>
                    <a:blip r:embed="rId53"/>
                    <a:stretch>
                      <a:fillRect/>
                    </a:stretch>
                  </pic:blipFill>
                  <pic:spPr>
                    <a:xfrm>
                      <a:off x="0" y="0"/>
                      <a:ext cx="5262880" cy="7832090"/>
                    </a:xfrm>
                    <a:prstGeom prst="rect">
                      <a:avLst/>
                    </a:prstGeom>
                    <a:noFill/>
                    <a:ln>
                      <a:noFill/>
                    </a:ln>
                  </pic:spPr>
                </pic:pic>
              </a:graphicData>
            </a:graphic>
          </wp:inline>
        </w:drawing>
      </w:r>
    </w:p>
    <w:p>
      <w:pPr>
        <w:pStyle w:val="9"/>
        <w:ind w:left="0" w:leftChars="0" w:firstLine="0" w:firstLineChars="0"/>
        <w:rPr>
          <w:rFonts w:hint="default" w:ascii="Times New Roman" w:hAnsi="Times New Roman" w:eastAsia="宋体" w:cs="Times New Roman"/>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jc w:val="left"/>
        <w:rPr>
          <w:rFonts w:hint="default" w:ascii="Times New Roman" w:hAnsi="Times New Roman" w:eastAsia="宋体" w:cs="Times New Roman"/>
          <w:color w:val="000000" w:themeColor="text1"/>
          <w:sz w:val="24"/>
          <w:szCs w:val="32"/>
          <w:lang w:val="en-US" w:eastAsia="zh-CN"/>
          <w14:textFill>
            <w14:solidFill>
              <w14:schemeClr w14:val="tx1"/>
            </w14:solidFill>
          </w14:textFill>
        </w:rPr>
      </w:pPr>
      <w:r>
        <w:rPr>
          <w:rFonts w:hint="default" w:ascii="Times New Roman" w:hAnsi="Times New Roman" w:eastAsia="宋体" w:cs="Times New Roman"/>
          <w:color w:val="000000" w:themeColor="text1"/>
          <w:sz w:val="24"/>
          <w:szCs w:val="32"/>
          <w:lang w:val="en-US" w:eastAsia="zh-CN"/>
          <w14:textFill>
            <w14:solidFill>
              <w14:schemeClr w14:val="tx1"/>
            </w14:solidFill>
          </w14:textFill>
        </w:rPr>
        <w:t>附件6  承诺书</w:t>
      </w:r>
    </w:p>
    <w:p>
      <w:pPr>
        <w:spacing w:line="360" w:lineRule="auto"/>
        <w:jc w:val="right"/>
        <w:rPr>
          <w:rFonts w:hint="default" w:ascii="Times New Roman" w:hAnsi="Times New Roman" w:eastAsia="宋体" w:cs="Times New Roman"/>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ascii="Times New Roman" w:hAnsi="Times New Roman" w:eastAsia="宋体" w:cs="Times New Roman"/>
          <w:color w:val="000000" w:themeColor="text1"/>
          <w14:textFill>
            <w14:solidFill>
              <w14:schemeClr w14:val="tx1"/>
            </w14:solidFill>
          </w14:textFill>
        </w:rPr>
        <w:drawing>
          <wp:inline distT="0" distB="0" distL="114300" distR="114300">
            <wp:extent cx="5272405" cy="6202045"/>
            <wp:effectExtent l="0" t="0" r="4445" b="8255"/>
            <wp:docPr id="1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pic:cNvPicPr>
                      <a:picLocks noChangeAspect="1"/>
                    </pic:cNvPicPr>
                  </pic:nvPicPr>
                  <pic:blipFill>
                    <a:blip r:embed="rId54"/>
                    <a:stretch>
                      <a:fillRect/>
                    </a:stretch>
                  </pic:blipFill>
                  <pic:spPr>
                    <a:xfrm>
                      <a:off x="0" y="0"/>
                      <a:ext cx="5272405" cy="6202045"/>
                    </a:xfrm>
                    <a:prstGeom prst="rect">
                      <a:avLst/>
                    </a:prstGeom>
                    <a:noFill/>
                    <a:ln>
                      <a:noFill/>
                    </a:ln>
                  </pic:spPr>
                </pic:pic>
              </a:graphicData>
            </a:graphic>
          </wp:inline>
        </w:drawing>
      </w:r>
    </w:p>
    <w:p>
      <w:pPr>
        <w:pStyle w:val="2"/>
        <w:ind w:left="0" w:leftChars="0" w:firstLine="0" w:firstLineChars="0"/>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anchor distT="0" distB="0" distL="114300" distR="114300" simplePos="0" relativeHeight="263393280" behindDoc="1" locked="0" layoutInCell="1" allowOverlap="1">
            <wp:simplePos x="0" y="0"/>
            <wp:positionH relativeFrom="column">
              <wp:posOffset>8255</wp:posOffset>
            </wp:positionH>
            <wp:positionV relativeFrom="paragraph">
              <wp:posOffset>64135</wp:posOffset>
            </wp:positionV>
            <wp:extent cx="5262245" cy="7444105"/>
            <wp:effectExtent l="0" t="0" r="14605" b="4445"/>
            <wp:wrapTight wrapText="bothSides">
              <wp:wrapPolygon>
                <wp:start x="0" y="0"/>
                <wp:lineTo x="0" y="21558"/>
                <wp:lineTo x="21504" y="21558"/>
                <wp:lineTo x="21504" y="0"/>
                <wp:lineTo x="0" y="0"/>
              </wp:wrapPolygon>
            </wp:wrapTight>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55"/>
                    <a:stretch>
                      <a:fillRect/>
                    </a:stretch>
                  </pic:blipFill>
                  <pic:spPr>
                    <a:xfrm>
                      <a:off x="0" y="0"/>
                      <a:ext cx="5262245" cy="7444105"/>
                    </a:xfrm>
                    <a:prstGeom prst="rect">
                      <a:avLst/>
                    </a:prstGeom>
                    <a:noFill/>
                    <a:ln>
                      <a:noFill/>
                    </a:ln>
                  </pic:spPr>
                </pic:pic>
              </a:graphicData>
            </a:graphic>
          </wp:anchor>
        </w:drawing>
      </w:r>
    </w:p>
    <w:p>
      <w:pPr>
        <w:pStyle w:val="2"/>
        <w:ind w:left="0" w:leftChars="0" w:firstLine="0" w:firstLineChars="0"/>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anchor distT="0" distB="0" distL="114300" distR="114300" simplePos="0" relativeHeight="263394304" behindDoc="1" locked="0" layoutInCell="1" allowOverlap="1">
            <wp:simplePos x="0" y="0"/>
            <wp:positionH relativeFrom="column">
              <wp:posOffset>0</wp:posOffset>
            </wp:positionH>
            <wp:positionV relativeFrom="paragraph">
              <wp:posOffset>55880</wp:posOffset>
            </wp:positionV>
            <wp:extent cx="5262245" cy="7444105"/>
            <wp:effectExtent l="0" t="0" r="14605" b="4445"/>
            <wp:wrapTight wrapText="bothSides">
              <wp:wrapPolygon>
                <wp:start x="0" y="0"/>
                <wp:lineTo x="0" y="21558"/>
                <wp:lineTo x="21504" y="21558"/>
                <wp:lineTo x="21504" y="0"/>
                <wp:lineTo x="0" y="0"/>
              </wp:wrapPolygon>
            </wp:wrapTight>
            <wp:docPr id="6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
                    <pic:cNvPicPr>
                      <a:picLocks noChangeAspect="1"/>
                    </pic:cNvPicPr>
                  </pic:nvPicPr>
                  <pic:blipFill>
                    <a:blip r:embed="rId56"/>
                    <a:stretch>
                      <a:fillRect/>
                    </a:stretch>
                  </pic:blipFill>
                  <pic:spPr>
                    <a:xfrm>
                      <a:off x="0" y="0"/>
                      <a:ext cx="5262245" cy="7444105"/>
                    </a:xfrm>
                    <a:prstGeom prst="rect">
                      <a:avLst/>
                    </a:prstGeom>
                    <a:noFill/>
                    <a:ln>
                      <a:noFill/>
                    </a:ln>
                  </pic:spPr>
                </pic:pic>
              </a:graphicData>
            </a:graphic>
          </wp:anchor>
        </w:drawing>
      </w:r>
    </w:p>
    <w:p>
      <w:pPr>
        <w:pStyle w:val="2"/>
        <w:ind w:left="0" w:leftChars="0" w:firstLine="0" w:firstLineChars="0"/>
        <w:rPr>
          <w:rFonts w:hint="default"/>
          <w:lang w:val="en-US"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drawing>
          <wp:anchor distT="0" distB="0" distL="114300" distR="114300" simplePos="0" relativeHeight="263395328" behindDoc="1" locked="0" layoutInCell="1" allowOverlap="1">
            <wp:simplePos x="0" y="0"/>
            <wp:positionH relativeFrom="column">
              <wp:posOffset>17780</wp:posOffset>
            </wp:positionH>
            <wp:positionV relativeFrom="paragraph">
              <wp:posOffset>81915</wp:posOffset>
            </wp:positionV>
            <wp:extent cx="5262245" cy="7444105"/>
            <wp:effectExtent l="0" t="0" r="14605" b="4445"/>
            <wp:wrapTight wrapText="bothSides">
              <wp:wrapPolygon>
                <wp:start x="0" y="0"/>
                <wp:lineTo x="0" y="21558"/>
                <wp:lineTo x="21504" y="21558"/>
                <wp:lineTo x="21504" y="0"/>
                <wp:lineTo x="0" y="0"/>
              </wp:wrapPolygon>
            </wp:wrapTight>
            <wp:docPr id="70"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8"/>
                    <pic:cNvPicPr>
                      <a:picLocks noChangeAspect="1"/>
                    </pic:cNvPicPr>
                  </pic:nvPicPr>
                  <pic:blipFill>
                    <a:blip r:embed="rId57"/>
                    <a:stretch>
                      <a:fillRect/>
                    </a:stretch>
                  </pic:blipFill>
                  <pic:spPr>
                    <a:xfrm>
                      <a:off x="0" y="0"/>
                      <a:ext cx="5262245" cy="7444105"/>
                    </a:xfrm>
                    <a:prstGeom prst="rect">
                      <a:avLst/>
                    </a:prstGeom>
                    <a:noFill/>
                    <a:ln>
                      <a:noFill/>
                    </a:ln>
                  </pic:spPr>
                </pic:pic>
              </a:graphicData>
            </a:graphic>
          </wp:anchor>
        </w:drawing>
      </w:r>
    </w:p>
    <w:p>
      <w:pPr>
        <w:rPr>
          <w:rFonts w:hint="default"/>
          <w:lang w:val="en-US" w:eastAsia="zh-CN"/>
        </w:rPr>
      </w:pPr>
      <w:r>
        <w:rPr>
          <w:rFonts w:hint="default"/>
          <w:lang w:val="en-US" w:eastAsia="zh-CN"/>
        </w:rPr>
        <w:drawing>
          <wp:inline distT="0" distB="0" distL="114300" distR="114300">
            <wp:extent cx="5262245" cy="7444105"/>
            <wp:effectExtent l="0" t="0" r="14605" b="4445"/>
            <wp:docPr id="72" name="图片 7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图片1"/>
                    <pic:cNvPicPr>
                      <a:picLocks noChangeAspect="1"/>
                    </pic:cNvPicPr>
                  </pic:nvPicPr>
                  <pic:blipFill>
                    <a:blip r:embed="rId58"/>
                    <a:stretch>
                      <a:fillRect/>
                    </a:stretch>
                  </pic:blipFill>
                  <pic:spPr>
                    <a:xfrm>
                      <a:off x="0" y="0"/>
                      <a:ext cx="5262245" cy="7444105"/>
                    </a:xfrm>
                    <a:prstGeom prst="rect">
                      <a:avLst/>
                    </a:prstGeom>
                  </pic:spPr>
                </pic:pic>
              </a:graphicData>
            </a:graphic>
          </wp:inline>
        </w:drawing>
      </w: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8"/>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
    <w:panose1 w:val="02010609060101010101"/>
    <w:charset w:val="86"/>
    <w:family w:val="auto"/>
    <w:pitch w:val="default"/>
    <w:sig w:usb0="800002BF" w:usb1="38CF7CFA" w:usb2="00000016" w:usb3="00000000" w:csb0="00040001" w:csb1="00000000"/>
  </w:font>
  <w:font w:name="全真楷書">
    <w:altName w:val="宋体"/>
    <w:panose1 w:val="00000000000000000000"/>
    <w:charset w:val="88"/>
    <w:family w:val="modern"/>
    <w:pitch w:val="default"/>
    <w:sig w:usb0="00000000" w:usb1="00000000" w:usb2="00000010" w:usb3="00000000" w:csb0="00100000" w:csb1="00000000"/>
  </w:font>
  <w:font w:name="Wingdings 2">
    <w:panose1 w:val="05020102010507070707"/>
    <w:charset w:val="02"/>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kk7QU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KW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kk7QUzAgAAYwQAAA4AAAAAAAAAAQAgAAAAHwEAAGRycy9lMm9Eb2MueG1sUEsF&#10;BgAAAAAGAAYAWQEAAMQFAAAAAA==&#10;">
              <v:fill on="f" focussize="0,0"/>
              <v:stroke on="f" weight="0.5pt"/>
              <v:imagedata o:title=""/>
              <o:lock v:ext="edit" aspectratio="f"/>
              <v:textbox inset="0mm,0mm,0mm,0mm" style="mso-fit-shape-to-text:t;">
                <w:txbxContent>
                  <w:p>
                    <w:pPr>
                      <w:pStyle w:val="1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1A8D8CA"/>
    <w:multiLevelType w:val="singleLevel"/>
    <w:tmpl w:val="91A8D8CA"/>
    <w:lvl w:ilvl="0" w:tentative="0">
      <w:start w:val="1"/>
      <w:numFmt w:val="decimal"/>
      <w:lvlText w:val="表1-%1  "/>
      <w:lvlJc w:val="center"/>
      <w:pPr>
        <w:tabs>
          <w:tab w:val="left" w:pos="0"/>
        </w:tabs>
        <w:ind w:left="0" w:firstLine="0"/>
      </w:pPr>
      <w:rPr>
        <w:rFonts w:hint="default" w:ascii="Times New Roman" w:hAnsi="Times New Roman" w:eastAsia="宋体" w:cs="Times New Roman"/>
        <w:b/>
        <w:bCs/>
        <w:sz w:val="21"/>
        <w:szCs w:val="21"/>
      </w:rPr>
    </w:lvl>
  </w:abstractNum>
  <w:abstractNum w:abstractNumId="1">
    <w:nsid w:val="C1FD0DEF"/>
    <w:multiLevelType w:val="singleLevel"/>
    <w:tmpl w:val="C1FD0DEF"/>
    <w:lvl w:ilvl="0" w:tentative="0">
      <w:start w:val="1"/>
      <w:numFmt w:val="decimal"/>
      <w:suff w:val="nothing"/>
      <w:lvlText w:val="%1、"/>
      <w:lvlJc w:val="left"/>
    </w:lvl>
  </w:abstractNum>
  <w:abstractNum w:abstractNumId="2">
    <w:nsid w:val="D2182C41"/>
    <w:multiLevelType w:val="singleLevel"/>
    <w:tmpl w:val="D2182C41"/>
    <w:lvl w:ilvl="0" w:tentative="0">
      <w:start w:val="1"/>
      <w:numFmt w:val="decimal"/>
      <w:suff w:val="nothing"/>
      <w:lvlText w:val="%1、"/>
      <w:lvlJc w:val="left"/>
    </w:lvl>
  </w:abstractNum>
  <w:abstractNum w:abstractNumId="3">
    <w:nsid w:val="EE9904D2"/>
    <w:multiLevelType w:val="singleLevel"/>
    <w:tmpl w:val="EE9904D2"/>
    <w:lvl w:ilvl="0" w:tentative="0">
      <w:start w:val="1"/>
      <w:numFmt w:val="decimal"/>
      <w:suff w:val="nothing"/>
      <w:lvlText w:val="%1、"/>
      <w:lvlJc w:val="left"/>
    </w:lvl>
  </w:abstractNum>
  <w:abstractNum w:abstractNumId="4">
    <w:nsid w:val="F060A13C"/>
    <w:multiLevelType w:val="singleLevel"/>
    <w:tmpl w:val="F060A13C"/>
    <w:lvl w:ilvl="0" w:tentative="0">
      <w:start w:val="1"/>
      <w:numFmt w:val="decimal"/>
      <w:suff w:val="nothing"/>
      <w:lvlText w:val="%1、"/>
      <w:lvlJc w:val="left"/>
    </w:lvl>
  </w:abstractNum>
  <w:abstractNum w:abstractNumId="5">
    <w:nsid w:val="F941D9B8"/>
    <w:multiLevelType w:val="singleLevel"/>
    <w:tmpl w:val="F941D9B8"/>
    <w:lvl w:ilvl="0" w:tentative="0">
      <w:start w:val="1"/>
      <w:numFmt w:val="decimal"/>
      <w:suff w:val="nothing"/>
      <w:lvlText w:val="%1、"/>
      <w:lvlJc w:val="left"/>
    </w:lvl>
  </w:abstractNum>
  <w:abstractNum w:abstractNumId="6">
    <w:nsid w:val="0C6A8430"/>
    <w:multiLevelType w:val="singleLevel"/>
    <w:tmpl w:val="0C6A8430"/>
    <w:lvl w:ilvl="0" w:tentative="0">
      <w:start w:val="1"/>
      <w:numFmt w:val="decimal"/>
      <w:suff w:val="nothing"/>
      <w:lvlText w:val="%1、"/>
      <w:lvlJc w:val="left"/>
    </w:lvl>
  </w:abstractNum>
  <w:abstractNum w:abstractNumId="7">
    <w:nsid w:val="0D10A375"/>
    <w:multiLevelType w:val="singleLevel"/>
    <w:tmpl w:val="0D10A375"/>
    <w:lvl w:ilvl="0" w:tentative="0">
      <w:start w:val="1"/>
      <w:numFmt w:val="decimal"/>
      <w:suff w:val="nothing"/>
      <w:lvlText w:val="%1、"/>
      <w:lvlJc w:val="left"/>
    </w:lvl>
  </w:abstractNum>
  <w:abstractNum w:abstractNumId="8">
    <w:nsid w:val="1CDFC25B"/>
    <w:multiLevelType w:val="singleLevel"/>
    <w:tmpl w:val="1CDFC25B"/>
    <w:lvl w:ilvl="0" w:tentative="0">
      <w:start w:val="1"/>
      <w:numFmt w:val="decimal"/>
      <w:suff w:val="space"/>
      <w:lvlText w:val="表2-%1"/>
      <w:lvlJc w:val="left"/>
      <w:pPr>
        <w:tabs>
          <w:tab w:val="left" w:pos="0"/>
        </w:tabs>
        <w:ind w:left="425" w:hanging="425"/>
      </w:pPr>
      <w:rPr>
        <w:rFonts w:hint="default" w:ascii="Times New Roman" w:hAnsi="Times New Roman" w:eastAsia="宋体" w:cs="Times New Roman"/>
        <w:b/>
        <w:bCs/>
        <w:sz w:val="21"/>
        <w:szCs w:val="21"/>
      </w:rPr>
    </w:lvl>
  </w:abstractNum>
  <w:abstractNum w:abstractNumId="9">
    <w:nsid w:val="3C3B5E6C"/>
    <w:multiLevelType w:val="multilevel"/>
    <w:tmpl w:val="3C3B5E6C"/>
    <w:lvl w:ilvl="0" w:tentative="0">
      <w:start w:val="1"/>
      <w:numFmt w:val="decimal"/>
      <w:suff w:val="nothing"/>
      <w:lvlText w:val="%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47C1B310"/>
    <w:multiLevelType w:val="multilevel"/>
    <w:tmpl w:val="47C1B310"/>
    <w:lvl w:ilvl="0" w:tentative="0">
      <w:start w:val="1"/>
      <w:numFmt w:val="chineseCounting"/>
      <w:suff w:val="nothing"/>
      <w:lvlText w:val="%1、"/>
      <w:lvlJc w:val="left"/>
      <w:pPr>
        <w:tabs>
          <w:tab w:val="left" w:pos="0"/>
        </w:tabs>
        <w:ind w:left="0" w:firstLine="0"/>
      </w:pPr>
      <w:rPr>
        <w:rFonts w:hint="eastAsia" w:ascii="宋体" w:hAnsi="宋体" w:eastAsia="宋体" w:cs="宋体"/>
        <w:b/>
        <w:i w:val="0"/>
        <w:sz w:val="32"/>
      </w:rPr>
    </w:lvl>
    <w:lvl w:ilvl="1" w:tentative="0">
      <w:start w:val="1"/>
      <w:numFmt w:val="decimal"/>
      <w:pStyle w:val="4"/>
      <w:isLgl/>
      <w:lvlText w:val="%1.%2."/>
      <w:lvlJc w:val="left"/>
      <w:pPr>
        <w:tabs>
          <w:tab w:val="left" w:pos="720"/>
        </w:tabs>
        <w:ind w:left="720" w:hanging="720"/>
      </w:pPr>
      <w:rPr>
        <w:rFonts w:hint="eastAsia" w:ascii="仿宋" w:hAnsi="仿宋" w:eastAsia="宋体" w:cs="Courier New"/>
        <w:b/>
        <w:i w:val="0"/>
        <w:sz w:val="28"/>
        <w:szCs w:val="32"/>
      </w:rPr>
    </w:lvl>
    <w:lvl w:ilvl="2" w:tentative="0">
      <w:start w:val="1"/>
      <w:numFmt w:val="decimal"/>
      <w:isLgl/>
      <w:lvlText w:val="%1.%2.%3."/>
      <w:lvlJc w:val="left"/>
      <w:pPr>
        <w:tabs>
          <w:tab w:val="left" w:pos="720"/>
        </w:tabs>
        <w:ind w:left="720" w:hanging="720"/>
      </w:pPr>
      <w:rPr>
        <w:rFonts w:hint="eastAsia" w:ascii="仿宋" w:hAnsi="仿宋" w:eastAsia="仿宋"/>
        <w:b/>
        <w:i w:val="0"/>
        <w:sz w:val="30"/>
      </w:rPr>
    </w:lvl>
    <w:lvl w:ilvl="3" w:tentative="0">
      <w:start w:val="1"/>
      <w:numFmt w:val="decimal"/>
      <w:isLgl/>
      <w:lvlText w:val="%1.%2.%3.%4."/>
      <w:lvlJc w:val="left"/>
      <w:pPr>
        <w:tabs>
          <w:tab w:val="left" w:pos="0"/>
        </w:tabs>
        <w:ind w:left="0" w:firstLine="0"/>
      </w:pPr>
      <w:rPr>
        <w:rFonts w:hint="eastAsia" w:ascii="仿宋" w:hAnsi="仿宋" w:eastAsia="仿宋"/>
        <w:b/>
        <w:i w:val="0"/>
        <w:iCs w:val="0"/>
        <w:caps w:val="0"/>
        <w:smallCaps w:val="0"/>
        <w:strike w:val="0"/>
        <w:dstrike w:val="0"/>
        <w:outline w:val="0"/>
        <w:shadow w:val="0"/>
        <w:spacing w:val="0"/>
        <w:position w:val="0"/>
        <w:sz w:val="28"/>
        <w:u w:val="none"/>
      </w:rPr>
    </w:lvl>
    <w:lvl w:ilvl="4" w:tentative="0">
      <w:start w:val="1"/>
      <w:numFmt w:val="decimal"/>
      <w:isLgl/>
      <w:lvlText w:val="%1.%2.%3.%4.%5."/>
      <w:lvlJc w:val="left"/>
      <w:pPr>
        <w:tabs>
          <w:tab w:val="left" w:pos="1008"/>
        </w:tabs>
        <w:ind w:left="1008" w:hanging="1008"/>
      </w:pPr>
      <w:rPr>
        <w:rFonts w:hint="eastAsia" w:ascii="仿宋" w:hAnsi="仿宋" w:eastAsia="仿宋" w:cs="Times New Roman"/>
        <w:b/>
        <w:i w:val="0"/>
        <w:sz w:val="28"/>
        <w:szCs w:val="24"/>
      </w:rPr>
    </w:lvl>
    <w:lvl w:ilvl="5" w:tentative="0">
      <w:start w:val="1"/>
      <w:numFmt w:val="decimal"/>
      <w:isLgl/>
      <w:lvlText w:val="%1.%2.%3.%4.%5.%6."/>
      <w:lvlJc w:val="left"/>
      <w:pPr>
        <w:tabs>
          <w:tab w:val="left" w:pos="1152"/>
        </w:tabs>
        <w:ind w:left="964" w:hanging="964"/>
      </w:pPr>
      <w:rPr>
        <w:rFonts w:hint="eastAsia" w:ascii="Times New Roman" w:hAnsi="Times New Roman" w:eastAsia="仿宋" w:cs="Times New Roman"/>
        <w:b/>
        <w:i w:val="0"/>
        <w:sz w:val="24"/>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11">
    <w:nsid w:val="5D0A6107"/>
    <w:multiLevelType w:val="singleLevel"/>
    <w:tmpl w:val="5D0A6107"/>
    <w:lvl w:ilvl="0" w:tentative="0">
      <w:start w:val="1"/>
      <w:numFmt w:val="decimal"/>
      <w:suff w:val="nothing"/>
      <w:lvlText w:val="%1、"/>
      <w:lvlJc w:val="left"/>
    </w:lvl>
  </w:abstractNum>
  <w:abstractNum w:abstractNumId="12">
    <w:nsid w:val="6864C433"/>
    <w:multiLevelType w:val="singleLevel"/>
    <w:tmpl w:val="6864C433"/>
    <w:lvl w:ilvl="0" w:tentative="0">
      <w:start w:val="6"/>
      <w:numFmt w:val="chineseCounting"/>
      <w:suff w:val="nothing"/>
      <w:lvlText w:val="%1、"/>
      <w:lvlJc w:val="left"/>
      <w:rPr>
        <w:rFonts w:hint="eastAsia"/>
      </w:rPr>
    </w:lvl>
  </w:abstractNum>
  <w:abstractNum w:abstractNumId="13">
    <w:nsid w:val="6D561004"/>
    <w:multiLevelType w:val="singleLevel"/>
    <w:tmpl w:val="6D561004"/>
    <w:lvl w:ilvl="0" w:tentative="0">
      <w:start w:val="1"/>
      <w:numFmt w:val="decimal"/>
      <w:suff w:val="nothing"/>
      <w:lvlText w:val="%1、"/>
      <w:lvlJc w:val="left"/>
    </w:lvl>
  </w:abstractNum>
  <w:abstractNum w:abstractNumId="14">
    <w:nsid w:val="7D9EB713"/>
    <w:multiLevelType w:val="singleLevel"/>
    <w:tmpl w:val="7D9EB713"/>
    <w:lvl w:ilvl="0" w:tentative="0">
      <w:start w:val="1"/>
      <w:numFmt w:val="decimal"/>
      <w:lvlText w:val="表4-%1  "/>
      <w:lvlJc w:val="center"/>
      <w:pPr>
        <w:tabs>
          <w:tab w:val="left" w:pos="0"/>
        </w:tabs>
        <w:ind w:left="0" w:firstLine="0"/>
      </w:pPr>
      <w:rPr>
        <w:rFonts w:hint="default" w:ascii="Times New Roman" w:hAnsi="Times New Roman" w:eastAsia="宋体" w:cs="Times New Roman"/>
        <w:b/>
        <w:bCs/>
        <w:sz w:val="21"/>
        <w:szCs w:val="21"/>
      </w:rPr>
    </w:lvl>
  </w:abstractNum>
  <w:num w:numId="1">
    <w:abstractNumId w:val="10"/>
  </w:num>
  <w:num w:numId="2">
    <w:abstractNumId w:val="0"/>
  </w:num>
  <w:num w:numId="3">
    <w:abstractNumId w:val="9"/>
  </w:num>
  <w:num w:numId="4">
    <w:abstractNumId w:val="3"/>
  </w:num>
  <w:num w:numId="5">
    <w:abstractNumId w:val="6"/>
  </w:num>
  <w:num w:numId="6">
    <w:abstractNumId w:val="7"/>
  </w:num>
  <w:num w:numId="7">
    <w:abstractNumId w:val="11"/>
  </w:num>
  <w:num w:numId="8">
    <w:abstractNumId w:val="1"/>
  </w:num>
  <w:num w:numId="9">
    <w:abstractNumId w:val="13"/>
  </w:num>
  <w:num w:numId="10">
    <w:abstractNumId w:val="2"/>
  </w:num>
  <w:num w:numId="11">
    <w:abstractNumId w:val="5"/>
  </w:num>
  <w:num w:numId="12">
    <w:abstractNumId w:val="12"/>
  </w:num>
  <w:num w:numId="13">
    <w:abstractNumId w:val="8"/>
  </w:num>
  <w:num w:numId="14">
    <w:abstractNumId w:val="4"/>
  </w:num>
  <w:num w:numId="15">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oNotDisplayPageBoundaries w:val="1"/>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hiNjJjMWViMDdlZjE2N2FkOTdmNGU4OTRmZGNiNWUifQ=="/>
    <w:docVar w:name="KSO_WPS_MARK_KEY" w:val="afb08318-a127-4b28-98d8-ee97e604d021"/>
  </w:docVars>
  <w:rsids>
    <w:rsidRoot w:val="00000000"/>
    <w:rsid w:val="000B6F95"/>
    <w:rsid w:val="003A1932"/>
    <w:rsid w:val="00733A76"/>
    <w:rsid w:val="008335BA"/>
    <w:rsid w:val="017746EF"/>
    <w:rsid w:val="017C2BBF"/>
    <w:rsid w:val="01DF596C"/>
    <w:rsid w:val="01F377AE"/>
    <w:rsid w:val="02B32C00"/>
    <w:rsid w:val="02BE582C"/>
    <w:rsid w:val="047F4A5F"/>
    <w:rsid w:val="049427B9"/>
    <w:rsid w:val="04C9495C"/>
    <w:rsid w:val="050F1852"/>
    <w:rsid w:val="05346CAC"/>
    <w:rsid w:val="055768BF"/>
    <w:rsid w:val="066407EC"/>
    <w:rsid w:val="07503639"/>
    <w:rsid w:val="076F46C1"/>
    <w:rsid w:val="07EF3B23"/>
    <w:rsid w:val="08362985"/>
    <w:rsid w:val="088041EB"/>
    <w:rsid w:val="08EE7864"/>
    <w:rsid w:val="095B375B"/>
    <w:rsid w:val="0A8C0317"/>
    <w:rsid w:val="0B8E688D"/>
    <w:rsid w:val="0BCB4017"/>
    <w:rsid w:val="0D125042"/>
    <w:rsid w:val="0D997E11"/>
    <w:rsid w:val="0D9F249C"/>
    <w:rsid w:val="0DF03395"/>
    <w:rsid w:val="0E4F66C4"/>
    <w:rsid w:val="0E8A5825"/>
    <w:rsid w:val="0F2F2BCC"/>
    <w:rsid w:val="10180A18"/>
    <w:rsid w:val="10791247"/>
    <w:rsid w:val="133D735C"/>
    <w:rsid w:val="139525DC"/>
    <w:rsid w:val="13976305"/>
    <w:rsid w:val="13993CE3"/>
    <w:rsid w:val="15EA16A3"/>
    <w:rsid w:val="163E198F"/>
    <w:rsid w:val="1787433D"/>
    <w:rsid w:val="178E0162"/>
    <w:rsid w:val="17F246AB"/>
    <w:rsid w:val="180955CD"/>
    <w:rsid w:val="18351C95"/>
    <w:rsid w:val="183A31B1"/>
    <w:rsid w:val="185E790E"/>
    <w:rsid w:val="191C4C03"/>
    <w:rsid w:val="19CF48D8"/>
    <w:rsid w:val="19D211DF"/>
    <w:rsid w:val="19D246CE"/>
    <w:rsid w:val="19FF64A2"/>
    <w:rsid w:val="1A5E61F9"/>
    <w:rsid w:val="1AB74ED3"/>
    <w:rsid w:val="1B0175FE"/>
    <w:rsid w:val="1B555915"/>
    <w:rsid w:val="1B791CA6"/>
    <w:rsid w:val="1BCB0AD3"/>
    <w:rsid w:val="1BD75DDC"/>
    <w:rsid w:val="1C0D17A7"/>
    <w:rsid w:val="1C9B6B83"/>
    <w:rsid w:val="1C9C0E68"/>
    <w:rsid w:val="1D4806BC"/>
    <w:rsid w:val="1D627C6D"/>
    <w:rsid w:val="1E0C5FA3"/>
    <w:rsid w:val="1E62463E"/>
    <w:rsid w:val="1E853688"/>
    <w:rsid w:val="1F032821"/>
    <w:rsid w:val="1F335108"/>
    <w:rsid w:val="201E7D74"/>
    <w:rsid w:val="209647E6"/>
    <w:rsid w:val="20B56540"/>
    <w:rsid w:val="211F6108"/>
    <w:rsid w:val="21325948"/>
    <w:rsid w:val="21A14776"/>
    <w:rsid w:val="22BF1426"/>
    <w:rsid w:val="22C456E8"/>
    <w:rsid w:val="234D0511"/>
    <w:rsid w:val="24806187"/>
    <w:rsid w:val="249740D4"/>
    <w:rsid w:val="2557037A"/>
    <w:rsid w:val="25D834F1"/>
    <w:rsid w:val="27437285"/>
    <w:rsid w:val="27A702BE"/>
    <w:rsid w:val="27C32B00"/>
    <w:rsid w:val="27EE7249"/>
    <w:rsid w:val="28BA534D"/>
    <w:rsid w:val="290343AE"/>
    <w:rsid w:val="2A0B7489"/>
    <w:rsid w:val="2AC5580A"/>
    <w:rsid w:val="2AD9031D"/>
    <w:rsid w:val="2B5F3A33"/>
    <w:rsid w:val="2BFC719E"/>
    <w:rsid w:val="2C493B09"/>
    <w:rsid w:val="2CB038E0"/>
    <w:rsid w:val="2CD035A8"/>
    <w:rsid w:val="2CDA6E57"/>
    <w:rsid w:val="2D004765"/>
    <w:rsid w:val="2D5D1056"/>
    <w:rsid w:val="2DBC31B1"/>
    <w:rsid w:val="2DC5530F"/>
    <w:rsid w:val="2DE32A85"/>
    <w:rsid w:val="2E793490"/>
    <w:rsid w:val="2EC461D7"/>
    <w:rsid w:val="2F0C0502"/>
    <w:rsid w:val="2F99381C"/>
    <w:rsid w:val="2F99454A"/>
    <w:rsid w:val="3029749F"/>
    <w:rsid w:val="30416C05"/>
    <w:rsid w:val="30440420"/>
    <w:rsid w:val="306378E8"/>
    <w:rsid w:val="30C776F3"/>
    <w:rsid w:val="31A1712E"/>
    <w:rsid w:val="31B2637F"/>
    <w:rsid w:val="32322DC3"/>
    <w:rsid w:val="327D3A07"/>
    <w:rsid w:val="32A45F3D"/>
    <w:rsid w:val="32E87316"/>
    <w:rsid w:val="331B52B9"/>
    <w:rsid w:val="338C0EC8"/>
    <w:rsid w:val="33B73715"/>
    <w:rsid w:val="352A30EE"/>
    <w:rsid w:val="35592189"/>
    <w:rsid w:val="35643C60"/>
    <w:rsid w:val="35A83BD2"/>
    <w:rsid w:val="35FA1D12"/>
    <w:rsid w:val="361A154E"/>
    <w:rsid w:val="369851CA"/>
    <w:rsid w:val="36BD75CE"/>
    <w:rsid w:val="370A0038"/>
    <w:rsid w:val="371200EA"/>
    <w:rsid w:val="378C21EA"/>
    <w:rsid w:val="379136F2"/>
    <w:rsid w:val="37A03F6D"/>
    <w:rsid w:val="380769FB"/>
    <w:rsid w:val="38557DDA"/>
    <w:rsid w:val="386C747F"/>
    <w:rsid w:val="38774379"/>
    <w:rsid w:val="38ED5F00"/>
    <w:rsid w:val="39700927"/>
    <w:rsid w:val="39A8273A"/>
    <w:rsid w:val="39AE6C95"/>
    <w:rsid w:val="39B721F6"/>
    <w:rsid w:val="3A5E7F08"/>
    <w:rsid w:val="3A745A45"/>
    <w:rsid w:val="3A94560E"/>
    <w:rsid w:val="3AF315EE"/>
    <w:rsid w:val="3B8D7D84"/>
    <w:rsid w:val="3BE437DD"/>
    <w:rsid w:val="3BF27D51"/>
    <w:rsid w:val="3CB6726B"/>
    <w:rsid w:val="3CC7287B"/>
    <w:rsid w:val="3D1E28AC"/>
    <w:rsid w:val="3D2911AB"/>
    <w:rsid w:val="3D942B64"/>
    <w:rsid w:val="3D990BE8"/>
    <w:rsid w:val="3D9B794A"/>
    <w:rsid w:val="3DD24795"/>
    <w:rsid w:val="3E147B57"/>
    <w:rsid w:val="3E15128F"/>
    <w:rsid w:val="3E5827CB"/>
    <w:rsid w:val="3E5C591E"/>
    <w:rsid w:val="3EB87C73"/>
    <w:rsid w:val="3EDE7C10"/>
    <w:rsid w:val="3F786469"/>
    <w:rsid w:val="3FAD1698"/>
    <w:rsid w:val="419875D1"/>
    <w:rsid w:val="420A04D0"/>
    <w:rsid w:val="428906AE"/>
    <w:rsid w:val="43311155"/>
    <w:rsid w:val="43A44226"/>
    <w:rsid w:val="440D4EDA"/>
    <w:rsid w:val="44732257"/>
    <w:rsid w:val="44DD2536"/>
    <w:rsid w:val="45356FA6"/>
    <w:rsid w:val="459B64E9"/>
    <w:rsid w:val="46367BB2"/>
    <w:rsid w:val="471F398D"/>
    <w:rsid w:val="47C0420A"/>
    <w:rsid w:val="47DD5AEE"/>
    <w:rsid w:val="490E5880"/>
    <w:rsid w:val="49DC6923"/>
    <w:rsid w:val="49E350C7"/>
    <w:rsid w:val="4AD37DFC"/>
    <w:rsid w:val="4B2466C0"/>
    <w:rsid w:val="4B5C5F54"/>
    <w:rsid w:val="4C1344C2"/>
    <w:rsid w:val="4CDB1A6B"/>
    <w:rsid w:val="4D4D0823"/>
    <w:rsid w:val="4D7B1A3E"/>
    <w:rsid w:val="4DDD0FCC"/>
    <w:rsid w:val="4EC82D90"/>
    <w:rsid w:val="4EEB3FFD"/>
    <w:rsid w:val="4F830BCF"/>
    <w:rsid w:val="4F9E30C7"/>
    <w:rsid w:val="4FC926E8"/>
    <w:rsid w:val="5036273E"/>
    <w:rsid w:val="503F1176"/>
    <w:rsid w:val="50F17A72"/>
    <w:rsid w:val="51353649"/>
    <w:rsid w:val="51EC0B0B"/>
    <w:rsid w:val="521768FF"/>
    <w:rsid w:val="521C11F4"/>
    <w:rsid w:val="54A86F56"/>
    <w:rsid w:val="551126B8"/>
    <w:rsid w:val="551372A5"/>
    <w:rsid w:val="55294DC5"/>
    <w:rsid w:val="556A7CF6"/>
    <w:rsid w:val="55D03CD2"/>
    <w:rsid w:val="55E304C3"/>
    <w:rsid w:val="56110819"/>
    <w:rsid w:val="56387688"/>
    <w:rsid w:val="564156CE"/>
    <w:rsid w:val="565A7794"/>
    <w:rsid w:val="5690657E"/>
    <w:rsid w:val="57AA255E"/>
    <w:rsid w:val="57F16C7F"/>
    <w:rsid w:val="58426BAE"/>
    <w:rsid w:val="586F2A4C"/>
    <w:rsid w:val="58707EFE"/>
    <w:rsid w:val="58B754BB"/>
    <w:rsid w:val="58B76169"/>
    <w:rsid w:val="58E630FF"/>
    <w:rsid w:val="5A146C55"/>
    <w:rsid w:val="5A55028F"/>
    <w:rsid w:val="5A7D4DF0"/>
    <w:rsid w:val="5AC70B93"/>
    <w:rsid w:val="5B402858"/>
    <w:rsid w:val="5B6B05E9"/>
    <w:rsid w:val="5BB11EB0"/>
    <w:rsid w:val="5BC30BC1"/>
    <w:rsid w:val="5C367B48"/>
    <w:rsid w:val="5C4368F2"/>
    <w:rsid w:val="5C490851"/>
    <w:rsid w:val="5CE54FD0"/>
    <w:rsid w:val="5D2660FE"/>
    <w:rsid w:val="5DDF07E0"/>
    <w:rsid w:val="5E986B71"/>
    <w:rsid w:val="5F6B787F"/>
    <w:rsid w:val="62621FF6"/>
    <w:rsid w:val="62A420A6"/>
    <w:rsid w:val="62B4761C"/>
    <w:rsid w:val="62CE6845"/>
    <w:rsid w:val="6562228E"/>
    <w:rsid w:val="662A2D5C"/>
    <w:rsid w:val="66601598"/>
    <w:rsid w:val="66D91116"/>
    <w:rsid w:val="67C55490"/>
    <w:rsid w:val="67E67E83"/>
    <w:rsid w:val="68394C10"/>
    <w:rsid w:val="68DD7E2F"/>
    <w:rsid w:val="68FD5D79"/>
    <w:rsid w:val="698D58DE"/>
    <w:rsid w:val="6A4C2274"/>
    <w:rsid w:val="6A600742"/>
    <w:rsid w:val="6AD97A77"/>
    <w:rsid w:val="6B2B658C"/>
    <w:rsid w:val="6B553377"/>
    <w:rsid w:val="6B8C6BEA"/>
    <w:rsid w:val="6BC01369"/>
    <w:rsid w:val="6C1258E4"/>
    <w:rsid w:val="6C1F332B"/>
    <w:rsid w:val="6C8C4B2E"/>
    <w:rsid w:val="6CB96A59"/>
    <w:rsid w:val="6DF64774"/>
    <w:rsid w:val="6ED22F0F"/>
    <w:rsid w:val="6EFE7ED2"/>
    <w:rsid w:val="6F4C513B"/>
    <w:rsid w:val="6F540628"/>
    <w:rsid w:val="6FD601DD"/>
    <w:rsid w:val="700B6F86"/>
    <w:rsid w:val="701419A9"/>
    <w:rsid w:val="71162AEE"/>
    <w:rsid w:val="73B20D35"/>
    <w:rsid w:val="73F768CD"/>
    <w:rsid w:val="74E87F89"/>
    <w:rsid w:val="75A03FB2"/>
    <w:rsid w:val="75CA2B92"/>
    <w:rsid w:val="763F4462"/>
    <w:rsid w:val="76E934EC"/>
    <w:rsid w:val="77055FE6"/>
    <w:rsid w:val="777F44E9"/>
    <w:rsid w:val="77C050F7"/>
    <w:rsid w:val="77F043F1"/>
    <w:rsid w:val="78B25D38"/>
    <w:rsid w:val="78DB43DB"/>
    <w:rsid w:val="790E22DE"/>
    <w:rsid w:val="7A456C8B"/>
    <w:rsid w:val="7B6B021B"/>
    <w:rsid w:val="7BA07DEF"/>
    <w:rsid w:val="7BA145D4"/>
    <w:rsid w:val="7BED2B12"/>
    <w:rsid w:val="7C3118E6"/>
    <w:rsid w:val="7CB92D58"/>
    <w:rsid w:val="7DD02A28"/>
    <w:rsid w:val="7E096221"/>
    <w:rsid w:val="7E292420"/>
    <w:rsid w:val="7E7A5B2F"/>
    <w:rsid w:val="7E835338"/>
    <w:rsid w:val="7F233F4B"/>
    <w:rsid w:val="7F48620D"/>
    <w:rsid w:val="7FE717B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iPriority="99" w:semiHidden="0" w:name="Body Text First Indent 2"/>
    <w:lsdException w:qFormat="1"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3">
    <w:name w:val="heading 1"/>
    <w:basedOn w:val="1"/>
    <w:next w:val="1"/>
    <w:qFormat/>
    <w:uiPriority w:val="9"/>
    <w:pPr>
      <w:keepNext/>
      <w:keepLines/>
      <w:spacing w:line="576" w:lineRule="auto"/>
      <w:outlineLvl w:val="0"/>
    </w:pPr>
    <w:rPr>
      <w:kern w:val="44"/>
      <w:sz w:val="30"/>
    </w:rPr>
  </w:style>
  <w:style w:type="paragraph" w:styleId="4">
    <w:name w:val="heading 2"/>
    <w:basedOn w:val="1"/>
    <w:next w:val="1"/>
    <w:unhideWhenUsed/>
    <w:qFormat/>
    <w:uiPriority w:val="0"/>
    <w:pPr>
      <w:keepNext/>
      <w:keepLines/>
      <w:numPr>
        <w:ilvl w:val="1"/>
        <w:numId w:val="1"/>
      </w:numPr>
      <w:tabs>
        <w:tab w:val="left" w:pos="0"/>
      </w:tabs>
      <w:spacing w:line="360" w:lineRule="auto"/>
      <w:ind w:left="0" w:firstLine="0"/>
      <w:jc w:val="left"/>
      <w:outlineLvl w:val="1"/>
    </w:pPr>
    <w:rPr>
      <w:rFonts w:ascii="宋体" w:hAnsi="宋体" w:eastAsia="宋体" w:cs="宋体"/>
      <w:b/>
      <w:bCs/>
      <w:sz w:val="30"/>
      <w:szCs w:val="30"/>
    </w:rPr>
  </w:style>
  <w:style w:type="character" w:default="1" w:styleId="18">
    <w:name w:val="Default Paragraph Font"/>
    <w:semiHidden/>
    <w:qFormat/>
    <w:uiPriority w:val="0"/>
  </w:style>
  <w:style w:type="table" w:default="1" w:styleId="16">
    <w:name w:val="Normal Table"/>
    <w:semiHidden/>
    <w:qFormat/>
    <w:uiPriority w:val="0"/>
    <w:tblPr>
      <w:tblCellMar>
        <w:top w:w="0" w:type="dxa"/>
        <w:left w:w="108" w:type="dxa"/>
        <w:bottom w:w="0" w:type="dxa"/>
        <w:right w:w="108" w:type="dxa"/>
      </w:tblCellMar>
    </w:tblPr>
  </w:style>
  <w:style w:type="paragraph" w:styleId="2">
    <w:name w:val="Normal Indent"/>
    <w:basedOn w:val="1"/>
    <w:next w:val="1"/>
    <w:qFormat/>
    <w:uiPriority w:val="0"/>
    <w:pPr>
      <w:spacing w:before="120" w:line="500" w:lineRule="exact"/>
      <w:ind w:firstLine="420"/>
    </w:pPr>
    <w:rPr>
      <w:sz w:val="24"/>
    </w:rPr>
  </w:style>
  <w:style w:type="paragraph" w:styleId="5">
    <w:name w:val="Note Heading"/>
    <w:basedOn w:val="1"/>
    <w:next w:val="1"/>
    <w:qFormat/>
    <w:uiPriority w:val="0"/>
    <w:pPr>
      <w:adjustRightInd w:val="0"/>
      <w:snapToGrid w:val="0"/>
      <w:spacing w:line="320" w:lineRule="exact"/>
      <w:jc w:val="center"/>
    </w:pPr>
    <w:rPr>
      <w:rFonts w:ascii="Times New Roman" w:hAnsi="Times New Roman" w:eastAsia="宋体" w:cs="Times New Roman"/>
      <w:b/>
      <w:color w:val="000000"/>
      <w:szCs w:val="21"/>
    </w:rPr>
  </w:style>
  <w:style w:type="paragraph" w:styleId="6">
    <w:name w:val="annotation text"/>
    <w:basedOn w:val="1"/>
    <w:qFormat/>
    <w:uiPriority w:val="0"/>
    <w:pPr>
      <w:jc w:val="left"/>
    </w:pPr>
  </w:style>
  <w:style w:type="paragraph" w:styleId="7">
    <w:name w:val="Body Text"/>
    <w:basedOn w:val="1"/>
    <w:next w:val="1"/>
    <w:qFormat/>
    <w:uiPriority w:val="0"/>
    <w:pPr>
      <w:jc w:val="left"/>
    </w:pPr>
    <w:rPr>
      <w:sz w:val="32"/>
    </w:rPr>
  </w:style>
  <w:style w:type="paragraph" w:styleId="8">
    <w:name w:val="Body Text Indent"/>
    <w:basedOn w:val="1"/>
    <w:qFormat/>
    <w:uiPriority w:val="0"/>
    <w:pPr>
      <w:spacing w:after="120"/>
      <w:ind w:left="420" w:leftChars="200"/>
    </w:pPr>
  </w:style>
  <w:style w:type="paragraph" w:styleId="9">
    <w:name w:val="Block Text"/>
    <w:basedOn w:val="1"/>
    <w:next w:val="1"/>
    <w:qFormat/>
    <w:uiPriority w:val="0"/>
    <w:pPr>
      <w:snapToGrid w:val="0"/>
      <w:spacing w:line="408" w:lineRule="auto"/>
      <w:ind w:left="-113" w:right="-510" w:firstLine="510"/>
    </w:pPr>
    <w:rPr>
      <w:sz w:val="24"/>
      <w:szCs w:val="20"/>
    </w:rPr>
  </w:style>
  <w:style w:type="paragraph" w:styleId="10">
    <w:name w:val="Plain Text"/>
    <w:basedOn w:val="1"/>
    <w:qFormat/>
    <w:uiPriority w:val="0"/>
    <w:rPr>
      <w:rFonts w:ascii="宋体" w:hAnsi="Courier New"/>
      <w:sz w:val="28"/>
    </w:rPr>
  </w:style>
  <w:style w:type="paragraph" w:styleId="11">
    <w:name w:val="footer"/>
    <w:basedOn w:val="1"/>
    <w:qFormat/>
    <w:uiPriority w:val="0"/>
    <w:pPr>
      <w:tabs>
        <w:tab w:val="center" w:pos="4153"/>
        <w:tab w:val="right" w:pos="8306"/>
      </w:tabs>
      <w:snapToGrid w:val="0"/>
      <w:jc w:val="left"/>
    </w:pPr>
    <w:rPr>
      <w:sz w:val="18"/>
    </w:rPr>
  </w:style>
  <w:style w:type="paragraph" w:styleId="12">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3">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14">
    <w:name w:val="Body Text First Indent"/>
    <w:basedOn w:val="1"/>
    <w:qFormat/>
    <w:uiPriority w:val="0"/>
    <w:pPr>
      <w:ind w:firstLine="420" w:firstLineChars="100"/>
    </w:pPr>
  </w:style>
  <w:style w:type="paragraph" w:styleId="15">
    <w:name w:val="Body Text First Indent 2"/>
    <w:basedOn w:val="1"/>
    <w:next w:val="1"/>
    <w:unhideWhenUsed/>
    <w:qFormat/>
    <w:uiPriority w:val="99"/>
    <w:pPr>
      <w:ind w:firstLine="420" w:firstLineChars="200"/>
    </w:p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9">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20">
    <w:name w:val="Date1"/>
    <w:basedOn w:val="1"/>
    <w:next w:val="1"/>
    <w:qFormat/>
    <w:uiPriority w:val="0"/>
    <w:pPr>
      <w:adjustRightInd w:val="0"/>
      <w:jc w:val="left"/>
      <w:textAlignment w:val="baseline"/>
    </w:pPr>
    <w:rPr>
      <w:rFonts w:ascii="宋体" w:hAnsi="宋体"/>
      <w:sz w:val="28"/>
      <w:szCs w:val="20"/>
    </w:rPr>
  </w:style>
  <w:style w:type="paragraph" w:customStyle="1" w:styleId="21">
    <w:name w:val="Default"/>
    <w:basedOn w:val="22"/>
    <w:next w:val="23"/>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22">
    <w:name w:val="纯文本1"/>
    <w:basedOn w:val="1"/>
    <w:qFormat/>
    <w:uiPriority w:val="0"/>
    <w:pPr>
      <w:adjustRightInd w:val="0"/>
      <w:jc w:val="center"/>
      <w:textAlignment w:val="baseline"/>
    </w:pPr>
    <w:rPr>
      <w:rFonts w:ascii="宋体" w:hAnsi="Courier New"/>
      <w:sz w:val="24"/>
    </w:rPr>
  </w:style>
  <w:style w:type="paragraph" w:customStyle="1" w:styleId="23">
    <w:name w:val="样式35"/>
    <w:next w:val="1"/>
    <w:qFormat/>
    <w:uiPriority w:val="0"/>
    <w:pPr>
      <w:widowControl w:val="0"/>
      <w:spacing w:line="312" w:lineRule="auto"/>
      <w:ind w:firstLine="567"/>
      <w:jc w:val="both"/>
    </w:pPr>
    <w:rPr>
      <w:rFonts w:ascii="宋体" w:hAnsi="Times New Roman" w:eastAsia="宋体" w:cs="Times New Roman"/>
      <w:kern w:val="2"/>
      <w:sz w:val="21"/>
      <w:szCs w:val="22"/>
      <w:lang w:val="en-US" w:eastAsia="zh-CN" w:bidi="ar-SA"/>
    </w:rPr>
  </w:style>
  <w:style w:type="paragraph" w:customStyle="1" w:styleId="24">
    <w:name w:val="新格式表"/>
    <w:basedOn w:val="1"/>
    <w:qFormat/>
    <w:uiPriority w:val="0"/>
    <w:pPr>
      <w:adjustRightInd w:val="0"/>
      <w:spacing w:line="0" w:lineRule="atLeast"/>
      <w:jc w:val="center"/>
    </w:pPr>
    <w:rPr>
      <w:color w:val="000000"/>
      <w:szCs w:val="21"/>
    </w:rPr>
  </w:style>
  <w:style w:type="paragraph" w:customStyle="1" w:styleId="25">
    <w:name w:val="xl27"/>
    <w:basedOn w:val="1"/>
    <w:next w:val="26"/>
    <w:qFormat/>
    <w:uiPriority w:val="0"/>
    <w:pPr>
      <w:widowControl/>
      <w:pBdr>
        <w:bottom w:val="single" w:color="auto" w:sz="4" w:space="0"/>
        <w:right w:val="single" w:color="auto" w:sz="4" w:space="0"/>
      </w:pBdr>
      <w:spacing w:before="100" w:beforeAutospacing="1" w:after="100" w:afterAutospacing="1"/>
      <w:jc w:val="center"/>
    </w:pPr>
    <w:rPr>
      <w:rFonts w:ascii="Calibri" w:hAnsi="Calibri" w:eastAsia="宋体" w:cs="宋体"/>
      <w:kern w:val="0"/>
      <w:sz w:val="24"/>
      <w:szCs w:val="21"/>
    </w:rPr>
  </w:style>
  <w:style w:type="paragraph" w:customStyle="1" w:styleId="26">
    <w:name w:val="0 GBJ正文"/>
    <w:basedOn w:val="1"/>
    <w:qFormat/>
    <w:uiPriority w:val="0"/>
    <w:pPr>
      <w:adjustRightInd w:val="0"/>
      <w:snapToGrid w:val="0"/>
      <w:spacing w:line="460" w:lineRule="exact"/>
      <w:ind w:firstLine="480" w:firstLineChars="200"/>
    </w:pPr>
    <w:rPr>
      <w:rFonts w:ascii="Calibri" w:hAnsi="Calibri" w:eastAsia="宋体" w:cs="Times New Roman"/>
      <w:kern w:val="0"/>
      <w:sz w:val="24"/>
    </w:rPr>
  </w:style>
  <w:style w:type="paragraph" w:customStyle="1" w:styleId="27">
    <w:name w:val="Default1"/>
    <w:qFormat/>
    <w:uiPriority w:val="0"/>
    <w:pPr>
      <w:widowControl w:val="0"/>
      <w:autoSpaceDE w:val="0"/>
      <w:autoSpaceDN w:val="0"/>
      <w:adjustRightInd w:val="0"/>
    </w:pPr>
    <w:rPr>
      <w:rFonts w:ascii="全真楷書" w:hAnsi="Times New Roman" w:eastAsia="宋体" w:cs="全真楷書"/>
      <w:color w:val="000000"/>
      <w:sz w:val="24"/>
      <w:szCs w:val="24"/>
      <w:lang w:val="en-US" w:eastAsia="zh-CN" w:bidi="ar-SA"/>
    </w:rPr>
  </w:style>
  <w:style w:type="paragraph" w:customStyle="1" w:styleId="28">
    <w:name w:val="表格头"/>
    <w:basedOn w:val="1"/>
    <w:qFormat/>
    <w:uiPriority w:val="0"/>
    <w:pPr>
      <w:snapToGrid w:val="0"/>
      <w:ind w:firstLine="480" w:firstLineChars="200"/>
      <w:jc w:val="center"/>
    </w:pPr>
    <w:rPr>
      <w:rFonts w:ascii="黑体" w:eastAsia="黑体"/>
      <w:color w:val="000000"/>
      <w:sz w:val="24"/>
      <w:szCs w:val="20"/>
    </w:rPr>
  </w:style>
  <w:style w:type="character" w:customStyle="1" w:styleId="29">
    <w:name w:val="font01"/>
    <w:basedOn w:val="18"/>
    <w:qFormat/>
    <w:uiPriority w:val="0"/>
    <w:rPr>
      <w:rFonts w:hint="eastAsia" w:ascii="宋体" w:hAnsi="宋体" w:eastAsia="宋体" w:cs="宋体"/>
      <w:color w:val="000000"/>
      <w:sz w:val="24"/>
      <w:szCs w:val="24"/>
      <w:u w:val="none"/>
    </w:rPr>
  </w:style>
  <w:style w:type="paragraph" w:customStyle="1" w:styleId="30">
    <w:name w:val="表格文字"/>
    <w:basedOn w:val="14"/>
    <w:next w:val="1"/>
    <w:qFormat/>
    <w:uiPriority w:val="0"/>
    <w:pPr>
      <w:adjustRightInd w:val="0"/>
      <w:jc w:val="center"/>
    </w:pPr>
    <w:rPr>
      <w:kern w:val="0"/>
      <w:szCs w:val="21"/>
    </w:rPr>
  </w:style>
  <w:style w:type="paragraph" w:customStyle="1" w:styleId="31">
    <w:name w:val="正文AAA"/>
    <w:basedOn w:val="1"/>
    <w:qFormat/>
    <w:uiPriority w:val="0"/>
    <w:pPr>
      <w:spacing w:line="500" w:lineRule="exact"/>
      <w:ind w:firstLine="480" w:firstLineChars="200"/>
    </w:pPr>
    <w:rPr>
      <w:rFonts w:ascii="宋体" w:hAnsi="宋体"/>
      <w:sz w:val="24"/>
    </w:rPr>
  </w:style>
  <w:style w:type="paragraph" w:customStyle="1" w:styleId="32">
    <w:name w:val="表头"/>
    <w:basedOn w:val="1"/>
    <w:qFormat/>
    <w:uiPriority w:val="0"/>
    <w:pPr>
      <w:spacing w:line="480" w:lineRule="auto"/>
      <w:ind w:left="425"/>
      <w:jc w:val="center"/>
    </w:pPr>
    <w:rPr>
      <w:rFonts w:ascii="黑体" w:hAnsi="黑体" w:eastAsia="黑体"/>
      <w:lang w:val="zh-CN" w:eastAsia="zh-CN"/>
    </w:rPr>
  </w:style>
  <w:style w:type="paragraph" w:customStyle="1" w:styleId="33">
    <w:name w:val="Body Text First Indent 2"/>
    <w:basedOn w:val="1"/>
    <w:next w:val="1"/>
    <w:qFormat/>
    <w:uiPriority w:val="0"/>
    <w:pPr>
      <w:tabs>
        <w:tab w:val="left" w:pos="4500"/>
        <w:tab w:val="left" w:pos="4680"/>
      </w:tabs>
      <w:snapToGrid w:val="0"/>
      <w:spacing w:line="360" w:lineRule="auto"/>
      <w:ind w:firstLine="360" w:firstLineChars="150"/>
    </w:pPr>
    <w:rPr>
      <w:szCs w:val="20"/>
    </w:rPr>
  </w:style>
  <w:style w:type="paragraph" w:customStyle="1" w:styleId="34">
    <w:name w:val="报告正文"/>
    <w:basedOn w:val="1"/>
    <w:qFormat/>
    <w:uiPriority w:val="0"/>
    <w:pPr>
      <w:adjustRightInd w:val="0"/>
      <w:snapToGrid w:val="0"/>
      <w:spacing w:line="360" w:lineRule="auto"/>
      <w:ind w:firstLine="200" w:firstLineChars="200"/>
    </w:pPr>
    <w:rPr>
      <w:rFonts w:ascii="宋体" w:hAnsi="Times New Roman"/>
      <w:sz w:val="24"/>
      <w:szCs w:val="20"/>
    </w:rPr>
  </w:style>
  <w:style w:type="paragraph" w:customStyle="1" w:styleId="35">
    <w:name w:val="表内"/>
    <w:basedOn w:val="1"/>
    <w:qFormat/>
    <w:uiPriority w:val="99"/>
    <w:pPr>
      <w:framePr w:hSpace="180" w:wrap="around" w:vAnchor="page" w:hAnchor="margin" w:y="1411"/>
      <w:widowControl/>
      <w:jc w:val="both"/>
    </w:pPr>
    <w:rPr>
      <w:rFonts w:ascii="宋体" w:hAnsi="宋体" w:cs="Times New Roman"/>
      <w:snapToGrid/>
      <w:szCs w:val="20"/>
    </w:rPr>
  </w:style>
  <w:style w:type="paragraph" w:customStyle="1" w:styleId="36">
    <w:name w:val="列出段落111"/>
    <w:basedOn w:val="1"/>
    <w:qFormat/>
    <w:uiPriority w:val="99"/>
    <w:pPr>
      <w:ind w:firstLine="420" w:firstLineChars="200"/>
      <w:jc w:val="both"/>
    </w:pPr>
    <w:rPr>
      <w:rFonts w:ascii="Calibri" w:hAnsi="Calibri" w:eastAsia="宋体"/>
      <w:snapToGrid/>
      <w:kern w:val="2"/>
      <w:sz w:val="22"/>
    </w:rPr>
  </w:style>
  <w:style w:type="paragraph" w:customStyle="1" w:styleId="37">
    <w:name w:val="表内 定"/>
    <w:basedOn w:val="1"/>
    <w:qFormat/>
    <w:uiPriority w:val="0"/>
    <w:rPr>
      <w:rFonts w:cs="Times New Roman"/>
      <w:color w:val="000000"/>
    </w:rPr>
  </w:style>
  <w:style w:type="paragraph" w:customStyle="1" w:styleId="38">
    <w:name w:val="中文报告书样式"/>
    <w:basedOn w:val="1"/>
    <w:qFormat/>
    <w:uiPriority w:val="0"/>
    <w:pPr>
      <w:adjustRightInd w:val="0"/>
      <w:spacing w:line="480" w:lineRule="atLeast"/>
      <w:ind w:firstLine="482"/>
      <w:textAlignment w:val="baseline"/>
    </w:pPr>
    <w:rPr>
      <w:kern w:val="24"/>
      <w:sz w:val="24"/>
      <w:szCs w:val="20"/>
    </w:rPr>
  </w:style>
  <w:style w:type="character" w:customStyle="1" w:styleId="39">
    <w:name w:val="引用 Char"/>
    <w:basedOn w:val="18"/>
    <w:qFormat/>
    <w:uiPriority w:val="0"/>
    <w:rPr>
      <w:rFonts w:ascii="宋体" w:hAnsi="宋体"/>
      <w:color w:val="000000"/>
      <w:kern w:val="2"/>
      <w:sz w:val="24"/>
      <w:lang w:bidi="ar-SA"/>
    </w:rPr>
  </w:style>
  <w:style w:type="paragraph" w:customStyle="1" w:styleId="40">
    <w:name w:val="表格1111"/>
    <w:basedOn w:val="41"/>
    <w:qFormat/>
    <w:uiPriority w:val="0"/>
    <w:pPr>
      <w:jc w:val="center"/>
    </w:pPr>
    <w:rPr>
      <w:rFonts w:ascii="宋体" w:hAnsi="宋体"/>
      <w:bCs w:val="0"/>
      <w:iCs w:val="0"/>
      <w:sz w:val="24"/>
    </w:rPr>
  </w:style>
  <w:style w:type="paragraph" w:customStyle="1" w:styleId="41">
    <w:name w:val="明显引用2"/>
    <w:basedOn w:val="1"/>
    <w:next w:val="1"/>
    <w:qFormat/>
    <w:uiPriority w:val="0"/>
    <w:pPr>
      <w:spacing w:after="100" w:afterLines="0" w:line="520" w:lineRule="exact"/>
      <w:jc w:val="center"/>
    </w:pPr>
    <w:rPr>
      <w:rFonts w:ascii="宋体" w:hAnsi="宋体"/>
      <w:bCs/>
      <w:iCs/>
      <w:sz w:val="24"/>
    </w:rPr>
  </w:style>
  <w:style w:type="paragraph" w:customStyle="1" w:styleId="42">
    <w:name w:val="正文11"/>
    <w:basedOn w:val="1"/>
    <w:qFormat/>
    <w:uiPriority w:val="0"/>
    <w:pPr>
      <w:adjustRightInd w:val="0"/>
      <w:spacing w:before="120" w:beforeLines="0" w:after="120" w:afterLines="0" w:line="360" w:lineRule="auto"/>
      <w:ind w:firstLine="539"/>
    </w:pPr>
    <w:rPr>
      <w:rFonts w:hint="eastAsia" w:ascii="宋体" w:hAnsi="宋体"/>
      <w:kern w:val="0"/>
      <w:sz w:val="28"/>
    </w:rPr>
  </w:style>
  <w:style w:type="paragraph" w:customStyle="1" w:styleId="43">
    <w:name w:val="样式 首行缩进:  2 字符"/>
    <w:basedOn w:val="1"/>
    <w:qFormat/>
    <w:uiPriority w:val="0"/>
    <w:rPr>
      <w:rFonts w:cs="宋体"/>
      <w:szCs w:val="20"/>
    </w:rPr>
  </w:style>
  <w:style w:type="paragraph" w:customStyle="1" w:styleId="44">
    <w:name w:val="Heading #1|1"/>
    <w:basedOn w:val="1"/>
    <w:qFormat/>
    <w:uiPriority w:val="0"/>
    <w:pPr>
      <w:spacing w:after="300"/>
      <w:outlineLvl w:val="0"/>
    </w:pPr>
    <w:rPr>
      <w:sz w:val="28"/>
      <w:szCs w:val="28"/>
      <w:lang w:val="zh-TW" w:eastAsia="zh-TW" w:bidi="zh-TW"/>
    </w:rPr>
  </w:style>
  <w:style w:type="paragraph" w:customStyle="1" w:styleId="45">
    <w:name w:val="正文文本的"/>
    <w:basedOn w:val="1"/>
    <w:qFormat/>
    <w:uiPriority w:val="0"/>
    <w:pPr>
      <w:spacing w:line="360" w:lineRule="auto"/>
      <w:ind w:firstLine="480" w:firstLineChars="200"/>
    </w:pPr>
    <w:rPr>
      <w:rFonts w:cs="宋体"/>
      <w:sz w:val="24"/>
      <w:szCs w:val="20"/>
    </w:rPr>
  </w:style>
  <w:style w:type="paragraph" w:customStyle="1" w:styleId="46">
    <w:name w:val="正文-表头"/>
    <w:qFormat/>
    <w:uiPriority w:val="5"/>
    <w:pPr>
      <w:adjustRightInd w:val="0"/>
      <w:snapToGrid w:val="0"/>
      <w:jc w:val="center"/>
    </w:pPr>
    <w:rPr>
      <w:rFonts w:ascii="Times New Roman" w:hAnsi="Times New Roman" w:eastAsia="黑体" w:cs="Times New Roman"/>
      <w:kern w:val="2"/>
      <w:sz w:val="21"/>
      <w:szCs w:val="21"/>
      <w:lang w:val="en-US" w:eastAsia="zh-CN" w:bidi="ar-SA"/>
    </w:rPr>
  </w:style>
  <w:style w:type="paragraph" w:customStyle="1" w:styleId="47">
    <w:name w:val="正文-表格"/>
    <w:qFormat/>
    <w:uiPriority w:val="5"/>
    <w:pPr>
      <w:adjustRightInd w:val="0"/>
      <w:snapToGrid w:val="0"/>
      <w:jc w:val="center"/>
    </w:pPr>
    <w:rPr>
      <w:rFonts w:ascii="Times New Roman" w:hAnsi="Times New Roman" w:eastAsia="宋体" w:cs="Times New Roman"/>
      <w:kern w:val="2"/>
      <w:sz w:val="21"/>
      <w:szCs w:val="21"/>
      <w:lang w:val="en-US" w:eastAsia="zh-CN" w:bidi="ar-SA"/>
    </w:rPr>
  </w:style>
  <w:style w:type="paragraph" w:customStyle="1" w:styleId="48">
    <w:name w:val="Table Paragraph"/>
    <w:basedOn w:val="1"/>
    <w:qFormat/>
    <w:uiPriority w:val="1"/>
    <w:pPr>
      <w:jc w:val="center"/>
    </w:pPr>
    <w:rPr>
      <w:rFonts w:ascii="宋体" w:hAnsi="宋体" w:eastAsia="宋体" w:cs="宋体"/>
    </w:rPr>
  </w:style>
  <w:style w:type="paragraph" w:customStyle="1" w:styleId="49">
    <w:name w:val="表格内容自定"/>
    <w:basedOn w:val="1"/>
    <w:qFormat/>
    <w:uiPriority w:val="0"/>
    <w:pPr>
      <w:spacing w:line="280" w:lineRule="exact"/>
      <w:jc w:val="center"/>
    </w:pPr>
    <w:rPr>
      <w:kern w:val="0"/>
      <w:sz w:val="18"/>
      <w:szCs w:val="21"/>
    </w:rPr>
  </w:style>
  <w:style w:type="paragraph" w:customStyle="1" w:styleId="50">
    <w:name w:val="表格字体"/>
    <w:basedOn w:val="1"/>
    <w:qFormat/>
    <w:uiPriority w:val="99"/>
    <w:pPr>
      <w:adjustRightInd w:val="0"/>
      <w:spacing w:line="300" w:lineRule="exact"/>
      <w:jc w:val="center"/>
    </w:pPr>
    <w:rPr>
      <w:color w:val="000000"/>
      <w:sz w:val="18"/>
    </w:rPr>
  </w:style>
  <w:style w:type="character" w:customStyle="1" w:styleId="51">
    <w:name w:val="title"/>
    <w:qFormat/>
    <w:uiPriority w:val="0"/>
  </w:style>
  <w:style w:type="table" w:customStyle="1" w:styleId="52">
    <w:name w:val="Table Normal"/>
    <w:unhideWhenUsed/>
    <w:qFormat/>
    <w:uiPriority w:val="0"/>
    <w:tblPr>
      <w:tblCellMar>
        <w:top w:w="0" w:type="dxa"/>
        <w:left w:w="0" w:type="dxa"/>
        <w:bottom w:w="0" w:type="dxa"/>
        <w:right w:w="0" w:type="dxa"/>
      </w:tblCellMar>
    </w:tblPr>
  </w:style>
  <w:style w:type="paragraph" w:customStyle="1" w:styleId="53">
    <w:name w:val="正文_6"/>
    <w:qFormat/>
    <w:uiPriority w:val="0"/>
    <w:pPr>
      <w:widowControl w:val="0"/>
      <w:jc w:val="both"/>
    </w:pPr>
    <w:rPr>
      <w:rFonts w:ascii="Calibri" w:hAnsi="Calibri" w:eastAsia="宋体" w:cs="Times New Roman"/>
      <w:kern w:val="2"/>
      <w:sz w:val="21"/>
      <w:lang w:val="en-US" w:eastAsia="zh-CN" w:bidi="ar-SA"/>
    </w:rPr>
  </w:style>
  <w:style w:type="paragraph" w:customStyle="1" w:styleId="54">
    <w:name w:val="BIAOGE"/>
    <w:basedOn w:val="55"/>
    <w:qFormat/>
    <w:uiPriority w:val="0"/>
    <w:pPr>
      <w:spacing w:line="240" w:lineRule="auto"/>
      <w:ind w:firstLine="0" w:firstLineChars="0"/>
      <w:jc w:val="center"/>
    </w:pPr>
    <w:rPr>
      <w:rFonts w:ascii="宋体" w:hAnsi="宋体"/>
      <w:sz w:val="21"/>
      <w:szCs w:val="21"/>
    </w:rPr>
  </w:style>
  <w:style w:type="paragraph" w:customStyle="1" w:styleId="55">
    <w:name w:val="ZW"/>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png"/><Relationship Id="rId61" Type="http://schemas.openxmlformats.org/officeDocument/2006/relationships/fontTable" Target="fontTable.xml"/><Relationship Id="rId60" Type="http://schemas.openxmlformats.org/officeDocument/2006/relationships/numbering" Target="numbering.xml"/><Relationship Id="rId6" Type="http://schemas.openxmlformats.org/officeDocument/2006/relationships/image" Target="media/image1.png"/><Relationship Id="rId59" Type="http://schemas.openxmlformats.org/officeDocument/2006/relationships/customXml" Target="../customXml/item1.xml"/><Relationship Id="rId58" Type="http://schemas.openxmlformats.org/officeDocument/2006/relationships/image" Target="media/image49.png"/><Relationship Id="rId57" Type="http://schemas.openxmlformats.org/officeDocument/2006/relationships/image" Target="media/image48.pn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png"/><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theme" Target="theme/theme1.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png"/><Relationship Id="rId44" Type="http://schemas.openxmlformats.org/officeDocument/2006/relationships/image" Target="media/image35.png"/><Relationship Id="rId43" Type="http://schemas.openxmlformats.org/officeDocument/2006/relationships/image" Target="media/image34.jpeg"/><Relationship Id="rId42" Type="http://schemas.openxmlformats.org/officeDocument/2006/relationships/image" Target="media/image33.png"/><Relationship Id="rId41" Type="http://schemas.openxmlformats.org/officeDocument/2006/relationships/image" Target="media/image32.png"/><Relationship Id="rId40" Type="http://schemas.openxmlformats.org/officeDocument/2006/relationships/image" Target="media/image31.png"/><Relationship Id="rId4" Type="http://schemas.openxmlformats.org/officeDocument/2006/relationships/footer" Target="footer2.xml"/><Relationship Id="rId39" Type="http://schemas.openxmlformats.org/officeDocument/2006/relationships/image" Target="media/image30.jpeg"/><Relationship Id="rId38" Type="http://schemas.openxmlformats.org/officeDocument/2006/relationships/image" Target="media/image29.png"/><Relationship Id="rId37" Type="http://schemas.openxmlformats.org/officeDocument/2006/relationships/image" Target="media/image28.pn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emf"/><Relationship Id="rId26" Type="http://schemas.openxmlformats.org/officeDocument/2006/relationships/oleObject" Target="embeddings/oleObject4.bin"/><Relationship Id="rId25" Type="http://schemas.openxmlformats.org/officeDocument/2006/relationships/image" Target="media/image17.jpeg"/><Relationship Id="rId24" Type="http://schemas.openxmlformats.org/officeDocument/2006/relationships/image" Target="media/image16.jpeg"/><Relationship Id="rId23" Type="http://schemas.openxmlformats.org/officeDocument/2006/relationships/image" Target="media/image15.emf"/><Relationship Id="rId22" Type="http://schemas.openxmlformats.org/officeDocument/2006/relationships/oleObject" Target="embeddings/oleObject3.bin"/><Relationship Id="rId21" Type="http://schemas.openxmlformats.org/officeDocument/2006/relationships/image" Target="media/image14.emf"/><Relationship Id="rId20" Type="http://schemas.openxmlformats.org/officeDocument/2006/relationships/oleObject" Target="embeddings/oleObject2.bin"/><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emf"/><Relationship Id="rId17" Type="http://schemas.openxmlformats.org/officeDocument/2006/relationships/oleObject" Target="embeddings/oleObject1.bin"/><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106</Pages>
  <Words>47386</Words>
  <Characters>55246</Characters>
  <Lines>0</Lines>
  <Paragraphs>0</Paragraphs>
  <TotalTime>33</TotalTime>
  <ScaleCrop>false</ScaleCrop>
  <LinksUpToDate>false</LinksUpToDate>
  <CharactersWithSpaces>55453</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2021-03-22T02:17:00Z</dcterms:created>
  <dc:creator>Administrator</dc:creator>
  <cp:lastModifiedBy>Smile°浅陌兮</cp:lastModifiedBy>
  <cp:lastPrinted>2022-10-25T05:45:00Z</cp:lastPrinted>
  <dcterms:modified xsi:type="dcterms:W3CDTF">2025-01-14T08:53:51Z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ICV">
    <vt:lpwstr>40704A4702984CEE9A5A8EE08416B801</vt:lpwstr>
  </property>
</Properties>
</file>